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39A82" w14:textId="77777777" w:rsidR="00FA5565" w:rsidRDefault="00D804D1">
      <w:pPr>
        <w:rPr>
          <w:rFonts w:ascii="Times New Roman" w:hAnsi="Times New Roman"/>
          <w:vanish/>
          <w:sz w:val="20"/>
          <w:szCs w:val="20"/>
        </w:rPr>
      </w:pPr>
      <w:r>
        <w:rPr>
          <w:rFonts w:ascii="Times New Roman" w:eastAsia="宋体" w:hAnsi="Times New Roman"/>
          <w:vanish/>
          <w:sz w:val="20"/>
          <w:szCs w:val="20"/>
        </w:rPr>
        <w:t>21000000002700000000P1YP6Mfalse--09-28FY201900003201930.000010.00001126000000001260000000047549860004443236000475498600044432360000.000.04650.02950.00350.017P1YP3YP1YP1YP1Y 0000320193 2018-09-30 2019-09-28 0000320193 aapl:A0.875NotesDue2025Member 2018-09-3</w:t>
      </w:r>
      <w:r>
        <w:rPr>
          <w:rFonts w:ascii="Times New Roman" w:eastAsia="宋体" w:hAnsi="Times New Roman"/>
          <w:vanish/>
          <w:sz w:val="20"/>
          <w:szCs w:val="20"/>
        </w:rPr>
        <w:t>0 2019-09-28 0000320193 aapl:A1.000NotesDue2022Member 2018-09-30 2019-09-28 0000320193 aapl:A1.375NotesDue2024Member 2018-09-30 2019-09-28 0000320193 aapl:A1.375NotesDue2029Member 2018-09-30 2019-09-28 0000320193 aapl:A2.000NotesDue2027Member 2018-09-30 20</w:t>
      </w:r>
      <w:r>
        <w:rPr>
          <w:rFonts w:ascii="Times New Roman" w:eastAsia="宋体" w:hAnsi="Times New Roman"/>
          <w:vanish/>
          <w:sz w:val="20"/>
          <w:szCs w:val="20"/>
        </w:rPr>
        <w:t>19-09-28 0000320193 aapl:A3.050NotesDue2029Member 2018-09-30 2019-09-28 0000320193 us-gaap:CommonStockMember 2018-09-30 2019-09-28 0000320193 aapl:A3.600NotesDue2042Member 2018-09-30 2019-09-28 0000320193 aapl:A1.625NotesDue2026Member 2018-09-30 2019-09-28</w:t>
      </w:r>
      <w:r>
        <w:rPr>
          <w:rFonts w:ascii="Times New Roman" w:eastAsia="宋体" w:hAnsi="Times New Roman"/>
          <w:vanish/>
          <w:sz w:val="20"/>
          <w:szCs w:val="20"/>
        </w:rPr>
        <w:t xml:space="preserve"> 0000320193 2019-10-18 0000320193 2019-03-29 0000320193 2017-10-01 2018-09-29 0000320193 2016-09-25 2017-09-30 0000320193 us-gaap:ProductMember 2017-10-01 2018-09-29 0000320193 us-gaap:ProductMember 2016-09-25 2017-09-30 0000320193 us-gaap:ServiceMember 20</w:t>
      </w:r>
      <w:r>
        <w:rPr>
          <w:rFonts w:ascii="Times New Roman" w:eastAsia="宋体" w:hAnsi="Times New Roman"/>
          <w:vanish/>
          <w:sz w:val="20"/>
          <w:szCs w:val="20"/>
        </w:rPr>
        <w:t>18-09-30 2019-09-28 0000320193 us-gaap:ServiceMember 2016-09-25 2017-09-30 0000320193 us-gaap:ServiceMember 2017-10-01 2018-09-29 0000320193 us-gaap:ProductMember 2018-09-30 2019-09-28 0000320193 2019-09-28 0000320193 2018-09-29 0000320193 us-gaap:Retained</w:t>
      </w:r>
      <w:r>
        <w:rPr>
          <w:rFonts w:ascii="Times New Roman" w:eastAsia="宋体" w:hAnsi="Times New Roman"/>
          <w:vanish/>
          <w:sz w:val="20"/>
          <w:szCs w:val="20"/>
        </w:rPr>
        <w:t>EarningsMember 2018-09-30 2019-09-28 0000320193 us-gaap:AccumulatedOtherComprehensiveIncomeMember 2019-09-28 0000320193 us-gaap:RetainedEarningsMember 2017-09-30 0000320193 us-gaap:CommonStockIncludingAdditionalPaidInCapitalMember 2016-09-25 2017-09-30 000</w:t>
      </w:r>
      <w:r>
        <w:rPr>
          <w:rFonts w:ascii="Times New Roman" w:eastAsia="宋体" w:hAnsi="Times New Roman"/>
          <w:vanish/>
          <w:sz w:val="20"/>
          <w:szCs w:val="20"/>
        </w:rPr>
        <w:t>0320193 us-gaap:AccumulatedOtherComprehensiveIncomeMember 2018-09-30 2019-09-28 0000320193 us-gaap:AccumulatedOtherComprehensiveIncomeMember 2017-09-30 0000320193 us-gaap:RetainedEarningsMember 2016-09-25 0000320193 us-gaap:RetainedEarningsMember 2017-10-0</w:t>
      </w:r>
      <w:r>
        <w:rPr>
          <w:rFonts w:ascii="Times New Roman" w:eastAsia="宋体" w:hAnsi="Times New Roman"/>
          <w:vanish/>
          <w:sz w:val="20"/>
          <w:szCs w:val="20"/>
        </w:rPr>
        <w:t>1 2018-09-29 0000320193 us-gaap:AccumulatedOtherComprehensiveIncomeMember 2017-10-01 0000320193 us-gaap:RetainedEarningsMember 2017-10-01 0000320193 us-gaap:RetainedEarningsMember 2018-09-29 0000320193 us-gaap:CommonStockIncludingAdditionalPaidInCapitalMem</w:t>
      </w:r>
      <w:r>
        <w:rPr>
          <w:rFonts w:ascii="Times New Roman" w:eastAsia="宋体" w:hAnsi="Times New Roman"/>
          <w:vanish/>
          <w:sz w:val="20"/>
          <w:szCs w:val="20"/>
        </w:rPr>
        <w:t>ber 2018-09-29 0000320193 us-gaap:RetainedEarningsMember 2016-09-24 0000320193 us-gaap:CommonStockIncludingAdditionalPaidInCapitalMember 2017-09-30 0000320193 us-gaap:RetainedEarningsMember 2016-09-25 2017-09-30 0000320193 2017-09-30 0000320193 us-gaap:Ret</w:t>
      </w:r>
      <w:r>
        <w:rPr>
          <w:rFonts w:ascii="Times New Roman" w:eastAsia="宋体" w:hAnsi="Times New Roman"/>
          <w:vanish/>
          <w:sz w:val="20"/>
          <w:szCs w:val="20"/>
        </w:rPr>
        <w:t>ainedEarningsMember 2019-09-28 0000320193 us-gaap:CommonStockIncludingAdditionalPaidInCapitalMember 2018-09-30 2019-09-28 0000320193 us-gaap:CommonStockIncludingAdditionalPaidInCapitalMember 2017-10-01 2018-09-29 0000320193 us-gaap:AccumulatedOtherComprehe</w:t>
      </w:r>
      <w:r>
        <w:rPr>
          <w:rFonts w:ascii="Times New Roman" w:eastAsia="宋体" w:hAnsi="Times New Roman"/>
          <w:vanish/>
          <w:sz w:val="20"/>
          <w:szCs w:val="20"/>
        </w:rPr>
        <w:t xml:space="preserve">nsiveIncomeMember 2016-09-25 2017-09-30 0000320193 us-gaap:AccumulatedOtherComprehensiveIncomeMember 2016-09-25 0000320193 us-gaap:AccumulatedOtherComprehensiveIncomeMember 2018-09-29 0000320193 us-gaap:AccumulatedOtherComprehensiveIncomeMember 2018-09-30 </w:t>
      </w:r>
      <w:r>
        <w:rPr>
          <w:rFonts w:ascii="Times New Roman" w:eastAsia="宋体" w:hAnsi="Times New Roman"/>
          <w:vanish/>
          <w:sz w:val="20"/>
          <w:szCs w:val="20"/>
        </w:rPr>
        <w:t>0000320193 us-gaap:RetainedEarningsMember 2018-09-30 0000320193 us-gaap:CommonStockIncludingAdditionalPaidInCapitalMember 2016-09-24 0000320193 us-gaap:AccumulatedOtherComprehensiveIncomeMember 2017-10-01 2018-09-29 0000320193 us-gaap:CommonStockIncludingA</w:t>
      </w:r>
      <w:r>
        <w:rPr>
          <w:rFonts w:ascii="Times New Roman" w:eastAsia="宋体" w:hAnsi="Times New Roman"/>
          <w:vanish/>
          <w:sz w:val="20"/>
          <w:szCs w:val="20"/>
        </w:rPr>
        <w:t>dditionalPaidInCapitalMember 2019-09-28 0000320193 2016-09-24 0000320193 us-gaap:AccumulatedOtherComprehensiveIncomeMember 2016-09-24 0000320193 us-gaap:AccountingStandardsUpdate201616Member us-gaap:RetainedEarningsMember 2018-09-30 0000320193 us-gaap:Acco</w:t>
      </w:r>
      <w:r>
        <w:rPr>
          <w:rFonts w:ascii="Times New Roman" w:eastAsia="宋体" w:hAnsi="Times New Roman"/>
          <w:vanish/>
          <w:sz w:val="20"/>
          <w:szCs w:val="20"/>
        </w:rPr>
        <w:t>untingStandardsUpdate201616Member 2018-09-30 0000320193 srt:MaximumMember us-gaap:SoftwareAndSoftwareDevelopmentCostsMember 2018-09-30 2019-09-28 0000320193 srt:MaximumMember us-gaap:MachineryAndEquipmentMember 2018-09-30 2019-09-28 0000320193 srt:MaximumM</w:t>
      </w:r>
      <w:r>
        <w:rPr>
          <w:rFonts w:ascii="Times New Roman" w:eastAsia="宋体" w:hAnsi="Times New Roman"/>
          <w:vanish/>
          <w:sz w:val="20"/>
          <w:szCs w:val="20"/>
        </w:rPr>
        <w:t>ember us-gaap:BuildingMember 2018-09-30 2019-09-28 0000320193 srt:MinimumMember us-gaap:SoftwareAndSoftwareDevelopmentCostsMember 2018-09-30 2019-09-28 0000320193 srt:MinimumMember us-gaap:MachineryAndEquipmentMember 2018-09-30 2019-09-28 0000320193 aapl:I</w:t>
      </w:r>
      <w:r>
        <w:rPr>
          <w:rFonts w:ascii="Times New Roman" w:eastAsia="宋体" w:hAnsi="Times New Roman"/>
          <w:vanish/>
          <w:sz w:val="20"/>
          <w:szCs w:val="20"/>
        </w:rPr>
        <w:t>PadMember 2018-09-30 2019-09-28 0000320193 aapl:MacMember 2017-10-01 2018-09-29 0000320193 aapl:MacMember 2018-09-30 2019-09-28 0000320193 aapl:WearablesHomeandAccessoriesMember 2018-09-30 2019-09-28 0000320193 aapl:IPadMember 2016-09-25 2017-09-30 0000320</w:t>
      </w:r>
      <w:r>
        <w:rPr>
          <w:rFonts w:ascii="Times New Roman" w:eastAsia="宋体" w:hAnsi="Times New Roman"/>
          <w:vanish/>
          <w:sz w:val="20"/>
          <w:szCs w:val="20"/>
        </w:rPr>
        <w:t>193 aapl:IPhoneMember 2017-10-01 2018-09-29 0000320193 aapl:IPadMember 2017-10-01 2018-09-29 0000320193 aapl:WearablesHomeandAccessoriesMember 2017-10-01 2018-09-29 0000320193 aapl:MacMember 2016-09-25 2017-09-30 0000320193 aapl:IPhoneMember 2016-09-25 201</w:t>
      </w:r>
      <w:r>
        <w:rPr>
          <w:rFonts w:ascii="Times New Roman" w:eastAsia="宋体" w:hAnsi="Times New Roman"/>
          <w:vanish/>
          <w:sz w:val="20"/>
          <w:szCs w:val="20"/>
        </w:rPr>
        <w:t>7-09-30 0000320193 aapl:WearablesHomeandAccessoriesMember 2016-09-25 2017-09-30 0000320193 aapl:IPhoneMember 2018-09-30 2019-09-28 0000320193 2019-09-29 2019-09-28 0000320193 2021-09-26 2019-09-28 0000320193 2020-09-27 2019-09-28 0000320193 2022-09-25 2019</w:t>
      </w:r>
      <w:r>
        <w:rPr>
          <w:rFonts w:ascii="Times New Roman" w:eastAsia="宋体" w:hAnsi="Times New Roman"/>
          <w:vanish/>
          <w:sz w:val="20"/>
          <w:szCs w:val="20"/>
        </w:rPr>
        <w:t>-09-28 0000320193 us-gaap:FairValueInputsLevel2Member 2019-09-28 0000320193 us-gaap:FairValueInputsLevel2Member us-gaap:USGovernmentAgenciesDebtSecuritiesMember 2019-09-28 0000320193 us-gaap:FairValueInputsLevel2Member us-gaap:CorporateDebtSecuritiesMember</w:t>
      </w:r>
      <w:r>
        <w:rPr>
          <w:rFonts w:ascii="Times New Roman" w:eastAsia="宋体" w:hAnsi="Times New Roman"/>
          <w:vanish/>
          <w:sz w:val="20"/>
          <w:szCs w:val="20"/>
        </w:rPr>
        <w:t xml:space="preserve"> 2019-09-28 0000320193 us-gaap:FairValueInputsLevel2Member us-gaap:BankTimeDepositsMember 2019-09-28 0000320193 us-gaap:FairValueInputsLevel2Member us-gaap:USTreasurySecuritiesMember 2019-09-28 0000320193 us-gaap:FairValueInputsLevel1Member us-gaap:MoneyMa</w:t>
      </w:r>
      <w:r>
        <w:rPr>
          <w:rFonts w:ascii="Times New Roman" w:eastAsia="宋体" w:hAnsi="Times New Roman"/>
          <w:vanish/>
          <w:sz w:val="20"/>
          <w:szCs w:val="20"/>
        </w:rPr>
        <w:t>rketFundsMember 2019-09-28 0000320193 us-gaap:FairValueInputsLevel2Member us-gaap:CommercialPaperMember 2019-09-28 0000320193 us-gaap:CashMember 2019-09-28 0000320193 us-gaap:FairValueInputsLevel1Member 2019-09-28 0000320193 us-gaap:FairValueInputsLevel2Me</w:t>
      </w:r>
      <w:r>
        <w:rPr>
          <w:rFonts w:ascii="Times New Roman" w:eastAsia="宋体" w:hAnsi="Times New Roman"/>
          <w:vanish/>
          <w:sz w:val="20"/>
          <w:szCs w:val="20"/>
        </w:rPr>
        <w:t>mber us-gaap:ForeignGovernmentDebtSecuritiesMember 2019-09-28 0000320193 us-gaap:FairValueInputsLevel2Member us-gaap:AssetBackedSecuritiesMember 2019-09-28 0000320193 us-gaap:FairValueInputsLevel2Member us-gaap:USStatesAndPoliticalSubdivisionsMember 2019-0</w:t>
      </w:r>
      <w:r>
        <w:rPr>
          <w:rFonts w:ascii="Times New Roman" w:eastAsia="宋体" w:hAnsi="Times New Roman"/>
          <w:vanish/>
          <w:sz w:val="20"/>
          <w:szCs w:val="20"/>
        </w:rPr>
        <w:t>9-28 0000320193 us-gaap:ForeignExchangeContractMember us-gaap:NondesignatedMember 2019-09-28 0000320193 us-gaap:ForeignExchangeContractMember us-gaap:DesignatedAsHedgingInstrumentMember 2018-09-29 0000320193 us-gaap:InterestRateContractMember us-gaap:Desig</w:t>
      </w:r>
      <w:r>
        <w:rPr>
          <w:rFonts w:ascii="Times New Roman" w:eastAsia="宋体" w:hAnsi="Times New Roman"/>
          <w:vanish/>
          <w:sz w:val="20"/>
          <w:szCs w:val="20"/>
        </w:rPr>
        <w:t>natedAsHedgingInstrumentMember 2019-09-28 0000320193 us-gaap:InterestRateContractMember us-gaap:DesignatedAsHedgingInstrumentMember 2018-09-29 0000320193 us-gaap:ForeignExchangeContractMember us-gaap:NondesignatedMember 2018-09-29 0000320193 us-gaap:Foreig</w:t>
      </w:r>
      <w:r>
        <w:rPr>
          <w:rFonts w:ascii="Times New Roman" w:eastAsia="宋体" w:hAnsi="Times New Roman"/>
          <w:vanish/>
          <w:sz w:val="20"/>
          <w:szCs w:val="20"/>
        </w:rPr>
        <w:t>nExchangeContractMember us-gaap:DesignatedAsHedgingInstrumentMember 2019-09-28 0000320193 us-gaap:FairValueInputsLevel1Member us-gaap:MoneyMarketFundsMember 2018-09-29 0000320193 us-gaap:FairValueInputsLevel1Member us-gaap:MutualFundMember 2018-09-29 00003</w:t>
      </w:r>
      <w:r>
        <w:rPr>
          <w:rFonts w:ascii="Times New Roman" w:eastAsia="宋体" w:hAnsi="Times New Roman"/>
          <w:vanish/>
          <w:sz w:val="20"/>
          <w:szCs w:val="20"/>
        </w:rPr>
        <w:t>20193 us-gaap:FairValueInputsLevel2Member us-gaap:USGovernmentAgenciesDebtSecuritiesMember 2018-09-29 0000320193 us-gaap:FairValueInputsLevel2Member us-gaap:BankTimeDepositsMember 2018-09-29 0000320193 us-gaap:CashMember 2018-09-29 0000320193 us-gaap:FairV</w:t>
      </w:r>
      <w:r>
        <w:rPr>
          <w:rFonts w:ascii="Times New Roman" w:eastAsia="宋体" w:hAnsi="Times New Roman"/>
          <w:vanish/>
          <w:sz w:val="20"/>
          <w:szCs w:val="20"/>
        </w:rPr>
        <w:t>alueInputsLevel2Member us-gaap:USTreasurySecuritiesMember 2018-09-29 0000320193 us-gaap:FairValueInputsLevel1Member 2018-09-29 0000320193 us-gaap:FairValueInputsLevel2Member us-gaap:CorporateDebtSecuritiesMember 2018-09-29 0000320193 us-gaap:FairValueInput</w:t>
      </w:r>
      <w:r>
        <w:rPr>
          <w:rFonts w:ascii="Times New Roman" w:eastAsia="宋体" w:hAnsi="Times New Roman"/>
          <w:vanish/>
          <w:sz w:val="20"/>
          <w:szCs w:val="20"/>
        </w:rPr>
        <w:t>sLevel2Member us-gaap:CommercialPaperMember 2018-09-29 0000320193 us-gaap:FairValueInputsLevel2Member us-gaap:AssetBackedSecuritiesMember 2018-09-29 0000320193 us-gaap:FairValueInputsLevel2Member us-gaap:ForeignGovernmentDebtSecuritiesMember 2018-09-29 000</w:t>
      </w:r>
      <w:r>
        <w:rPr>
          <w:rFonts w:ascii="Times New Roman" w:eastAsia="宋体" w:hAnsi="Times New Roman"/>
          <w:vanish/>
          <w:sz w:val="20"/>
          <w:szCs w:val="20"/>
        </w:rPr>
        <w:t>0320193 us-gaap:FairValueInputsLevel2Member 2018-09-29 0000320193 us-gaap:FairValueInputsLevel2Member us-gaap:USStatesAndPoliticalSubdivisionsMember 2018-09-29 0000320193 us-gaap:ForeignExchangeContractMember us-gaap:CashFlowHedgingMember 2018-09-30 2019-0</w:t>
      </w:r>
      <w:r>
        <w:rPr>
          <w:rFonts w:ascii="Times New Roman" w:eastAsia="宋体" w:hAnsi="Times New Roman"/>
          <w:vanish/>
          <w:sz w:val="20"/>
          <w:szCs w:val="20"/>
        </w:rPr>
        <w:t>9-28 0000320193 aapl:ForeignCurrencyDebtMember us-gaap:NetInvestmentHedgingMember 2017-10-01 2018-09-29 0000320193 us-gaap:InterestRateContractMember us-gaap:FairValueHedgingMember 2017-10-01 2018-09-29 0000320193 us-gaap:InterestRateContractMember us-gaap</w:t>
      </w:r>
      <w:r>
        <w:rPr>
          <w:rFonts w:ascii="Times New Roman" w:eastAsia="宋体" w:hAnsi="Times New Roman"/>
          <w:vanish/>
          <w:sz w:val="20"/>
          <w:szCs w:val="20"/>
        </w:rPr>
        <w:t xml:space="preserve">:CashFlowHedgingMember 2018-09-30 2019-09-28 0000320193 us-gaap:FairValueHedgingMember 2018-09-30 2019-09-28 0000320193 us-gaap:ForeignExchangeContractMember us-gaap:CashFlowHedgingMember 2016-09-25 2017-09-30 0000320193 us-gaap:InterestRateContractMember </w:t>
      </w:r>
      <w:r>
        <w:rPr>
          <w:rFonts w:ascii="Times New Roman" w:eastAsia="宋体" w:hAnsi="Times New Roman"/>
          <w:vanish/>
          <w:sz w:val="20"/>
          <w:szCs w:val="20"/>
        </w:rPr>
        <w:t>us-gaap:FairValueHedgingMember 2018-09-30 2019-09-28 0000320193 us-gaap:InterestRateContractMember us-gaap:FairValueHedgingMember 2016-09-25 2017-09-30 0000320193 us-gaap:InterestRateContractMember us-gaap:CashFlowHedgingMember 2016-09-25 2017-09-30 000032</w:t>
      </w:r>
      <w:r>
        <w:rPr>
          <w:rFonts w:ascii="Times New Roman" w:eastAsia="宋体" w:hAnsi="Times New Roman"/>
          <w:vanish/>
          <w:sz w:val="20"/>
          <w:szCs w:val="20"/>
        </w:rPr>
        <w:t>0193 us-gaap:CashFlowHedgingMember 2018-09-30 2019-09-28 0000320193 us-gaap:InterestRateContractMember us-gaap:CashFlowHedgingMember 2017-10-01 2018-09-29 0000320193 us-gaap:CashFlowHedgingMember 2016-09-25 2017-09-30 0000320193 us-gaap:FairValueHedgingMem</w:t>
      </w:r>
      <w:r>
        <w:rPr>
          <w:rFonts w:ascii="Times New Roman" w:eastAsia="宋体" w:hAnsi="Times New Roman"/>
          <w:vanish/>
          <w:sz w:val="20"/>
          <w:szCs w:val="20"/>
        </w:rPr>
        <w:t>ber 2016-09-25 2017-09-30 0000320193 aapl:ForeignCurrencyDebtMember us-gaap:NetInvestmentHedgingMember 2018-09-30 2019-09-28 0000320193 us-gaap:CashFlowHedgingMember 2017-10-01 2018-09-29 0000320193 us-gaap:ForeignExchangeContractMember us-gaap:FairValueHe</w:t>
      </w:r>
      <w:r>
        <w:rPr>
          <w:rFonts w:ascii="Times New Roman" w:eastAsia="宋体" w:hAnsi="Times New Roman"/>
          <w:vanish/>
          <w:sz w:val="20"/>
          <w:szCs w:val="20"/>
        </w:rPr>
        <w:t>dgingMember 2017-10-01 2018-09-29 0000320193 us-gaap:ForeignExchangeContractMember us-gaap:FairValueHedgingMember 2018-09-30 2019-09-28 0000320193 aapl:ForeignCurrencyDebtMember us-gaap:NetInvestmentHedgingMember 2016-09-25 2017-09-30 0000320193 us-gaap:Fo</w:t>
      </w:r>
      <w:r>
        <w:rPr>
          <w:rFonts w:ascii="Times New Roman" w:eastAsia="宋体" w:hAnsi="Times New Roman"/>
          <w:vanish/>
          <w:sz w:val="20"/>
          <w:szCs w:val="20"/>
        </w:rPr>
        <w:t>reignExchangeContractMember us-gaap:CashFlowHedgingMember 2017-10-01 2018-09-29 0000320193 us-gaap:FairValueHedgingMember 2017-10-01 2018-09-29 0000320193 us-gaap:ForeignExchangeContractMember us-gaap:FairValueHedgingMember 2016-09-25 2017-09-30 0000320193</w:t>
      </w:r>
      <w:r>
        <w:rPr>
          <w:rFonts w:ascii="Times New Roman" w:eastAsia="宋体" w:hAnsi="Times New Roman"/>
          <w:vanish/>
          <w:sz w:val="20"/>
          <w:szCs w:val="20"/>
        </w:rPr>
        <w:t xml:space="preserve"> us-gaap:OtherLiabilitiesMember us-gaap:ForeignExchangeContractMember us-gaap:FairValueInputsLevel2Member us-gaap:NondesignatedMember 2018-09-29 0000320193 us-gaap:OtherAssetsMember us-gaap:ForeignExchangeContractMember us-gaap:FairValueInputsLevel2Member </w:t>
      </w:r>
      <w:r>
        <w:rPr>
          <w:rFonts w:ascii="Times New Roman" w:eastAsia="宋体" w:hAnsi="Times New Roman"/>
          <w:vanish/>
          <w:sz w:val="20"/>
          <w:szCs w:val="20"/>
        </w:rPr>
        <w:t>2018-09-29 0000320193 us-gaap:OtherLiabilitiesMember us-gaap:InterestRateContractMember us-gaap:FairValueInputsLevel2Member 2018-09-29 0000320193 us-gaap:OtherLiabilitiesMember us-gaap:ForeignExchangeContractMember us-gaap:FairValueInputsLevel2Member 2018-</w:t>
      </w:r>
      <w:r>
        <w:rPr>
          <w:rFonts w:ascii="Times New Roman" w:eastAsia="宋体" w:hAnsi="Times New Roman"/>
          <w:vanish/>
          <w:sz w:val="20"/>
          <w:szCs w:val="20"/>
        </w:rPr>
        <w:t>09-29 0000320193 us-gaap:OtherLiabilitiesMember us-gaap:InterestRateContractMember us-gaap:FairValueInputsLevel2Member us-gaap:DesignatedAsHedgingInstrumentMember 2018-09-29 0000320193 us-gaap:OtherAssetsMember us-gaap:ForeignExchangeContractMember us-gaap</w:t>
      </w:r>
      <w:r>
        <w:rPr>
          <w:rFonts w:ascii="Times New Roman" w:eastAsia="宋体" w:hAnsi="Times New Roman"/>
          <w:vanish/>
          <w:sz w:val="20"/>
          <w:szCs w:val="20"/>
        </w:rPr>
        <w:t>:FairValueInputsLevel2Member us-gaap:DesignatedAsHedgingInstrumentMember 2018-09-29 0000320193 us-gaap:OtherLiabilitiesMember us-gaap:ForeignExchangeContractMember us-gaap:FairValueInputsLevel2Member us-gaap:DesignatedAsHedgingInstrumentMember 2018-09-29 0</w:t>
      </w:r>
      <w:r>
        <w:rPr>
          <w:rFonts w:ascii="Times New Roman" w:eastAsia="宋体" w:hAnsi="Times New Roman"/>
          <w:vanish/>
          <w:sz w:val="20"/>
          <w:szCs w:val="20"/>
        </w:rPr>
        <w:t>000320193 us-gaap:OtherLiabilitiesMember us-gaap:InterestRateContractMember us-gaap:FairValueInputsLevel2Member us-gaap:NondesignatedMember 2018-09-29 0000320193 us-gaap:OtherAssetsMember us-gaap:ForeignExchangeContractMember us-gaap:FairValueInputsLevel2M</w:t>
      </w:r>
      <w:r>
        <w:rPr>
          <w:rFonts w:ascii="Times New Roman" w:eastAsia="宋体" w:hAnsi="Times New Roman"/>
          <w:vanish/>
          <w:sz w:val="20"/>
          <w:szCs w:val="20"/>
        </w:rPr>
        <w:t>ember us-gaap:NondesignatedMember 2018-09-29 0000320193 aapl:VendorTwoMember aapl:NonTradeReceivableMember us-gaap:CreditConcentrationRiskMember 2017-10-01 2018-09-29 0000320193 us-gaap:TradeAccountsReceivableMember us-gaap:CreditConcentrationRiskMember 20</w:t>
      </w:r>
      <w:r>
        <w:rPr>
          <w:rFonts w:ascii="Times New Roman" w:eastAsia="宋体" w:hAnsi="Times New Roman"/>
          <w:vanish/>
          <w:sz w:val="20"/>
          <w:szCs w:val="20"/>
        </w:rPr>
        <w:t>19-09-28 0000320193 aapl:CellularNetworkCarriersMember us-gaap:TradeAccountsReceivableMember us-gaap:CreditConcentrationRiskMember 2018-09-30 2019-09-28 0000320193 aapl:NonTradeReceivableMember us-gaap:CreditConcentrationRiskMember 2019-09-28 0000320193 aa</w:t>
      </w:r>
      <w:r>
        <w:rPr>
          <w:rFonts w:ascii="Times New Roman" w:eastAsia="宋体" w:hAnsi="Times New Roman"/>
          <w:vanish/>
          <w:sz w:val="20"/>
          <w:szCs w:val="20"/>
        </w:rPr>
        <w:t>pl:VendorOneMember aapl:NonTradeReceivableMember us-gaap:CreditConcentrationRiskMember 2017-10-01 2018-09-29 0000320193 us-gaap:OtherCurrentLiabilitiesMember 2019-09-28 0000320193 srt:MaximumMember 2018-09-30 2019-09-28 0000320193 aapl:VendorOneMember aapl</w:t>
      </w:r>
      <w:r>
        <w:rPr>
          <w:rFonts w:ascii="Times New Roman" w:eastAsia="宋体" w:hAnsi="Times New Roman"/>
          <w:vanish/>
          <w:sz w:val="20"/>
          <w:szCs w:val="20"/>
        </w:rPr>
        <w:t>:NonTradeReceivableMember us-gaap:CreditConcentrationRiskMember 2018-09-30 2019-09-28 0000320193 us-gaap:OtherCurrentAssetsMember 2018-09-29 0000320193 us-gaap:ForeignExchangeContractMember 2018-09-30 2019-09-28 0000320193 us-gaap:CrossCurrencyInterestRate</w:t>
      </w:r>
      <w:r>
        <w:rPr>
          <w:rFonts w:ascii="Times New Roman" w:eastAsia="宋体" w:hAnsi="Times New Roman"/>
          <w:vanish/>
          <w:sz w:val="20"/>
          <w:szCs w:val="20"/>
        </w:rPr>
        <w:t>ContractMember 2018-09-30 2019-09-28 0000320193 aapl:VendorTwoMember aapl:NonTradeReceivableMember us-gaap:CreditConcentrationRiskMember 2018-09-30 2019-09-28 0000320193 aapl:NonTradeReceivableMember us-gaap:CreditConcentrationRiskMember 2018-09-29 0000320</w:t>
      </w:r>
      <w:r>
        <w:rPr>
          <w:rFonts w:ascii="Times New Roman" w:eastAsia="宋体" w:hAnsi="Times New Roman"/>
          <w:vanish/>
          <w:sz w:val="20"/>
          <w:szCs w:val="20"/>
        </w:rPr>
        <w:t>193 us-gaap:TradeAccountsReceivableMember us-gaap:CreditConcentrationRiskMember 2018-09-29 0000320193 aapl:CustomerOneMember us-gaap:TradeAccountsReceivableMember us-gaap:CreditConcentrationRiskMember 2017-10-01 2018-09-29 0000320193 aapl:CellularNetworkCa</w:t>
      </w:r>
      <w:r>
        <w:rPr>
          <w:rFonts w:ascii="Times New Roman" w:eastAsia="宋体" w:hAnsi="Times New Roman"/>
          <w:vanish/>
          <w:sz w:val="20"/>
          <w:szCs w:val="20"/>
        </w:rPr>
        <w:t>rriersMember us-gaap:TradeAccountsReceivableMember us-gaap:CreditConcentrationRiskMember 2017-10-01 2018-09-29 0000320193 us-gaap:OtherAssetsMember us-gaap:ForeignExchangeContractMember us-gaap:FairValueInputsLevel2Member 2019-09-28 0000320193 us-gaap:Othe</w:t>
      </w:r>
      <w:r>
        <w:rPr>
          <w:rFonts w:ascii="Times New Roman" w:eastAsia="宋体" w:hAnsi="Times New Roman"/>
          <w:vanish/>
          <w:sz w:val="20"/>
          <w:szCs w:val="20"/>
        </w:rPr>
        <w:t>rAssetsMember us-gaap:InterestRateContractMember us-gaap:FairValueInputsLevel2Member us-gaap:DesignatedAsHedgingInstrumentMember 2019-09-28 0000320193 us-gaap:OtherLiabilitiesMember us-gaap:InterestRateContractMember us-gaap:FairValueInputsLevel2Member 201</w:t>
      </w:r>
      <w:r>
        <w:rPr>
          <w:rFonts w:ascii="Times New Roman" w:eastAsia="宋体" w:hAnsi="Times New Roman"/>
          <w:vanish/>
          <w:sz w:val="20"/>
          <w:szCs w:val="20"/>
        </w:rPr>
        <w:t>9-09-28 0000320193 us-gaap:OtherLiabilitiesMember us-gaap:ForeignExchangeContractMember us-gaap:FairValueInputsLevel2Member 2019-09-28 0000320193 us-gaap:OtherAssetsMember us-gaap:ForeignExchangeContractMember us-gaap:FairValueInputsLevel2Member us-gaap:De</w:t>
      </w:r>
      <w:r>
        <w:rPr>
          <w:rFonts w:ascii="Times New Roman" w:eastAsia="宋体" w:hAnsi="Times New Roman"/>
          <w:vanish/>
          <w:sz w:val="20"/>
          <w:szCs w:val="20"/>
        </w:rPr>
        <w:t>signatedAsHedgingInstrumentMember 2019-09-28 0000320193 us-gaap:OtherLiabilitiesMember us-gaap:InterestRateContractMember us-gaap:FairValueInputsLevel2Member us-gaap:NondesignatedMember 2019-09-28 0000320193 us-gaap:OtherLiabilitiesMember us-gaap:InterestR</w:t>
      </w:r>
      <w:r>
        <w:rPr>
          <w:rFonts w:ascii="Times New Roman" w:eastAsia="宋体" w:hAnsi="Times New Roman"/>
          <w:vanish/>
          <w:sz w:val="20"/>
          <w:szCs w:val="20"/>
        </w:rPr>
        <w:t>ateContractMember us-gaap:FairValueInputsLevel2Member us-gaap:DesignatedAsHedgingInstrumentMember 2019-09-28 0000320193 us-gaap:OtherAssetsMember us-gaap:ForeignExchangeContractMember us-gaap:FairValueInputsLevel2Member us-gaap:NondesignatedMember 2019-09-</w:t>
      </w:r>
      <w:r>
        <w:rPr>
          <w:rFonts w:ascii="Times New Roman" w:eastAsia="宋体" w:hAnsi="Times New Roman"/>
          <w:vanish/>
          <w:sz w:val="20"/>
          <w:szCs w:val="20"/>
        </w:rPr>
        <w:t>28 0000320193 us-gaap:OtherLiabilitiesMember us-gaap:ForeignExchangeContractMember us-gaap:FairValueInputsLevel2Member us-gaap:NondesignatedMember 2019-09-28 0000320193 us-gaap:OtherAssetsMember us-gaap:InterestRateContractMember us-gaap:FairValueInputsLev</w:t>
      </w:r>
      <w:r>
        <w:rPr>
          <w:rFonts w:ascii="Times New Roman" w:eastAsia="宋体" w:hAnsi="Times New Roman"/>
          <w:vanish/>
          <w:sz w:val="20"/>
          <w:szCs w:val="20"/>
        </w:rPr>
        <w:t>el2Member us-gaap:NondesignatedMember 2019-09-28 0000320193 us-gaap:OtherLiabilitiesMember us-gaap:ForeignExchangeContractMember us-gaap:FairValueInputsLevel2Member us-gaap:DesignatedAsHedgingInstrumentMember 2019-09-28 0000320193 us-gaap:OtherAssetsMember</w:t>
      </w:r>
      <w:r>
        <w:rPr>
          <w:rFonts w:ascii="Times New Roman" w:eastAsia="宋体" w:hAnsi="Times New Roman"/>
          <w:vanish/>
          <w:sz w:val="20"/>
          <w:szCs w:val="20"/>
        </w:rPr>
        <w:t xml:space="preserve"> us-gaap:InterestRateContractMember us-gaap:FairValueInputsLevel2Member 2019-09-28 0000320193 srt:MinimumMember 2018-09-30 2019-09-28 0000320193 aapl:CustomerOneMember us-gaap:TradeAccountsReceivableMember us-gaap:CreditConcentrationRiskMember 2018-09-30 2</w:t>
      </w:r>
      <w:r>
        <w:rPr>
          <w:rFonts w:ascii="Times New Roman" w:eastAsia="宋体" w:hAnsi="Times New Roman"/>
          <w:vanish/>
          <w:sz w:val="20"/>
          <w:szCs w:val="20"/>
        </w:rPr>
        <w:t>019-09-28 0000320193 us-gaap:LandAndBuildingMember 2019-09-28 0000320193 us-gaap:LeaseholdImprovementsMember 2018-09-29 0000320193 us-gaap:LeaseholdImprovementsMember 2019-09-28 0000320193 us-gaap:LandAndBuildingMember 2018-09-29 0000320193 aapl:MachineryE</w:t>
      </w:r>
      <w:r>
        <w:rPr>
          <w:rFonts w:ascii="Times New Roman" w:eastAsia="宋体" w:hAnsi="Times New Roman"/>
          <w:vanish/>
          <w:sz w:val="20"/>
          <w:szCs w:val="20"/>
        </w:rPr>
        <w:t>quipmentandInternalUseSoftwareMember 2018-09-29 0000320193 aapl:MachineryEquipmentandInternalUseSoftwareMember 2019-09-28 0000320193 aapl:UnfavorableInvestigationOutcomeEUStateAidRulesMember 2018-09-30 2019-09-28 0000320193 aapl:UnfavorableInvestigationOut</w:t>
      </w:r>
      <w:r>
        <w:rPr>
          <w:rFonts w:ascii="Times New Roman" w:eastAsia="宋体" w:hAnsi="Times New Roman"/>
          <w:vanish/>
          <w:sz w:val="20"/>
          <w:szCs w:val="20"/>
        </w:rPr>
        <w:t>comeEUStateAidRulesMember 2016-08-30 2016-08-30 0000320193 2018-01-01 2018-01-01 0000320193 aapl:UnfavorableInvestigationOutcomeEUStateAidRulesMember 2019-09-28 0000320193 aapl:UnfavorableInvestigationOutcomeEUStateAidRulesMember 2016-08-30 0000320193 2017</w:t>
      </w:r>
      <w:r>
        <w:rPr>
          <w:rFonts w:ascii="Times New Roman" w:eastAsia="宋体" w:hAnsi="Times New Roman"/>
          <w:vanish/>
          <w:sz w:val="20"/>
          <w:szCs w:val="20"/>
        </w:rPr>
        <w:t>-12-31 2017-12-31 0000320193 aapl:UnfavorableInvestigationOutcomeEUStateAidRulesInterestComponentMember 2016-08-30 0000320193 us-gaap:NetInvestmentHedgingMember 2018-09-29 0000320193 us-gaap:NetInvestmentHedgingMember 2019-09-28 0000320193 srt:MinimumMembe</w:t>
      </w:r>
      <w:r>
        <w:rPr>
          <w:rFonts w:ascii="Times New Roman" w:eastAsia="宋体" w:hAnsi="Times New Roman"/>
          <w:vanish/>
          <w:sz w:val="20"/>
          <w:szCs w:val="20"/>
        </w:rPr>
        <w:t>r aapl:A20132018DebtIssuancesMember aapl:FixedRateNotesMember 2018-09-29 0000320193 aapl:A20132018DebtIssuancesMember aapl:FixedRateNotesMember 2018-09-30 2019-09-28 0000320193 aapl:A2019DebtIssuanceMember aapl:FixedRateNotesMember 2019-09-28 0000320193 aa</w:t>
      </w:r>
      <w:r>
        <w:rPr>
          <w:rFonts w:ascii="Times New Roman" w:eastAsia="宋体" w:hAnsi="Times New Roman"/>
          <w:vanish/>
          <w:sz w:val="20"/>
          <w:szCs w:val="20"/>
        </w:rPr>
        <w:t xml:space="preserve">pl:A20132018DebtIssuancesMember aapl:FixedRateNotesMember 2019-09-28 0000320193 srt:MaximumMember aapl:A2019DebtIssuanceMember aapl:FixedRateNotesMember 2019-09-28 0000320193 srt:MaximumMember aapl:A20132018DebtIssuancesMember aapl:FloatingRateNotesMember </w:t>
      </w:r>
      <w:r>
        <w:rPr>
          <w:rFonts w:ascii="Times New Roman" w:eastAsia="宋体" w:hAnsi="Times New Roman"/>
          <w:vanish/>
          <w:sz w:val="20"/>
          <w:szCs w:val="20"/>
        </w:rPr>
        <w:t>2019-09-28 0000320193 aapl:A20132018DebtIssuancesMember aapl:FloatingRateNotesMember 2018-09-29 0000320193 srt:MaximumMember aapl:A20132018DebtIssuancesMember aapl:FixedRateNotesMember 2018-09-29 0000320193 srt:MinimumMember aapl:A20132018DebtIssuancesMemb</w:t>
      </w:r>
      <w:r>
        <w:rPr>
          <w:rFonts w:ascii="Times New Roman" w:eastAsia="宋体" w:hAnsi="Times New Roman"/>
          <w:vanish/>
          <w:sz w:val="20"/>
          <w:szCs w:val="20"/>
        </w:rPr>
        <w:t>er aapl:FixedRateNotesMember 2019-09-28 0000320193 aapl:A20132018DebtIssuancesMember aapl:FloatingRateNotesMember 2018-09-30 2019-09-28 0000320193 aapl:A2019DebtIssuanceMember aapl:FixedRateNotesMember 2018-09-30 2019-09-28 0000320193 srt:MaximumMember aap</w:t>
      </w:r>
      <w:r>
        <w:rPr>
          <w:rFonts w:ascii="Times New Roman" w:eastAsia="宋体" w:hAnsi="Times New Roman"/>
          <w:vanish/>
          <w:sz w:val="20"/>
          <w:szCs w:val="20"/>
        </w:rPr>
        <w:t>l:A20132018DebtIssuancesMember aapl:FixedRateNotesMember 2019-09-28 0000320193 srt:MinimumMember aapl:A2019DebtIssuanceMember aapl:FixedRateNotesMember 2019-09-28 0000320193 aapl:A20132018DebtIssuancesMember aapl:FloatingRateNotesMember 2019-09-28 00003201</w:t>
      </w:r>
      <w:r>
        <w:rPr>
          <w:rFonts w:ascii="Times New Roman" w:eastAsia="宋体" w:hAnsi="Times New Roman"/>
          <w:vanish/>
          <w:sz w:val="20"/>
          <w:szCs w:val="20"/>
        </w:rPr>
        <w:t>93 srt:MinimumMember aapl:A20132018DebtIssuancesMember aapl:FloatingRateNotesMember 2018-09-29 0000320193 aapl:A20132018DebtIssuancesMember aapl:FixedRateNotesMember 2018-09-29 0000320193 srt:MaximumMember aapl:A20132018DebtIssuancesMember aapl:FloatingRat</w:t>
      </w:r>
      <w:r>
        <w:rPr>
          <w:rFonts w:ascii="Times New Roman" w:eastAsia="宋体" w:hAnsi="Times New Roman"/>
          <w:vanish/>
          <w:sz w:val="20"/>
          <w:szCs w:val="20"/>
        </w:rPr>
        <w:t>eNotesMember 2018-09-29 0000320193 srt:MinimumMember aapl:A20132018DebtIssuancesMember aapl:FloatingRateNotesMember 2019-09-28 0000320193 aapl:A2019DebtIssuanceMember aapl:FixedRateNotesMember 2018-09-29 0000320193 us-gaap:CommonStockMember 2019-09-28 0000</w:t>
      </w:r>
      <w:r>
        <w:rPr>
          <w:rFonts w:ascii="Times New Roman" w:eastAsia="宋体" w:hAnsi="Times New Roman"/>
          <w:vanish/>
          <w:sz w:val="20"/>
          <w:szCs w:val="20"/>
        </w:rPr>
        <w:t>320193 us-gaap:CommonStockMember 2017-09-30 0000320193 us-gaap:CommonStockMember 2018-09-29 0000320193 us-gaap:CommonStockMember 2018-09-30 2019-09-28 0000320193 us-gaap:CommonStockMember 2016-09-25 2017-09-30 0000320193 us-gaap:CommonStockMember 2017-10-0</w:t>
      </w:r>
      <w:r>
        <w:rPr>
          <w:rFonts w:ascii="Times New Roman" w:eastAsia="宋体" w:hAnsi="Times New Roman"/>
          <w:vanish/>
          <w:sz w:val="20"/>
          <w:szCs w:val="20"/>
        </w:rPr>
        <w:t>1 2018-09-29 0000320193 us-gaap:CommonStockMember 2016-09-24 0000320193 2019-04-30 0000320193 aapl:AcceleratedShareRepurchaseArrangementFebruary2019Member 2018-09-30 2019-09-28 0000320193 2019-04-29 0000320193 us-gaap:ReclassificationOutOfAccumulatedOtherC</w:t>
      </w:r>
      <w:r>
        <w:rPr>
          <w:rFonts w:ascii="Times New Roman" w:eastAsia="宋体" w:hAnsi="Times New Roman"/>
          <w:vanish/>
          <w:sz w:val="20"/>
          <w:szCs w:val="20"/>
        </w:rPr>
        <w:t>omprehensiveIncomeMember us-gaap:AccumulatedNetUnrealizedInvestmentGainLossMember 2018-09-30 2019-09-28 0000320193 us-gaap:ReclassificationOutOfAccumulatedOtherComprehensiveIncomeMember 2017-10-01 2018-09-29 0000320193 us-gaap:InterestRateContractMember us</w:t>
      </w:r>
      <w:r>
        <w:rPr>
          <w:rFonts w:ascii="Times New Roman" w:eastAsia="宋体" w:hAnsi="Times New Roman"/>
          <w:vanish/>
          <w:sz w:val="20"/>
          <w:szCs w:val="20"/>
        </w:rPr>
        <w:t>-gaap:ReclassificationOutOfAccumulatedOtherComprehensiveIncomeMember us-gaap:AccumulatedNetGainLossFromDesignatedOrQualifyingCashFlowHedgesMember 2018-09-30 2019-09-28 0000320193 us-gaap:ForeignExchangeContractMember us-gaap:ReclassificationOutOfAccumulate</w:t>
      </w:r>
      <w:r>
        <w:rPr>
          <w:rFonts w:ascii="Times New Roman" w:eastAsia="宋体" w:hAnsi="Times New Roman"/>
          <w:vanish/>
          <w:sz w:val="20"/>
          <w:szCs w:val="20"/>
        </w:rPr>
        <w:t>dOtherComprehensiveIncomeMember us-gaap:AccumulatedNetGainLossFromDesignatedOrQualifyingCashFlowHedgesMember 2017-10-01 2018-09-29 0000320193 us-gaap:ReclassificationOutOfAccumulatedOtherComprehensiveIncomeMember 2018-09-30 2019-09-28 0000320193 us-gaap:Re</w:t>
      </w:r>
      <w:r>
        <w:rPr>
          <w:rFonts w:ascii="Times New Roman" w:eastAsia="宋体" w:hAnsi="Times New Roman"/>
          <w:vanish/>
          <w:sz w:val="20"/>
          <w:szCs w:val="20"/>
        </w:rPr>
        <w:t>classificationOutOfAccumulatedOtherComprehensiveIncomeMember us-gaap:AccumulatedNetUnrealizedInvestmentGainLossMember 2017-10-01 2018-09-29 0000320193 us-gaap:ForeignExchangeContractMember us-gaap:ReclassificationOutOfAccumulatedOtherComprehensiveIncomeMem</w:t>
      </w:r>
      <w:r>
        <w:rPr>
          <w:rFonts w:ascii="Times New Roman" w:eastAsia="宋体" w:hAnsi="Times New Roman"/>
          <w:vanish/>
          <w:sz w:val="20"/>
          <w:szCs w:val="20"/>
        </w:rPr>
        <w:t>ber us-gaap:AccumulatedNetGainLossFromDesignatedOrQualifyingCashFlowHedgesMember 2018-09-30 2019-09-28 0000320193 us-gaap:ReclassificationOutOfAccumulatedOtherComprehensiveIncomeMember us-gaap:AccumulatedNetGainLossFromDesignatedOrQualifyingCashFlowHedgesM</w:t>
      </w:r>
      <w:r>
        <w:rPr>
          <w:rFonts w:ascii="Times New Roman" w:eastAsia="宋体" w:hAnsi="Times New Roman"/>
          <w:vanish/>
          <w:sz w:val="20"/>
          <w:szCs w:val="20"/>
        </w:rPr>
        <w:t>ember 2018-09-30 2019-09-28 0000320193 us-gaap:InterestRateContractMember us-gaap:ReclassificationOutOfAccumulatedOtherComprehensiveIncomeMember us-gaap:AccumulatedNetGainLossFromDesignatedOrQualifyingCashFlowHedgesMember 2017-10-01 2018-09-29 0000320193 u</w:t>
      </w:r>
      <w:r>
        <w:rPr>
          <w:rFonts w:ascii="Times New Roman" w:eastAsia="宋体" w:hAnsi="Times New Roman"/>
          <w:vanish/>
          <w:sz w:val="20"/>
          <w:szCs w:val="20"/>
        </w:rPr>
        <w:t>s-gaap:ReclassificationOutOfAccumulatedOtherComprehensiveIncomeMember us-gaap:AccumulatedNetGainLossFromDesignatedOrQualifyingCashFlowHedgesMember 2017-10-01 2018-09-29 0000320193 us-gaap:AccumulatedNetGainLossFromDesignatedOrQualifyingCashFlowHedgesMember</w:t>
      </w:r>
      <w:r>
        <w:rPr>
          <w:rFonts w:ascii="Times New Roman" w:eastAsia="宋体" w:hAnsi="Times New Roman"/>
          <w:vanish/>
          <w:sz w:val="20"/>
          <w:szCs w:val="20"/>
        </w:rPr>
        <w:t xml:space="preserve"> 2018-09-30 2019-09-28 0000320193 us-gaap:AccountingStandardsUpdate201601Member us-gaap:AccumulatedNetGainLossFromDesignatedOrQualifyingCashFlowHedgesMember 2018-09-30 0000320193 us-gaap:AccumulatedNetUnrealizedInvestmentGainLossMember 2017-10-01 2018-09-2</w:t>
      </w:r>
      <w:r>
        <w:rPr>
          <w:rFonts w:ascii="Times New Roman" w:eastAsia="宋体" w:hAnsi="Times New Roman"/>
          <w:vanish/>
          <w:sz w:val="20"/>
          <w:szCs w:val="20"/>
        </w:rPr>
        <w:t>9 0000320193 us-gaap:AccumulatedNetGainLossFromDesignatedOrQualifyingCashFlowHedgesMember 2017-10-01 2018-09-29 0000320193 us-gaap:AccumulatedNetGainLossFromDesignatedOrQualifyingCashFlowHedgesMember 2017-09-30 0000320193 us-gaap:AccumulatedNetUnrealizedIn</w:t>
      </w:r>
      <w:r>
        <w:rPr>
          <w:rFonts w:ascii="Times New Roman" w:eastAsia="宋体" w:hAnsi="Times New Roman"/>
          <w:vanish/>
          <w:sz w:val="20"/>
          <w:szCs w:val="20"/>
        </w:rPr>
        <w:t>vestmentGainLossMember 2018-09-30 2019-09-28 0000320193 us-gaap:AccumulatedNetUnrealizedInvestmentGainLossMember 2018-09-29 0000320193 us-gaap:AccumulatedTranslationAdjustmentMember 2019-09-28 0000320193 us-gaap:AccountingStandardsUpdate201601Member us-gaa</w:t>
      </w:r>
      <w:r>
        <w:rPr>
          <w:rFonts w:ascii="Times New Roman" w:eastAsia="宋体" w:hAnsi="Times New Roman"/>
          <w:vanish/>
          <w:sz w:val="20"/>
          <w:szCs w:val="20"/>
        </w:rPr>
        <w:t>p:AccumulatedTranslationAdjustmentMember 2018-09-30 0000320193 us-gaap:AccumulatedTranslationAdjustmentMember 2017-10-01 2018-09-29 0000320193 us-gaap:AccumulatedNetGainLossFromDesignatedOrQualifyingCashFlowHedgesMember 2019-09-28 0000320193 us-gaap:Accoun</w:t>
      </w:r>
      <w:r>
        <w:rPr>
          <w:rFonts w:ascii="Times New Roman" w:eastAsia="宋体" w:hAnsi="Times New Roman"/>
          <w:vanish/>
          <w:sz w:val="20"/>
          <w:szCs w:val="20"/>
        </w:rPr>
        <w:t>tingStandardsUpdate201601Member us-gaap:AccumulatedOtherComprehensiveIncomeMember 2018-09-30 0000320193 us-gaap:AccumulatedTranslationAdjustmentMember 2017-09-30 0000320193 us-gaap:AccumulatedTranslationAdjustmentMember 2018-09-30 2019-09-28 0000320193 us-</w:t>
      </w:r>
      <w:r>
        <w:rPr>
          <w:rFonts w:ascii="Times New Roman" w:eastAsia="宋体" w:hAnsi="Times New Roman"/>
          <w:vanish/>
          <w:sz w:val="20"/>
          <w:szCs w:val="20"/>
        </w:rPr>
        <w:t>gaap:AccountingStandardsUpdate201601Member us-gaap:AccumulatedNetUnrealizedInvestmentGainLossMember 2018-09-30 0000320193 us-gaap:AccumulatedNetGainLossFromDesignatedOrQualifyingCashFlowHedgesMember 2018-09-29 0000320193 us-gaap:AccumulatedNetUnrealizedInv</w:t>
      </w:r>
      <w:r>
        <w:rPr>
          <w:rFonts w:ascii="Times New Roman" w:eastAsia="宋体" w:hAnsi="Times New Roman"/>
          <w:vanish/>
          <w:sz w:val="20"/>
          <w:szCs w:val="20"/>
        </w:rPr>
        <w:t>estmentGainLossMember 2019-09-28 0000320193 us-gaap:AccumulatedTranslationAdjustmentMember 2018-09-29 0000320193 us-gaap:AccumulatedNetUnrealizedInvestmentGainLossMember 2017-09-30 0000320193 us-gaap:EmployeeStockMember 2018-09-30 2019-09-28 0000320193 us-</w:t>
      </w:r>
      <w:r>
        <w:rPr>
          <w:rFonts w:ascii="Times New Roman" w:eastAsia="宋体" w:hAnsi="Times New Roman"/>
          <w:vanish/>
          <w:sz w:val="20"/>
          <w:szCs w:val="20"/>
        </w:rPr>
        <w:t>gaap:RestrictedStockUnitsRSUMember aapl:EmployeeStockPlan2014PlanMember 2018-09-30 2019-09-28 0000320193 us-gaap:RestrictedStockUnitsRSUMember 2017-10-01 2018-09-29 0000320193 us-gaap:RestrictedStockUnitsRSUMember 2016-09-25 2017-09-30 0000320193 us-gaap:E</w:t>
      </w:r>
      <w:r>
        <w:rPr>
          <w:rFonts w:ascii="Times New Roman" w:eastAsia="宋体" w:hAnsi="Times New Roman"/>
          <w:vanish/>
          <w:sz w:val="20"/>
          <w:szCs w:val="20"/>
        </w:rPr>
        <w:t>mployeeStockMember 2019-09-28 0000320193 us-gaap:RestrictedStockUnitsRSUMember 2018-09-30 2019-09-28 0000320193 aapl:DirectorPlanMember 2019-09-28 0000320193 aapl:EmployeeStockPlan2014PlanMember 2019-09-28 0000320193 us-gaap:RestrictedStockUnitsRSUMember a</w:t>
      </w:r>
      <w:r>
        <w:rPr>
          <w:rFonts w:ascii="Times New Roman" w:eastAsia="宋体" w:hAnsi="Times New Roman"/>
          <w:vanish/>
          <w:sz w:val="20"/>
          <w:szCs w:val="20"/>
        </w:rPr>
        <w:t>apl:DirectorPlanMember 2018-09-30 2019-09-28 0000320193 aapl:EmployeeStockPlan2014PlanMember 2014-03-29 0000320193 us-gaap:RestrictedStockUnitsRSUMember 2016-09-24 0000320193 us-gaap:RestrictedStockUnitsRSUMember 2018-09-29 0000320193 us-gaap:RestrictedSto</w:t>
      </w:r>
      <w:r>
        <w:rPr>
          <w:rFonts w:ascii="Times New Roman" w:eastAsia="宋体" w:hAnsi="Times New Roman"/>
          <w:vanish/>
          <w:sz w:val="20"/>
          <w:szCs w:val="20"/>
        </w:rPr>
        <w:t>ckUnitsRSUMember 2019-09-28 0000320193 us-gaap:RestrictedStockUnitsRSUMember 2017-09-30 0000320193 aapl:VirnetXIIMember us-gaap:PendingLitigationMember 2018-04-11 2018-04-11 0000320193 aapl:VirnetXIMember us-gaap:PendingLitigationMember 2016-09-30 2016-09-</w:t>
      </w:r>
      <w:r>
        <w:rPr>
          <w:rFonts w:ascii="Times New Roman" w:eastAsia="宋体" w:hAnsi="Times New Roman"/>
          <w:vanish/>
          <w:sz w:val="20"/>
          <w:szCs w:val="20"/>
        </w:rPr>
        <w:t>30 0000320193 us-gaap:OperatingSegmentsMember 2018-09-30 2019-09-28 0000320193 us-gaap:MaterialReconcilingItemsMember 2018-09-30 2019-09-28 0000320193 us-gaap:CorporateNonSegmentMember 2016-09-25 2017-09-30 0000320193 us-gaap:OperatingSegmentsMember 2017-1</w:t>
      </w:r>
      <w:r>
        <w:rPr>
          <w:rFonts w:ascii="Times New Roman" w:eastAsia="宋体" w:hAnsi="Times New Roman"/>
          <w:vanish/>
          <w:sz w:val="20"/>
          <w:szCs w:val="20"/>
        </w:rPr>
        <w:t>0-01 2018-09-29 0000320193 us-gaap:OperatingSegmentsMember 2016-09-25 2017-09-30 0000320193 us-gaap:CorporateNonSegmentMember 2017-10-01 2018-09-29 0000320193 us-gaap:CorporateNonSegmentMember 2018-09-30 2019-09-28 0000320193 us-gaap:MaterialReconcilingIte</w:t>
      </w:r>
      <w:r>
        <w:rPr>
          <w:rFonts w:ascii="Times New Roman" w:eastAsia="宋体" w:hAnsi="Times New Roman"/>
          <w:vanish/>
          <w:sz w:val="20"/>
          <w:szCs w:val="20"/>
        </w:rPr>
        <w:t>msMember 2017-10-01 2018-09-29 0000320193 us-gaap:MaterialReconcilingItemsMember 2016-09-25 2017-09-30 0000320193 aapl:EuropeSegmentMember 2017-10-01 2018-09-29 0000320193 aapl:EuropeSegmentMember 2016-09-25 2017-09-30 0000320193 aapl:GreaterChinaSegmentMe</w:t>
      </w:r>
      <w:r>
        <w:rPr>
          <w:rFonts w:ascii="Times New Roman" w:eastAsia="宋体" w:hAnsi="Times New Roman"/>
          <w:vanish/>
          <w:sz w:val="20"/>
          <w:szCs w:val="20"/>
        </w:rPr>
        <w:t>mber 2017-10-01 2018-09-29 0000320193 aapl:RestOfAsiaPacificSegmentMember 2018-09-30 2019-09-28 0000320193 aapl:AmericasSegmentMember 2016-09-25 2017-09-30 0000320193 aapl:JapanSegmentMember 2016-09-25 2017-09-30 0000320193 aapl:EuropeSegmentMember 2018-09</w:t>
      </w:r>
      <w:r>
        <w:rPr>
          <w:rFonts w:ascii="Times New Roman" w:eastAsia="宋体" w:hAnsi="Times New Roman"/>
          <w:vanish/>
          <w:sz w:val="20"/>
          <w:szCs w:val="20"/>
        </w:rPr>
        <w:t>-30 2019-09-28 0000320193 aapl:GreaterChinaSegmentMember 2018-09-30 2019-09-28 0000320193 aapl:AmericasSegmentMember 2018-09-30 2019-09-28 0000320193 aapl:RestOfAsiaPacificSegmentMember 2017-10-01 2018-09-29 0000320193 aapl:JapanSegmentMember 2018-09-30 20</w:t>
      </w:r>
      <w:r>
        <w:rPr>
          <w:rFonts w:ascii="Times New Roman" w:eastAsia="宋体" w:hAnsi="Times New Roman"/>
          <w:vanish/>
          <w:sz w:val="20"/>
          <w:szCs w:val="20"/>
        </w:rPr>
        <w:t>19-09-28 0000320193 aapl:AmericasSegmentMember 2017-10-01 2018-09-29 0000320193 aapl:GreaterChinaSegmentMember 2016-09-25 2017-09-30 0000320193 aapl:JapanSegmentMember 2017-10-01 2018-09-29 0000320193 aapl:RestOfAsiaPacificSegmentMember 2016-09-25 2017-09-</w:t>
      </w:r>
      <w:r>
        <w:rPr>
          <w:rFonts w:ascii="Times New Roman" w:eastAsia="宋体" w:hAnsi="Times New Roman"/>
          <w:vanish/>
          <w:sz w:val="20"/>
          <w:szCs w:val="20"/>
        </w:rPr>
        <w:t>30 0000320193 country:US 2017-10-01 2018-09-29 0000320193 aapl:OtherCountriesMember 2018-09-30 2019-09-28 0000320193 aapl:OtherCountriesMember 2016-09-25 2017-09-30 0000320193 aapl:OtherCountriesMember 2017-10-01 2018-09-29 0000320193 country:CN 2017-10-01</w:t>
      </w:r>
      <w:r>
        <w:rPr>
          <w:rFonts w:ascii="Times New Roman" w:eastAsia="宋体" w:hAnsi="Times New Roman"/>
          <w:vanish/>
          <w:sz w:val="20"/>
          <w:szCs w:val="20"/>
        </w:rPr>
        <w:t xml:space="preserve"> 2018-09-29 0000320193 country:US 2016-09-25 2017-09-30 0000320193 country:CN 2016-09-25 2017-09-30 0000320193 country:US 2018-09-30 2019-09-28 0000320193 country:CN 2018-09-30 2019-09-28 0000320193 country:US 2019-09-28 0000320193 aapl:OtherCountriesMembe</w:t>
      </w:r>
      <w:r>
        <w:rPr>
          <w:rFonts w:ascii="Times New Roman" w:eastAsia="宋体" w:hAnsi="Times New Roman"/>
          <w:vanish/>
          <w:sz w:val="20"/>
          <w:szCs w:val="20"/>
        </w:rPr>
        <w:t>r 2018-09-29 0000320193 country:US 2018-09-29 0000320193 country:CN 2019-09-28 0000320193 country:CN 2018-09-29 0000320193 aapl:OtherCountriesMember 2019-09-28 0000320193 2018-09-30 2018-12-29 0000320193 2019-03-31 2019-06-29 0000320193 2018-12-30 2019-03-</w:t>
      </w:r>
      <w:r>
        <w:rPr>
          <w:rFonts w:ascii="Times New Roman" w:eastAsia="宋体" w:hAnsi="Times New Roman"/>
          <w:vanish/>
          <w:sz w:val="20"/>
          <w:szCs w:val="20"/>
        </w:rPr>
        <w:t>30 0000320193 2019-06-30 2019-09-28 0000320193 2018-07-01 2018-09-29 0000320193 2018-04-01 2018-06-30 0000320193 2017-12-31 2018-03-31 0000320193 2017-10-01 2017-12-30 iso4217:USD iso4217:USD xbrli:shares xbrli:shares aapl:Vendor xbrli:pure aapl:Customer a</w:t>
      </w:r>
      <w:r>
        <w:rPr>
          <w:rFonts w:ascii="Times New Roman" w:eastAsia="宋体" w:hAnsi="Times New Roman"/>
          <w:vanish/>
          <w:sz w:val="20"/>
          <w:szCs w:val="20"/>
        </w:rPr>
        <w:t xml:space="preserve">apl:obligation aapl:Subsidiary iso4217:EUR </w:t>
      </w:r>
    </w:p>
    <w:tbl>
      <w:tblPr>
        <w:tblW w:w="5000" w:type="pct"/>
        <w:jc w:val="center"/>
        <w:tblCellMar>
          <w:left w:w="0" w:type="dxa"/>
          <w:right w:w="0" w:type="dxa"/>
        </w:tblCellMar>
        <w:tblLook w:val="04A0" w:firstRow="1" w:lastRow="0" w:firstColumn="1" w:lastColumn="0" w:noHBand="0" w:noVBand="1"/>
      </w:tblPr>
      <w:tblGrid>
        <w:gridCol w:w="8306"/>
      </w:tblGrid>
      <w:tr w:rsidR="00FA5565" w14:paraId="2A739A84" w14:textId="77777777">
        <w:trPr>
          <w:jc w:val="center"/>
        </w:trPr>
        <w:tc>
          <w:tcPr>
            <w:tcW w:w="0" w:type="auto"/>
            <w:shd w:val="clear" w:color="auto" w:fill="auto"/>
            <w:vAlign w:val="center"/>
          </w:tcPr>
          <w:p w14:paraId="2A739A83" w14:textId="1785E1B4" w:rsidR="00FA5565" w:rsidRDefault="00D804D1">
            <w:pPr>
              <w:rPr>
                <w:rFonts w:ascii="Times New Roman" w:hAnsi="Times New Roman"/>
                <w:sz w:val="20"/>
                <w:szCs w:val="20"/>
              </w:rPr>
            </w:pPr>
            <w:r>
              <w:rPr>
                <w:rFonts w:ascii="Times New Roman" w:hAnsi="Times New Roman"/>
                <w:sz w:val="20"/>
                <w:szCs w:val="20"/>
              </w:rPr>
              <w:t xml:space="preserve"> </w:t>
            </w:r>
          </w:p>
        </w:tc>
      </w:tr>
      <w:tr w:rsidR="00FA5565" w14:paraId="2A739A86" w14:textId="77777777">
        <w:trPr>
          <w:jc w:val="center"/>
        </w:trPr>
        <w:tc>
          <w:tcPr>
            <w:tcW w:w="5000" w:type="pct"/>
            <w:shd w:val="clear" w:color="auto" w:fill="auto"/>
            <w:vAlign w:val="center"/>
          </w:tcPr>
          <w:p w14:paraId="2A739A85" w14:textId="77777777" w:rsidR="00FA5565" w:rsidRDefault="00FA5565">
            <w:pPr>
              <w:rPr>
                <w:rFonts w:ascii="Times New Roman" w:hAnsi="Times New Roman"/>
                <w:sz w:val="20"/>
                <w:szCs w:val="20"/>
              </w:rPr>
            </w:pPr>
          </w:p>
        </w:tc>
      </w:tr>
      <w:tr w:rsidR="00FA5565" w14:paraId="2A739A88"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9A8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bl>
    <w:p w14:paraId="2A739A89" w14:textId="77777777" w:rsidR="00FA5565" w:rsidRDefault="00D804D1">
      <w:pPr>
        <w:spacing w:line="288" w:lineRule="auto"/>
        <w:jc w:val="center"/>
        <w:rPr>
          <w:rFonts w:ascii="Times New Roman" w:hAnsi="Times New Roman"/>
          <w:sz w:val="26"/>
          <w:szCs w:val="26"/>
        </w:rPr>
      </w:pPr>
      <w:r>
        <w:rPr>
          <w:rFonts w:ascii="Helvetica" w:eastAsia="Helvetica" w:hAnsi="Helvetica" w:cs="Helvetica"/>
          <w:b/>
          <w:bCs/>
          <w:sz w:val="26"/>
          <w:szCs w:val="26"/>
        </w:rPr>
        <w:t>UNITED STATES</w:t>
      </w:r>
    </w:p>
    <w:p w14:paraId="2A739A8A" w14:textId="77777777" w:rsidR="00FA5565" w:rsidRDefault="00D804D1">
      <w:pPr>
        <w:spacing w:line="288" w:lineRule="auto"/>
        <w:jc w:val="center"/>
        <w:rPr>
          <w:rFonts w:ascii="Times New Roman" w:hAnsi="Times New Roman"/>
          <w:sz w:val="26"/>
          <w:szCs w:val="26"/>
        </w:rPr>
      </w:pPr>
      <w:r>
        <w:rPr>
          <w:rFonts w:ascii="Helvetica" w:eastAsia="Helvetica" w:hAnsi="Helvetica" w:cs="Helvetica"/>
          <w:b/>
          <w:bCs/>
          <w:sz w:val="26"/>
          <w:szCs w:val="26"/>
        </w:rPr>
        <w:t>SECURITIES AND EXCHANGE COMMISSION</w:t>
      </w:r>
    </w:p>
    <w:p w14:paraId="2A739A8B" w14:textId="77777777" w:rsidR="00FA5565" w:rsidRDefault="00D804D1">
      <w:pPr>
        <w:spacing w:line="288" w:lineRule="auto"/>
        <w:jc w:val="center"/>
        <w:rPr>
          <w:rFonts w:ascii="Times New Roman" w:hAnsi="Times New Roman"/>
          <w:sz w:val="22"/>
          <w:szCs w:val="22"/>
        </w:rPr>
      </w:pPr>
      <w:r>
        <w:rPr>
          <w:rFonts w:ascii="Helvetica" w:eastAsia="Helvetica" w:hAnsi="Helvetica" w:cs="Helvetica"/>
          <w:b/>
          <w:bCs/>
          <w:sz w:val="22"/>
          <w:szCs w:val="22"/>
        </w:rPr>
        <w:t>Washington, D.C. 20549</w:t>
      </w:r>
    </w:p>
    <w:tbl>
      <w:tblPr>
        <w:tblW w:w="977" w:type="pct"/>
        <w:jc w:val="center"/>
        <w:tblCellMar>
          <w:left w:w="0" w:type="dxa"/>
          <w:right w:w="0" w:type="dxa"/>
        </w:tblCellMar>
        <w:tblLook w:val="04A0" w:firstRow="1" w:lastRow="0" w:firstColumn="1" w:lastColumn="0" w:noHBand="0" w:noVBand="1"/>
      </w:tblPr>
      <w:tblGrid>
        <w:gridCol w:w="1623"/>
      </w:tblGrid>
      <w:tr w:rsidR="00FA5565" w14:paraId="2A739A8D" w14:textId="77777777">
        <w:trPr>
          <w:jc w:val="center"/>
        </w:trPr>
        <w:tc>
          <w:tcPr>
            <w:tcW w:w="0" w:type="auto"/>
            <w:shd w:val="clear" w:color="auto" w:fill="auto"/>
            <w:vAlign w:val="center"/>
          </w:tcPr>
          <w:p w14:paraId="2A739A8C" w14:textId="77777777" w:rsidR="00FA5565" w:rsidRDefault="00FA5565">
            <w:pPr>
              <w:rPr>
                <w:rFonts w:ascii="Times New Roman" w:hAnsi="Times New Roman"/>
                <w:sz w:val="20"/>
                <w:szCs w:val="20"/>
              </w:rPr>
            </w:pPr>
          </w:p>
        </w:tc>
      </w:tr>
      <w:tr w:rsidR="00FA5565" w14:paraId="2A739A8F" w14:textId="77777777">
        <w:trPr>
          <w:jc w:val="center"/>
        </w:trPr>
        <w:tc>
          <w:tcPr>
            <w:tcW w:w="5000" w:type="pct"/>
            <w:shd w:val="clear" w:color="auto" w:fill="auto"/>
            <w:vAlign w:val="center"/>
          </w:tcPr>
          <w:p w14:paraId="2A739A8E" w14:textId="77777777" w:rsidR="00FA5565" w:rsidRDefault="00FA5565">
            <w:pPr>
              <w:rPr>
                <w:rFonts w:ascii="Times New Roman" w:hAnsi="Times New Roman"/>
                <w:sz w:val="20"/>
                <w:szCs w:val="20"/>
              </w:rPr>
            </w:pPr>
          </w:p>
        </w:tc>
      </w:tr>
      <w:tr w:rsidR="00FA5565" w14:paraId="2A739A91"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2A739A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bl>
    <w:p w14:paraId="2A739A92" w14:textId="77777777" w:rsidR="00FA5565" w:rsidRDefault="00D804D1">
      <w:pPr>
        <w:spacing w:line="288" w:lineRule="auto"/>
        <w:jc w:val="center"/>
        <w:rPr>
          <w:rFonts w:ascii="Times New Roman" w:hAnsi="Times New Roman"/>
          <w:sz w:val="34"/>
          <w:szCs w:val="34"/>
        </w:rPr>
      </w:pPr>
      <w:r>
        <w:rPr>
          <w:rFonts w:ascii="Helvetica" w:eastAsia="Helvetica" w:hAnsi="Helvetica" w:cs="Helvetica"/>
          <w:b/>
          <w:bCs/>
          <w:sz w:val="34"/>
          <w:szCs w:val="34"/>
        </w:rPr>
        <w:t xml:space="preserve">FORM 10-K </w:t>
      </w:r>
    </w:p>
    <w:tbl>
      <w:tblPr>
        <w:tblW w:w="977" w:type="pct"/>
        <w:jc w:val="center"/>
        <w:tblCellMar>
          <w:left w:w="0" w:type="dxa"/>
          <w:right w:w="0" w:type="dxa"/>
        </w:tblCellMar>
        <w:tblLook w:val="04A0" w:firstRow="1" w:lastRow="0" w:firstColumn="1" w:lastColumn="0" w:noHBand="0" w:noVBand="1"/>
      </w:tblPr>
      <w:tblGrid>
        <w:gridCol w:w="1623"/>
      </w:tblGrid>
      <w:tr w:rsidR="00FA5565" w14:paraId="2A739A94" w14:textId="77777777">
        <w:trPr>
          <w:jc w:val="center"/>
        </w:trPr>
        <w:tc>
          <w:tcPr>
            <w:tcW w:w="0" w:type="auto"/>
            <w:shd w:val="clear" w:color="auto" w:fill="auto"/>
            <w:vAlign w:val="center"/>
          </w:tcPr>
          <w:p w14:paraId="2A739A93" w14:textId="77777777" w:rsidR="00FA5565" w:rsidRDefault="00FA5565">
            <w:pPr>
              <w:rPr>
                <w:rFonts w:ascii="Times New Roman" w:hAnsi="Times New Roman"/>
                <w:sz w:val="20"/>
                <w:szCs w:val="20"/>
              </w:rPr>
            </w:pPr>
          </w:p>
        </w:tc>
      </w:tr>
      <w:tr w:rsidR="00FA5565" w14:paraId="2A739A96" w14:textId="77777777">
        <w:trPr>
          <w:jc w:val="center"/>
        </w:trPr>
        <w:tc>
          <w:tcPr>
            <w:tcW w:w="5000" w:type="pct"/>
            <w:shd w:val="clear" w:color="auto" w:fill="auto"/>
            <w:vAlign w:val="center"/>
          </w:tcPr>
          <w:p w14:paraId="2A739A95" w14:textId="77777777" w:rsidR="00FA5565" w:rsidRDefault="00FA5565">
            <w:pPr>
              <w:rPr>
                <w:rFonts w:ascii="Times New Roman" w:hAnsi="Times New Roman"/>
                <w:sz w:val="20"/>
                <w:szCs w:val="20"/>
              </w:rPr>
            </w:pPr>
          </w:p>
        </w:tc>
      </w:tr>
      <w:tr w:rsidR="00FA5565" w14:paraId="2A739A98"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2A739A9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bl>
    <w:p w14:paraId="2A739A99" w14:textId="77777777" w:rsidR="00FA5565" w:rsidRDefault="00D804D1">
      <w:pPr>
        <w:spacing w:line="288" w:lineRule="auto"/>
        <w:jc w:val="both"/>
        <w:rPr>
          <w:rFonts w:ascii="Times New Roman" w:hAnsi="Times New Roman"/>
          <w:sz w:val="16"/>
          <w:szCs w:val="16"/>
        </w:rPr>
      </w:pPr>
      <w:r>
        <w:rPr>
          <w:rFonts w:ascii="Helvetica" w:eastAsia="Helvetica" w:hAnsi="Helvetica" w:cs="Helvetica"/>
          <w:sz w:val="16"/>
          <w:szCs w:val="16"/>
        </w:rPr>
        <w:t>(Mark One)</w:t>
      </w:r>
    </w:p>
    <w:p w14:paraId="2A739A9A" w14:textId="77777777" w:rsidR="00FA5565" w:rsidRDefault="00D804D1">
      <w:pPr>
        <w:spacing w:line="288" w:lineRule="auto"/>
        <w:jc w:val="center"/>
        <w:rPr>
          <w:rFonts w:ascii="Times New Roman" w:hAnsi="Times New Roman"/>
          <w:sz w:val="22"/>
          <w:szCs w:val="22"/>
        </w:rPr>
      </w:pPr>
      <w:r>
        <w:rPr>
          <w:rFonts w:ascii="Arial Unicode MS" w:eastAsia="Arial Unicode MS" w:hAnsi="Arial Unicode MS" w:cs="Arial Unicode MS"/>
          <w:sz w:val="22"/>
          <w:szCs w:val="22"/>
        </w:rPr>
        <w:t>☒</w:t>
      </w:r>
      <w:r>
        <w:rPr>
          <w:rFonts w:ascii="Helvetica" w:eastAsia="Helvetica" w:hAnsi="Helvetica" w:cs="Helvetica"/>
          <w:sz w:val="18"/>
          <w:szCs w:val="18"/>
        </w:rPr>
        <w:t xml:space="preserve"> </w:t>
      </w:r>
      <w:r>
        <w:rPr>
          <w:rFonts w:ascii="Helvetica" w:eastAsia="Helvetica" w:hAnsi="Helvetica" w:cs="Helvetica"/>
          <w:b/>
          <w:bCs/>
          <w:sz w:val="18"/>
          <w:szCs w:val="18"/>
        </w:rPr>
        <w:t>ANNUAL REPORT PURSUANT TO SECTION 13 OR 15(d) OF THE SECURITIES EXCHANGE ACT OF 1934</w:t>
      </w:r>
    </w:p>
    <w:p w14:paraId="2A739A9B"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 xml:space="preserve">For the </w:t>
      </w:r>
      <w:r>
        <w:rPr>
          <w:rFonts w:ascii="Helvetica" w:eastAsia="Helvetica" w:hAnsi="Helvetica" w:cs="Helvetica"/>
          <w:sz w:val="18"/>
          <w:szCs w:val="18"/>
        </w:rPr>
        <w:t>fiscal year ended September 28, 2019</w:t>
      </w:r>
    </w:p>
    <w:p w14:paraId="2A739A9C"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or</w:t>
      </w:r>
    </w:p>
    <w:p w14:paraId="2A739A9D" w14:textId="77777777" w:rsidR="00FA5565" w:rsidRDefault="00D804D1">
      <w:pPr>
        <w:spacing w:line="288" w:lineRule="auto"/>
        <w:jc w:val="center"/>
        <w:rPr>
          <w:rFonts w:ascii="Times New Roman" w:hAnsi="Times New Roman"/>
          <w:sz w:val="22"/>
          <w:szCs w:val="22"/>
        </w:rPr>
      </w:pPr>
      <w:r>
        <w:rPr>
          <w:rFonts w:ascii="Arial Unicode MS" w:eastAsia="Arial Unicode MS" w:hAnsi="Arial Unicode MS" w:cs="Arial Unicode MS" w:hint="eastAsia"/>
          <w:sz w:val="22"/>
          <w:szCs w:val="22"/>
        </w:rPr>
        <w:t>☐</w:t>
      </w:r>
      <w:r>
        <w:rPr>
          <w:rFonts w:ascii="Helvetica" w:eastAsia="Helvetica" w:hAnsi="Helvetica" w:cs="Helvetica"/>
          <w:sz w:val="18"/>
          <w:szCs w:val="18"/>
        </w:rPr>
        <w:t xml:space="preserve"> </w:t>
      </w:r>
      <w:r>
        <w:rPr>
          <w:rFonts w:ascii="Helvetica" w:eastAsia="Helvetica" w:hAnsi="Helvetica" w:cs="Helvetica"/>
          <w:b/>
          <w:bCs/>
          <w:sz w:val="18"/>
          <w:szCs w:val="18"/>
        </w:rPr>
        <w:t>TRANSITION REPORT PURSUANT TO SECTION 13 OR 15(d) OF THE SECURITIES EXCHANGE ACT OF 1934</w:t>
      </w:r>
    </w:p>
    <w:p w14:paraId="2A739A9E"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 xml:space="preserve">For the transition period from </w:t>
      </w:r>
      <w:r>
        <w:rPr>
          <w:rFonts w:ascii="Helvetica" w:eastAsia="Helvetica" w:hAnsi="Helvetica" w:cs="Helvetica"/>
          <w:sz w:val="18"/>
          <w:szCs w:val="18"/>
          <w:u w:val="single"/>
        </w:rPr>
        <w:t>            </w:t>
      </w:r>
      <w:r>
        <w:rPr>
          <w:rFonts w:ascii="Helvetica" w:eastAsia="Helvetica" w:hAnsi="Helvetica" w:cs="Helvetica"/>
          <w:sz w:val="18"/>
          <w:szCs w:val="18"/>
        </w:rPr>
        <w:t xml:space="preserve"> to </w:t>
      </w:r>
      <w:r>
        <w:rPr>
          <w:rFonts w:ascii="Helvetica" w:eastAsia="Helvetica" w:hAnsi="Helvetica" w:cs="Helvetica"/>
          <w:sz w:val="18"/>
          <w:szCs w:val="18"/>
          <w:u w:val="single"/>
        </w:rPr>
        <w:t>            </w:t>
      </w:r>
      <w:r>
        <w:rPr>
          <w:rFonts w:ascii="Helvetica" w:eastAsia="Helvetica" w:hAnsi="Helvetica" w:cs="Helvetica"/>
          <w:sz w:val="18"/>
          <w:szCs w:val="18"/>
        </w:rPr>
        <w:t>.</w:t>
      </w:r>
    </w:p>
    <w:p w14:paraId="2A739A9F"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 xml:space="preserve">Commission File Number: </w:t>
      </w:r>
      <w:r>
        <w:rPr>
          <w:rFonts w:ascii="Helvetica" w:eastAsia="Helvetica" w:hAnsi="Helvetica" w:cs="Helvetica"/>
          <w:b/>
          <w:bCs/>
          <w:sz w:val="18"/>
          <w:szCs w:val="18"/>
        </w:rPr>
        <w:t>001-36743</w:t>
      </w:r>
    </w:p>
    <w:tbl>
      <w:tblPr>
        <w:tblW w:w="977" w:type="pct"/>
        <w:jc w:val="center"/>
        <w:tblCellMar>
          <w:left w:w="0" w:type="dxa"/>
          <w:right w:w="0" w:type="dxa"/>
        </w:tblCellMar>
        <w:tblLook w:val="04A0" w:firstRow="1" w:lastRow="0" w:firstColumn="1" w:lastColumn="0" w:noHBand="0" w:noVBand="1"/>
      </w:tblPr>
      <w:tblGrid>
        <w:gridCol w:w="1623"/>
      </w:tblGrid>
      <w:tr w:rsidR="00FA5565" w14:paraId="2A739AA1" w14:textId="77777777">
        <w:trPr>
          <w:jc w:val="center"/>
        </w:trPr>
        <w:tc>
          <w:tcPr>
            <w:tcW w:w="0" w:type="auto"/>
            <w:shd w:val="clear" w:color="auto" w:fill="auto"/>
            <w:vAlign w:val="center"/>
          </w:tcPr>
          <w:p w14:paraId="2A739AA0" w14:textId="77777777" w:rsidR="00FA5565" w:rsidRDefault="00FA5565">
            <w:pPr>
              <w:rPr>
                <w:rFonts w:ascii="Times New Roman" w:hAnsi="Times New Roman"/>
                <w:sz w:val="20"/>
                <w:szCs w:val="20"/>
              </w:rPr>
            </w:pPr>
          </w:p>
        </w:tc>
      </w:tr>
      <w:tr w:rsidR="00FA5565" w14:paraId="2A739AA3" w14:textId="77777777">
        <w:trPr>
          <w:jc w:val="center"/>
        </w:trPr>
        <w:tc>
          <w:tcPr>
            <w:tcW w:w="5000" w:type="pct"/>
            <w:shd w:val="clear" w:color="auto" w:fill="auto"/>
            <w:vAlign w:val="center"/>
          </w:tcPr>
          <w:p w14:paraId="2A739AA2" w14:textId="77777777" w:rsidR="00FA5565" w:rsidRDefault="00FA5565">
            <w:pPr>
              <w:rPr>
                <w:rFonts w:ascii="Times New Roman" w:hAnsi="Times New Roman"/>
                <w:sz w:val="20"/>
                <w:szCs w:val="20"/>
              </w:rPr>
            </w:pPr>
          </w:p>
        </w:tc>
      </w:tr>
      <w:tr w:rsidR="00FA5565" w14:paraId="2A739AA5"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2A739AA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bl>
    <w:p w14:paraId="2A739AA6" w14:textId="77777777" w:rsidR="00FA5565" w:rsidRDefault="00D804D1">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/Apple/./Inline XBRL Viewer13_files/g66145g66i38.jpg"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A73C097" wp14:editId="2A73C098">
            <wp:extent cx="304800" cy="304800"/>
            <wp:effectExtent l="0" t="0" r="0" b="0"/>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2A739AA7" w14:textId="77777777" w:rsidR="00FA5565" w:rsidRDefault="00D804D1">
      <w:pPr>
        <w:spacing w:line="288" w:lineRule="auto"/>
        <w:jc w:val="center"/>
        <w:rPr>
          <w:rFonts w:ascii="Times New Roman" w:hAnsi="Times New Roman"/>
          <w:sz w:val="40"/>
          <w:szCs w:val="40"/>
        </w:rPr>
      </w:pPr>
      <w:r>
        <w:rPr>
          <w:rFonts w:ascii="Helvetica" w:eastAsia="Helvetica" w:hAnsi="Helvetica" w:cs="Helvetica"/>
          <w:b/>
          <w:bCs/>
          <w:sz w:val="40"/>
          <w:szCs w:val="40"/>
        </w:rPr>
        <w:t>Apple Inc.</w:t>
      </w:r>
    </w:p>
    <w:p w14:paraId="2A739AA8"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(Exact name of Registrant as specified in its charter)</w:t>
      </w:r>
    </w:p>
    <w:tbl>
      <w:tblPr>
        <w:tblW w:w="977" w:type="pct"/>
        <w:jc w:val="center"/>
        <w:tblCellMar>
          <w:left w:w="0" w:type="dxa"/>
          <w:right w:w="0" w:type="dxa"/>
        </w:tblCellMar>
        <w:tblLook w:val="04A0" w:firstRow="1" w:lastRow="0" w:firstColumn="1" w:lastColumn="0" w:noHBand="0" w:noVBand="1"/>
      </w:tblPr>
      <w:tblGrid>
        <w:gridCol w:w="1623"/>
      </w:tblGrid>
      <w:tr w:rsidR="00FA5565" w14:paraId="2A739AAA" w14:textId="77777777">
        <w:trPr>
          <w:jc w:val="center"/>
        </w:trPr>
        <w:tc>
          <w:tcPr>
            <w:tcW w:w="0" w:type="auto"/>
            <w:shd w:val="clear" w:color="auto" w:fill="auto"/>
            <w:vAlign w:val="center"/>
          </w:tcPr>
          <w:p w14:paraId="2A739AA9" w14:textId="77777777" w:rsidR="00FA5565" w:rsidRDefault="00FA5565">
            <w:pPr>
              <w:rPr>
                <w:rFonts w:ascii="Times New Roman" w:hAnsi="Times New Roman"/>
                <w:sz w:val="20"/>
                <w:szCs w:val="20"/>
              </w:rPr>
            </w:pPr>
          </w:p>
        </w:tc>
      </w:tr>
      <w:tr w:rsidR="00FA5565" w14:paraId="2A739AAC" w14:textId="77777777">
        <w:trPr>
          <w:jc w:val="center"/>
        </w:trPr>
        <w:tc>
          <w:tcPr>
            <w:tcW w:w="5000" w:type="pct"/>
            <w:shd w:val="clear" w:color="auto" w:fill="auto"/>
            <w:vAlign w:val="center"/>
          </w:tcPr>
          <w:p w14:paraId="2A739AAB" w14:textId="77777777" w:rsidR="00FA5565" w:rsidRDefault="00FA5565">
            <w:pPr>
              <w:rPr>
                <w:rFonts w:ascii="Times New Roman" w:hAnsi="Times New Roman"/>
                <w:sz w:val="20"/>
                <w:szCs w:val="20"/>
              </w:rPr>
            </w:pPr>
          </w:p>
        </w:tc>
      </w:tr>
      <w:tr w:rsidR="00FA5565" w14:paraId="2A739AAE"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2A739AA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bl>
    <w:p w14:paraId="2A739AAF" w14:textId="77777777" w:rsidR="00FA5565" w:rsidRDefault="00FA5565">
      <w:pPr>
        <w:rPr>
          <w:vanish/>
        </w:rPr>
      </w:pPr>
    </w:p>
    <w:tbl>
      <w:tblPr>
        <w:tblW w:w="5000" w:type="pct"/>
        <w:tblCellMar>
          <w:left w:w="0" w:type="dxa"/>
          <w:right w:w="0" w:type="dxa"/>
        </w:tblCellMar>
        <w:tblLook w:val="04A0" w:firstRow="1" w:lastRow="0" w:firstColumn="1" w:lastColumn="0" w:noHBand="0" w:noVBand="1"/>
      </w:tblPr>
      <w:tblGrid>
        <w:gridCol w:w="1815"/>
        <w:gridCol w:w="130"/>
        <w:gridCol w:w="1815"/>
        <w:gridCol w:w="819"/>
        <w:gridCol w:w="3727"/>
      </w:tblGrid>
      <w:tr w:rsidR="00FA5565" w14:paraId="2A739AB1" w14:textId="77777777">
        <w:tc>
          <w:tcPr>
            <w:tcW w:w="0" w:type="auto"/>
            <w:gridSpan w:val="5"/>
            <w:shd w:val="clear" w:color="auto" w:fill="auto"/>
            <w:vAlign w:val="center"/>
          </w:tcPr>
          <w:p w14:paraId="2A739AB0" w14:textId="77777777" w:rsidR="00FA5565" w:rsidRDefault="00FA5565">
            <w:pPr>
              <w:rPr>
                <w:rFonts w:ascii="Times New Roman" w:hAnsi="Times New Roman"/>
                <w:sz w:val="20"/>
                <w:szCs w:val="20"/>
              </w:rPr>
            </w:pPr>
          </w:p>
        </w:tc>
      </w:tr>
      <w:tr w:rsidR="00FA5565" w14:paraId="2A739AB7" w14:textId="77777777">
        <w:tc>
          <w:tcPr>
            <w:tcW w:w="1100" w:type="pct"/>
            <w:shd w:val="clear" w:color="auto" w:fill="auto"/>
            <w:vAlign w:val="center"/>
          </w:tcPr>
          <w:p w14:paraId="2A739AB2" w14:textId="77777777" w:rsidR="00FA5565" w:rsidRDefault="00FA5565">
            <w:pPr>
              <w:rPr>
                <w:rFonts w:ascii="Times New Roman" w:hAnsi="Times New Roman"/>
                <w:sz w:val="20"/>
                <w:szCs w:val="20"/>
              </w:rPr>
            </w:pPr>
          </w:p>
        </w:tc>
        <w:tc>
          <w:tcPr>
            <w:tcW w:w="50" w:type="pct"/>
            <w:shd w:val="clear" w:color="auto" w:fill="auto"/>
            <w:vAlign w:val="center"/>
          </w:tcPr>
          <w:p w14:paraId="2A739AB3" w14:textId="77777777" w:rsidR="00FA5565" w:rsidRDefault="00FA5565">
            <w:pPr>
              <w:rPr>
                <w:rFonts w:ascii="Times New Roman" w:hAnsi="Times New Roman"/>
                <w:sz w:val="20"/>
                <w:szCs w:val="20"/>
              </w:rPr>
            </w:pPr>
          </w:p>
        </w:tc>
        <w:tc>
          <w:tcPr>
            <w:tcW w:w="1100" w:type="pct"/>
            <w:shd w:val="clear" w:color="auto" w:fill="auto"/>
            <w:vAlign w:val="center"/>
          </w:tcPr>
          <w:p w14:paraId="2A739AB4" w14:textId="77777777" w:rsidR="00FA5565" w:rsidRDefault="00FA5565">
            <w:pPr>
              <w:rPr>
                <w:rFonts w:ascii="Times New Roman" w:hAnsi="Times New Roman"/>
                <w:sz w:val="20"/>
                <w:szCs w:val="20"/>
              </w:rPr>
            </w:pPr>
          </w:p>
        </w:tc>
        <w:tc>
          <w:tcPr>
            <w:tcW w:w="500" w:type="pct"/>
            <w:shd w:val="clear" w:color="auto" w:fill="auto"/>
            <w:vAlign w:val="center"/>
          </w:tcPr>
          <w:p w14:paraId="2A739AB5" w14:textId="77777777" w:rsidR="00FA5565" w:rsidRDefault="00FA5565">
            <w:pPr>
              <w:rPr>
                <w:rFonts w:ascii="Times New Roman" w:hAnsi="Times New Roman"/>
                <w:sz w:val="20"/>
                <w:szCs w:val="20"/>
              </w:rPr>
            </w:pPr>
          </w:p>
        </w:tc>
        <w:tc>
          <w:tcPr>
            <w:tcW w:w="2250" w:type="pct"/>
            <w:shd w:val="clear" w:color="auto" w:fill="auto"/>
            <w:vAlign w:val="center"/>
          </w:tcPr>
          <w:p w14:paraId="2A739AB6" w14:textId="77777777" w:rsidR="00FA5565" w:rsidRDefault="00FA5565">
            <w:pPr>
              <w:rPr>
                <w:rFonts w:ascii="Times New Roman" w:hAnsi="Times New Roman"/>
                <w:sz w:val="20"/>
                <w:szCs w:val="20"/>
              </w:rPr>
            </w:pPr>
          </w:p>
        </w:tc>
      </w:tr>
      <w:tr w:rsidR="00FA5565" w14:paraId="2A739ABB" w14:textId="77777777">
        <w:tc>
          <w:tcPr>
            <w:tcW w:w="0" w:type="auto"/>
            <w:gridSpan w:val="3"/>
            <w:shd w:val="clear" w:color="auto" w:fill="auto"/>
            <w:tcMar>
              <w:top w:w="40" w:type="dxa"/>
              <w:left w:w="40" w:type="dxa"/>
              <w:bottom w:w="40" w:type="dxa"/>
              <w:right w:w="40" w:type="dxa"/>
            </w:tcMar>
            <w:vAlign w:val="bottom"/>
          </w:tcPr>
          <w:p w14:paraId="2A739AB8" w14:textId="77777777" w:rsidR="00FA5565" w:rsidRDefault="00D804D1">
            <w:pPr>
              <w:jc w:val="center"/>
              <w:textAlignment w:val="bottom"/>
              <w:rPr>
                <w:rFonts w:ascii="Times New Roman" w:hAnsi="Times New Roman"/>
                <w:sz w:val="18"/>
                <w:szCs w:val="18"/>
              </w:rPr>
            </w:pPr>
            <w:r>
              <w:rPr>
                <w:rFonts w:ascii="Helvetica" w:eastAsia="Helvetica" w:hAnsi="Helvetica" w:cs="Helvetica"/>
                <w:b/>
                <w:bCs/>
                <w:sz w:val="18"/>
                <w:szCs w:val="18"/>
              </w:rPr>
              <w:t>California</w:t>
            </w:r>
          </w:p>
        </w:tc>
        <w:tc>
          <w:tcPr>
            <w:tcW w:w="0" w:type="auto"/>
            <w:shd w:val="clear" w:color="auto" w:fill="auto"/>
            <w:tcMar>
              <w:top w:w="40" w:type="dxa"/>
              <w:left w:w="40" w:type="dxa"/>
              <w:bottom w:w="40" w:type="dxa"/>
              <w:right w:w="40" w:type="dxa"/>
            </w:tcMar>
            <w:vAlign w:val="bottom"/>
          </w:tcPr>
          <w:p w14:paraId="2A739AB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ABA" w14:textId="77777777" w:rsidR="00FA5565" w:rsidRDefault="00D804D1">
            <w:pPr>
              <w:jc w:val="center"/>
              <w:textAlignment w:val="bottom"/>
              <w:rPr>
                <w:rFonts w:ascii="Times New Roman" w:hAnsi="Times New Roman"/>
                <w:sz w:val="18"/>
                <w:szCs w:val="18"/>
              </w:rPr>
            </w:pPr>
            <w:r>
              <w:rPr>
                <w:rFonts w:ascii="Helvetica" w:eastAsia="Helvetica" w:hAnsi="Helvetica" w:cs="Helvetica"/>
                <w:b/>
                <w:bCs/>
                <w:sz w:val="18"/>
                <w:szCs w:val="18"/>
              </w:rPr>
              <w:t>94-2404110</w:t>
            </w:r>
          </w:p>
        </w:tc>
      </w:tr>
      <w:tr w:rsidR="00FA5565" w14:paraId="2A739AC0" w14:textId="77777777">
        <w:tc>
          <w:tcPr>
            <w:tcW w:w="0" w:type="auto"/>
            <w:gridSpan w:val="3"/>
            <w:shd w:val="clear" w:color="auto" w:fill="auto"/>
            <w:tcMar>
              <w:top w:w="40" w:type="dxa"/>
              <w:left w:w="40" w:type="dxa"/>
              <w:bottom w:w="40" w:type="dxa"/>
              <w:right w:w="40" w:type="dxa"/>
            </w:tcMar>
          </w:tcPr>
          <w:p w14:paraId="2A739ABC" w14:textId="77777777" w:rsidR="00FA5565" w:rsidRDefault="00D804D1">
            <w:pPr>
              <w:jc w:val="center"/>
              <w:textAlignment w:val="top"/>
              <w:rPr>
                <w:rFonts w:ascii="Times New Roman" w:hAnsi="Times New Roman"/>
                <w:sz w:val="16"/>
                <w:szCs w:val="16"/>
              </w:rPr>
            </w:pPr>
            <w:r>
              <w:rPr>
                <w:rFonts w:ascii="Helvetica" w:eastAsia="Helvetica" w:hAnsi="Helvetica" w:cs="Helvetica"/>
                <w:sz w:val="16"/>
                <w:szCs w:val="16"/>
              </w:rPr>
              <w:t>(State or other jurisdiction</w:t>
            </w:r>
          </w:p>
          <w:p w14:paraId="2A739ABD" w14:textId="77777777" w:rsidR="00FA5565" w:rsidRDefault="00D804D1">
            <w:pPr>
              <w:jc w:val="center"/>
              <w:textAlignment w:val="top"/>
              <w:rPr>
                <w:rFonts w:ascii="Times New Roman" w:hAnsi="Times New Roman"/>
                <w:sz w:val="16"/>
                <w:szCs w:val="16"/>
              </w:rPr>
            </w:pPr>
            <w:r>
              <w:rPr>
                <w:rFonts w:ascii="Helvetica" w:eastAsia="Helvetica" w:hAnsi="Helvetica" w:cs="Helvetica"/>
                <w:sz w:val="16"/>
                <w:szCs w:val="16"/>
              </w:rPr>
              <w:t>of incorporation or organization)</w:t>
            </w:r>
          </w:p>
        </w:tc>
        <w:tc>
          <w:tcPr>
            <w:tcW w:w="0" w:type="auto"/>
            <w:shd w:val="clear" w:color="auto" w:fill="auto"/>
            <w:tcMar>
              <w:top w:w="40" w:type="dxa"/>
              <w:left w:w="40" w:type="dxa"/>
              <w:bottom w:w="40" w:type="dxa"/>
              <w:right w:w="40" w:type="dxa"/>
            </w:tcMar>
            <w:vAlign w:val="bottom"/>
          </w:tcPr>
          <w:p w14:paraId="2A739A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9ABF" w14:textId="77777777" w:rsidR="00FA5565" w:rsidRDefault="00D804D1">
            <w:pPr>
              <w:jc w:val="center"/>
              <w:textAlignment w:val="top"/>
              <w:rPr>
                <w:rFonts w:ascii="Times New Roman" w:hAnsi="Times New Roman"/>
                <w:sz w:val="16"/>
                <w:szCs w:val="16"/>
              </w:rPr>
            </w:pPr>
            <w:r>
              <w:rPr>
                <w:rFonts w:ascii="Helvetica" w:eastAsia="Helvetica" w:hAnsi="Helvetica" w:cs="Helvetica"/>
                <w:sz w:val="16"/>
                <w:szCs w:val="16"/>
              </w:rPr>
              <w:t>(I.R.S. Employer Identification No.)</w:t>
            </w:r>
          </w:p>
        </w:tc>
      </w:tr>
      <w:tr w:rsidR="00FA5565" w14:paraId="2A739AC6" w14:textId="77777777">
        <w:tc>
          <w:tcPr>
            <w:tcW w:w="0" w:type="auto"/>
            <w:shd w:val="clear" w:color="auto" w:fill="auto"/>
            <w:tcMar>
              <w:top w:w="40" w:type="dxa"/>
              <w:left w:w="40" w:type="dxa"/>
              <w:bottom w:w="40" w:type="dxa"/>
              <w:right w:w="40" w:type="dxa"/>
            </w:tcMar>
            <w:vAlign w:val="bottom"/>
          </w:tcPr>
          <w:p w14:paraId="2A739A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AC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A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AC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A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ACA" w14:textId="77777777">
        <w:tc>
          <w:tcPr>
            <w:tcW w:w="0" w:type="auto"/>
            <w:gridSpan w:val="3"/>
            <w:shd w:val="clear" w:color="auto" w:fill="auto"/>
            <w:tcMar>
              <w:top w:w="40" w:type="dxa"/>
              <w:left w:w="40" w:type="dxa"/>
              <w:bottom w:w="40" w:type="dxa"/>
              <w:right w:w="40" w:type="dxa"/>
            </w:tcMar>
            <w:vAlign w:val="bottom"/>
          </w:tcPr>
          <w:p w14:paraId="2A739AC7" w14:textId="77777777" w:rsidR="00FA5565" w:rsidRDefault="00D804D1">
            <w:pPr>
              <w:jc w:val="center"/>
              <w:textAlignment w:val="bottom"/>
              <w:rPr>
                <w:rFonts w:ascii="Times New Roman" w:hAnsi="Times New Roman"/>
                <w:sz w:val="18"/>
                <w:szCs w:val="18"/>
              </w:rPr>
            </w:pPr>
            <w:r>
              <w:rPr>
                <w:rFonts w:ascii="Helvetica" w:eastAsia="Helvetica" w:hAnsi="Helvetica" w:cs="Helvetica"/>
                <w:b/>
                <w:bCs/>
                <w:sz w:val="18"/>
                <w:szCs w:val="18"/>
              </w:rPr>
              <w:t>One Apple Park Way</w:t>
            </w:r>
          </w:p>
        </w:tc>
        <w:tc>
          <w:tcPr>
            <w:tcW w:w="0" w:type="auto"/>
            <w:shd w:val="clear" w:color="auto" w:fill="auto"/>
            <w:tcMar>
              <w:top w:w="40" w:type="dxa"/>
              <w:left w:w="40" w:type="dxa"/>
              <w:bottom w:w="40" w:type="dxa"/>
              <w:right w:w="40" w:type="dxa"/>
            </w:tcMar>
            <w:vAlign w:val="bottom"/>
          </w:tcPr>
          <w:p w14:paraId="2A739A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AC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AD0" w14:textId="77777777">
        <w:tc>
          <w:tcPr>
            <w:tcW w:w="0" w:type="auto"/>
            <w:shd w:val="clear" w:color="auto" w:fill="auto"/>
            <w:tcMar>
              <w:top w:w="40" w:type="dxa"/>
              <w:left w:w="40" w:type="dxa"/>
              <w:bottom w:w="40" w:type="dxa"/>
              <w:right w:w="40" w:type="dxa"/>
            </w:tcMar>
            <w:vAlign w:val="bottom"/>
          </w:tcPr>
          <w:p w14:paraId="2A739ACB" w14:textId="77777777" w:rsidR="00FA5565" w:rsidRDefault="00D804D1">
            <w:pPr>
              <w:jc w:val="right"/>
              <w:textAlignment w:val="bottom"/>
              <w:rPr>
                <w:rFonts w:ascii="Times New Roman" w:hAnsi="Times New Roman"/>
                <w:sz w:val="18"/>
                <w:szCs w:val="18"/>
              </w:rPr>
            </w:pPr>
            <w:r>
              <w:rPr>
                <w:rFonts w:ascii="Helvetica" w:eastAsia="Helvetica" w:hAnsi="Helvetica" w:cs="Helvetica"/>
                <w:b/>
                <w:bCs/>
                <w:sz w:val="18"/>
                <w:szCs w:val="18"/>
              </w:rPr>
              <w:t>Cupertino</w:t>
            </w:r>
          </w:p>
        </w:tc>
        <w:tc>
          <w:tcPr>
            <w:tcW w:w="0" w:type="auto"/>
            <w:shd w:val="clear" w:color="auto" w:fill="auto"/>
            <w:tcMar>
              <w:top w:w="40" w:type="dxa"/>
              <w:left w:w="40" w:type="dxa"/>
              <w:bottom w:w="40" w:type="dxa"/>
              <w:right w:w="40" w:type="dxa"/>
            </w:tcMar>
            <w:vAlign w:val="bottom"/>
          </w:tcPr>
          <w:p w14:paraId="2A739AC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ACD" w14:textId="77777777" w:rsidR="00FA5565" w:rsidRDefault="00D804D1">
            <w:pPr>
              <w:textAlignment w:val="bottom"/>
              <w:rPr>
                <w:rFonts w:ascii="Times New Roman" w:hAnsi="Times New Roman"/>
                <w:sz w:val="18"/>
                <w:szCs w:val="18"/>
              </w:rPr>
            </w:pPr>
            <w:r>
              <w:rPr>
                <w:rFonts w:ascii="Helvetica" w:eastAsia="Helvetica" w:hAnsi="Helvetica" w:cs="Helvetica"/>
                <w:b/>
                <w:bCs/>
                <w:sz w:val="18"/>
                <w:szCs w:val="18"/>
              </w:rPr>
              <w:t>California</w:t>
            </w:r>
          </w:p>
        </w:tc>
        <w:tc>
          <w:tcPr>
            <w:tcW w:w="0" w:type="auto"/>
            <w:shd w:val="clear" w:color="auto" w:fill="auto"/>
            <w:tcMar>
              <w:top w:w="40" w:type="dxa"/>
              <w:left w:w="40" w:type="dxa"/>
              <w:bottom w:w="40" w:type="dxa"/>
              <w:right w:w="40" w:type="dxa"/>
            </w:tcMar>
            <w:vAlign w:val="bottom"/>
          </w:tcPr>
          <w:p w14:paraId="2A739AC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ACF" w14:textId="77777777" w:rsidR="00FA5565" w:rsidRDefault="00D804D1">
            <w:pPr>
              <w:jc w:val="center"/>
              <w:textAlignment w:val="bottom"/>
              <w:rPr>
                <w:rFonts w:ascii="Times New Roman" w:hAnsi="Times New Roman"/>
                <w:sz w:val="18"/>
                <w:szCs w:val="18"/>
              </w:rPr>
            </w:pPr>
            <w:r>
              <w:rPr>
                <w:rFonts w:ascii="Helvetica" w:eastAsia="Helvetica" w:hAnsi="Helvetica" w:cs="Helvetica"/>
                <w:b/>
                <w:bCs/>
                <w:sz w:val="18"/>
                <w:szCs w:val="18"/>
              </w:rPr>
              <w:t>95014</w:t>
            </w:r>
          </w:p>
        </w:tc>
      </w:tr>
      <w:tr w:rsidR="00FA5565" w14:paraId="2A739AD4" w14:textId="77777777">
        <w:tc>
          <w:tcPr>
            <w:tcW w:w="0" w:type="auto"/>
            <w:gridSpan w:val="3"/>
            <w:shd w:val="clear" w:color="auto" w:fill="auto"/>
            <w:tcMar>
              <w:top w:w="40" w:type="dxa"/>
              <w:left w:w="40" w:type="dxa"/>
              <w:bottom w:w="40" w:type="dxa"/>
              <w:right w:w="40" w:type="dxa"/>
            </w:tcMar>
          </w:tcPr>
          <w:p w14:paraId="2A739AD1" w14:textId="77777777" w:rsidR="00FA5565" w:rsidRDefault="00D804D1">
            <w:pPr>
              <w:jc w:val="center"/>
              <w:textAlignment w:val="top"/>
              <w:rPr>
                <w:rFonts w:ascii="Times New Roman" w:hAnsi="Times New Roman"/>
                <w:sz w:val="16"/>
                <w:szCs w:val="16"/>
              </w:rPr>
            </w:pPr>
            <w:r>
              <w:rPr>
                <w:rFonts w:ascii="Helvetica" w:eastAsia="Helvetica" w:hAnsi="Helvetica" w:cs="Helvetica"/>
                <w:sz w:val="16"/>
                <w:szCs w:val="16"/>
              </w:rPr>
              <w:t>(Address of principal executive offices)</w:t>
            </w:r>
          </w:p>
        </w:tc>
        <w:tc>
          <w:tcPr>
            <w:tcW w:w="0" w:type="auto"/>
            <w:shd w:val="clear" w:color="auto" w:fill="auto"/>
            <w:tcMar>
              <w:top w:w="40" w:type="dxa"/>
              <w:left w:w="40" w:type="dxa"/>
              <w:bottom w:w="40" w:type="dxa"/>
              <w:right w:w="40" w:type="dxa"/>
            </w:tcMar>
            <w:vAlign w:val="bottom"/>
          </w:tcPr>
          <w:p w14:paraId="2A739AD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9AD3" w14:textId="77777777" w:rsidR="00FA5565" w:rsidRDefault="00D804D1">
            <w:pPr>
              <w:jc w:val="center"/>
              <w:textAlignment w:val="top"/>
              <w:rPr>
                <w:rFonts w:ascii="Times New Roman" w:hAnsi="Times New Roman"/>
                <w:sz w:val="16"/>
                <w:szCs w:val="16"/>
              </w:rPr>
            </w:pPr>
            <w:r>
              <w:rPr>
                <w:rFonts w:ascii="Helvetica" w:eastAsia="Helvetica" w:hAnsi="Helvetica" w:cs="Helvetica"/>
                <w:sz w:val="16"/>
                <w:szCs w:val="16"/>
              </w:rPr>
              <w:t>(Zip Code)</w:t>
            </w:r>
          </w:p>
        </w:tc>
      </w:tr>
    </w:tbl>
    <w:p w14:paraId="2A739AD5"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 xml:space="preserve">(408) </w:t>
      </w:r>
      <w:r>
        <w:rPr>
          <w:rFonts w:ascii="Helvetica" w:eastAsia="Helvetica" w:hAnsi="Helvetica" w:cs="Helvetica"/>
          <w:b/>
          <w:bCs/>
          <w:sz w:val="18"/>
          <w:szCs w:val="18"/>
        </w:rPr>
        <w:t>996-1010</w:t>
      </w:r>
    </w:p>
    <w:p w14:paraId="2A739AD6"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(Registrant’s telephone number, including area code)</w:t>
      </w:r>
    </w:p>
    <w:tbl>
      <w:tblPr>
        <w:tblW w:w="977" w:type="pct"/>
        <w:jc w:val="center"/>
        <w:tblCellMar>
          <w:left w:w="0" w:type="dxa"/>
          <w:right w:w="0" w:type="dxa"/>
        </w:tblCellMar>
        <w:tblLook w:val="04A0" w:firstRow="1" w:lastRow="0" w:firstColumn="1" w:lastColumn="0" w:noHBand="0" w:noVBand="1"/>
      </w:tblPr>
      <w:tblGrid>
        <w:gridCol w:w="1623"/>
      </w:tblGrid>
      <w:tr w:rsidR="00FA5565" w14:paraId="2A739AD8" w14:textId="77777777">
        <w:trPr>
          <w:jc w:val="center"/>
        </w:trPr>
        <w:tc>
          <w:tcPr>
            <w:tcW w:w="0" w:type="auto"/>
            <w:shd w:val="clear" w:color="auto" w:fill="auto"/>
            <w:vAlign w:val="center"/>
          </w:tcPr>
          <w:p w14:paraId="2A739AD7" w14:textId="77777777" w:rsidR="00FA5565" w:rsidRDefault="00FA5565">
            <w:pPr>
              <w:rPr>
                <w:rFonts w:ascii="Times New Roman" w:hAnsi="Times New Roman"/>
                <w:sz w:val="20"/>
                <w:szCs w:val="20"/>
              </w:rPr>
            </w:pPr>
          </w:p>
        </w:tc>
      </w:tr>
      <w:tr w:rsidR="00FA5565" w14:paraId="2A739ADA" w14:textId="77777777">
        <w:trPr>
          <w:jc w:val="center"/>
        </w:trPr>
        <w:tc>
          <w:tcPr>
            <w:tcW w:w="5000" w:type="pct"/>
            <w:shd w:val="clear" w:color="auto" w:fill="auto"/>
            <w:vAlign w:val="center"/>
          </w:tcPr>
          <w:p w14:paraId="2A739AD9" w14:textId="77777777" w:rsidR="00FA5565" w:rsidRDefault="00FA5565">
            <w:pPr>
              <w:rPr>
                <w:rFonts w:ascii="Times New Roman" w:hAnsi="Times New Roman"/>
                <w:sz w:val="20"/>
                <w:szCs w:val="20"/>
              </w:rPr>
            </w:pPr>
          </w:p>
        </w:tc>
      </w:tr>
      <w:tr w:rsidR="00FA5565" w14:paraId="2A739ADC"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2A739A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bl>
    <w:p w14:paraId="2A739ADD"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3737"/>
        <w:gridCol w:w="831"/>
        <w:gridCol w:w="3738"/>
      </w:tblGrid>
      <w:tr w:rsidR="00FA5565" w14:paraId="2A739ADF" w14:textId="77777777">
        <w:tc>
          <w:tcPr>
            <w:tcW w:w="0" w:type="auto"/>
            <w:gridSpan w:val="3"/>
            <w:shd w:val="clear" w:color="auto" w:fill="auto"/>
            <w:vAlign w:val="center"/>
          </w:tcPr>
          <w:p w14:paraId="2A739ADE" w14:textId="77777777" w:rsidR="00FA5565" w:rsidRDefault="00FA5565">
            <w:pPr>
              <w:rPr>
                <w:rFonts w:ascii="Times New Roman" w:hAnsi="Times New Roman"/>
                <w:sz w:val="20"/>
                <w:szCs w:val="20"/>
              </w:rPr>
            </w:pPr>
          </w:p>
        </w:tc>
      </w:tr>
      <w:tr w:rsidR="00FA5565" w14:paraId="2A739AE3" w14:textId="77777777">
        <w:tc>
          <w:tcPr>
            <w:tcW w:w="2250" w:type="pct"/>
            <w:shd w:val="clear" w:color="auto" w:fill="auto"/>
            <w:vAlign w:val="center"/>
          </w:tcPr>
          <w:p w14:paraId="2A739AE0" w14:textId="77777777" w:rsidR="00FA5565" w:rsidRDefault="00FA5565">
            <w:pPr>
              <w:rPr>
                <w:rFonts w:ascii="Times New Roman" w:hAnsi="Times New Roman"/>
                <w:sz w:val="20"/>
                <w:szCs w:val="20"/>
              </w:rPr>
            </w:pPr>
          </w:p>
        </w:tc>
        <w:tc>
          <w:tcPr>
            <w:tcW w:w="500" w:type="pct"/>
            <w:shd w:val="clear" w:color="auto" w:fill="auto"/>
            <w:vAlign w:val="center"/>
          </w:tcPr>
          <w:p w14:paraId="2A739AE1" w14:textId="77777777" w:rsidR="00FA5565" w:rsidRDefault="00FA5565">
            <w:pPr>
              <w:rPr>
                <w:rFonts w:ascii="Times New Roman" w:hAnsi="Times New Roman"/>
                <w:sz w:val="20"/>
                <w:szCs w:val="20"/>
              </w:rPr>
            </w:pPr>
          </w:p>
        </w:tc>
        <w:tc>
          <w:tcPr>
            <w:tcW w:w="2250" w:type="pct"/>
            <w:shd w:val="clear" w:color="auto" w:fill="auto"/>
            <w:vAlign w:val="center"/>
          </w:tcPr>
          <w:p w14:paraId="2A739AE2" w14:textId="77777777" w:rsidR="00FA5565" w:rsidRDefault="00FA5565">
            <w:pPr>
              <w:rPr>
                <w:rFonts w:ascii="Times New Roman" w:hAnsi="Times New Roman"/>
                <w:sz w:val="20"/>
                <w:szCs w:val="20"/>
              </w:rPr>
            </w:pPr>
          </w:p>
        </w:tc>
      </w:tr>
      <w:tr w:rsidR="00FA5565" w14:paraId="2A739AE7" w14:textId="77777777">
        <w:tc>
          <w:tcPr>
            <w:tcW w:w="0" w:type="auto"/>
            <w:shd w:val="clear" w:color="auto" w:fill="auto"/>
            <w:tcMar>
              <w:top w:w="40" w:type="dxa"/>
              <w:left w:w="40" w:type="dxa"/>
              <w:bottom w:w="40" w:type="dxa"/>
              <w:right w:w="40" w:type="dxa"/>
            </w:tcMar>
            <w:vAlign w:val="bottom"/>
          </w:tcPr>
          <w:p w14:paraId="2A739AE4" w14:textId="77777777" w:rsidR="00FA5565" w:rsidRDefault="00D804D1">
            <w:pPr>
              <w:ind w:hanging="240"/>
              <w:jc w:val="center"/>
              <w:textAlignment w:val="bottom"/>
              <w:rPr>
                <w:rFonts w:ascii="Times New Roman" w:hAnsi="Times New Roman"/>
                <w:sz w:val="16"/>
                <w:szCs w:val="16"/>
              </w:rPr>
            </w:pPr>
            <w:r>
              <w:rPr>
                <w:rFonts w:ascii="Helvetica" w:eastAsia="Helvetica" w:hAnsi="Helvetica" w:cs="Helvetica"/>
                <w:sz w:val="16"/>
                <w:szCs w:val="16"/>
              </w:rPr>
              <w:t>Title of each class</w:t>
            </w:r>
          </w:p>
        </w:tc>
        <w:tc>
          <w:tcPr>
            <w:tcW w:w="0" w:type="auto"/>
            <w:shd w:val="clear" w:color="auto" w:fill="auto"/>
            <w:tcMar>
              <w:top w:w="40" w:type="dxa"/>
              <w:left w:w="40" w:type="dxa"/>
              <w:bottom w:w="40" w:type="dxa"/>
              <w:right w:w="40" w:type="dxa"/>
            </w:tcMar>
            <w:vAlign w:val="bottom"/>
          </w:tcPr>
          <w:p w14:paraId="2A739AE5"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 xml:space="preserve">Trading </w:t>
            </w:r>
            <w:r>
              <w:rPr>
                <w:rFonts w:ascii="Helvetica" w:eastAsia="Helvetica" w:hAnsi="Helvetica" w:cs="Helvetica"/>
                <w:sz w:val="16"/>
                <w:szCs w:val="16"/>
              </w:rPr>
              <w:lastRenderedPageBreak/>
              <w:t>symbol(s)</w:t>
            </w:r>
          </w:p>
        </w:tc>
        <w:tc>
          <w:tcPr>
            <w:tcW w:w="0" w:type="auto"/>
            <w:shd w:val="clear" w:color="auto" w:fill="auto"/>
            <w:tcMar>
              <w:top w:w="40" w:type="dxa"/>
              <w:left w:w="40" w:type="dxa"/>
              <w:bottom w:w="40" w:type="dxa"/>
              <w:right w:w="40" w:type="dxa"/>
            </w:tcMar>
            <w:vAlign w:val="bottom"/>
          </w:tcPr>
          <w:p w14:paraId="2A739AE6" w14:textId="77777777" w:rsidR="00FA5565" w:rsidRDefault="00D804D1">
            <w:pPr>
              <w:ind w:hanging="240"/>
              <w:jc w:val="center"/>
              <w:textAlignment w:val="bottom"/>
              <w:rPr>
                <w:rFonts w:ascii="Times New Roman" w:hAnsi="Times New Roman"/>
                <w:sz w:val="16"/>
                <w:szCs w:val="16"/>
              </w:rPr>
            </w:pPr>
            <w:r>
              <w:rPr>
                <w:rFonts w:ascii="Helvetica" w:eastAsia="Helvetica" w:hAnsi="Helvetica" w:cs="Helvetica"/>
                <w:sz w:val="16"/>
                <w:szCs w:val="16"/>
              </w:rPr>
              <w:lastRenderedPageBreak/>
              <w:t>Name of each exchange on which registered</w:t>
            </w:r>
          </w:p>
        </w:tc>
      </w:tr>
      <w:tr w:rsidR="00FA5565" w14:paraId="2A739AEB" w14:textId="77777777">
        <w:tc>
          <w:tcPr>
            <w:tcW w:w="0" w:type="auto"/>
            <w:shd w:val="clear" w:color="auto" w:fill="auto"/>
            <w:tcMar>
              <w:top w:w="40" w:type="dxa"/>
              <w:left w:w="40" w:type="dxa"/>
              <w:bottom w:w="40" w:type="dxa"/>
              <w:right w:w="40" w:type="dxa"/>
            </w:tcMar>
          </w:tcPr>
          <w:p w14:paraId="2A739AE8"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 xml:space="preserve">Common Stock, $0.00001 par value per </w:t>
            </w:r>
            <w:r>
              <w:rPr>
                <w:rFonts w:ascii="Helvetica" w:eastAsia="Helvetica" w:hAnsi="Helvetica" w:cs="Helvetica"/>
                <w:b/>
                <w:bCs/>
                <w:sz w:val="18"/>
                <w:szCs w:val="18"/>
              </w:rPr>
              <w:t>share</w:t>
            </w:r>
          </w:p>
        </w:tc>
        <w:tc>
          <w:tcPr>
            <w:tcW w:w="0" w:type="auto"/>
            <w:shd w:val="clear" w:color="auto" w:fill="auto"/>
            <w:tcMar>
              <w:top w:w="40" w:type="dxa"/>
              <w:left w:w="40" w:type="dxa"/>
              <w:bottom w:w="40" w:type="dxa"/>
              <w:right w:w="40" w:type="dxa"/>
            </w:tcMar>
          </w:tcPr>
          <w:p w14:paraId="2A739AE9"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AAPL</w:t>
            </w:r>
          </w:p>
        </w:tc>
        <w:tc>
          <w:tcPr>
            <w:tcW w:w="0" w:type="auto"/>
            <w:shd w:val="clear" w:color="auto" w:fill="auto"/>
            <w:tcMar>
              <w:top w:w="40" w:type="dxa"/>
              <w:left w:w="40" w:type="dxa"/>
              <w:bottom w:w="40" w:type="dxa"/>
              <w:right w:w="40" w:type="dxa"/>
            </w:tcMar>
          </w:tcPr>
          <w:p w14:paraId="2A739AEA"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FA5565" w14:paraId="2A739AEF" w14:textId="77777777">
        <w:tc>
          <w:tcPr>
            <w:tcW w:w="0" w:type="auto"/>
            <w:shd w:val="clear" w:color="auto" w:fill="auto"/>
            <w:tcMar>
              <w:top w:w="40" w:type="dxa"/>
              <w:left w:w="40" w:type="dxa"/>
              <w:bottom w:w="40" w:type="dxa"/>
              <w:right w:w="40" w:type="dxa"/>
            </w:tcMar>
          </w:tcPr>
          <w:p w14:paraId="2A739AEC"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1.000% Notes due 2022</w:t>
            </w:r>
          </w:p>
        </w:tc>
        <w:tc>
          <w:tcPr>
            <w:tcW w:w="0" w:type="auto"/>
            <w:shd w:val="clear" w:color="auto" w:fill="auto"/>
            <w:tcMar>
              <w:top w:w="40" w:type="dxa"/>
              <w:left w:w="40" w:type="dxa"/>
              <w:bottom w:w="40" w:type="dxa"/>
              <w:right w:w="40" w:type="dxa"/>
            </w:tcMar>
          </w:tcPr>
          <w:p w14:paraId="2A739AED"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2A739AEE"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FA5565" w14:paraId="2A739AF3" w14:textId="77777777">
        <w:tc>
          <w:tcPr>
            <w:tcW w:w="0" w:type="auto"/>
            <w:shd w:val="clear" w:color="auto" w:fill="auto"/>
            <w:tcMar>
              <w:top w:w="40" w:type="dxa"/>
              <w:left w:w="40" w:type="dxa"/>
              <w:bottom w:w="40" w:type="dxa"/>
              <w:right w:w="40" w:type="dxa"/>
            </w:tcMar>
          </w:tcPr>
          <w:p w14:paraId="2A739AF0"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1.375% Notes due 2024</w:t>
            </w:r>
          </w:p>
        </w:tc>
        <w:tc>
          <w:tcPr>
            <w:tcW w:w="0" w:type="auto"/>
            <w:shd w:val="clear" w:color="auto" w:fill="auto"/>
            <w:tcMar>
              <w:top w:w="40" w:type="dxa"/>
              <w:left w:w="40" w:type="dxa"/>
              <w:bottom w:w="40" w:type="dxa"/>
              <w:right w:w="40" w:type="dxa"/>
            </w:tcMar>
          </w:tcPr>
          <w:p w14:paraId="2A739AF1"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2A739AF2"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FA5565" w14:paraId="2A739AF7" w14:textId="77777777">
        <w:tc>
          <w:tcPr>
            <w:tcW w:w="0" w:type="auto"/>
            <w:shd w:val="clear" w:color="auto" w:fill="auto"/>
            <w:tcMar>
              <w:top w:w="40" w:type="dxa"/>
              <w:left w:w="40" w:type="dxa"/>
              <w:bottom w:w="40" w:type="dxa"/>
              <w:right w:w="40" w:type="dxa"/>
            </w:tcMar>
          </w:tcPr>
          <w:p w14:paraId="2A739AF4"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0.875% Notes due 2025</w:t>
            </w:r>
          </w:p>
        </w:tc>
        <w:tc>
          <w:tcPr>
            <w:tcW w:w="0" w:type="auto"/>
            <w:shd w:val="clear" w:color="auto" w:fill="auto"/>
            <w:tcMar>
              <w:top w:w="40" w:type="dxa"/>
              <w:left w:w="40" w:type="dxa"/>
              <w:bottom w:w="40" w:type="dxa"/>
              <w:right w:w="40" w:type="dxa"/>
            </w:tcMar>
          </w:tcPr>
          <w:p w14:paraId="2A739AF5"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2A739AF6"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FA5565" w14:paraId="2A739AFB" w14:textId="77777777">
        <w:tc>
          <w:tcPr>
            <w:tcW w:w="0" w:type="auto"/>
            <w:shd w:val="clear" w:color="auto" w:fill="auto"/>
            <w:tcMar>
              <w:top w:w="40" w:type="dxa"/>
              <w:left w:w="40" w:type="dxa"/>
              <w:bottom w:w="40" w:type="dxa"/>
              <w:right w:w="40" w:type="dxa"/>
            </w:tcMar>
          </w:tcPr>
          <w:p w14:paraId="2A739AF8"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1.625% Notes due 2026</w:t>
            </w:r>
          </w:p>
        </w:tc>
        <w:tc>
          <w:tcPr>
            <w:tcW w:w="0" w:type="auto"/>
            <w:shd w:val="clear" w:color="auto" w:fill="auto"/>
            <w:tcMar>
              <w:top w:w="40" w:type="dxa"/>
              <w:left w:w="40" w:type="dxa"/>
              <w:bottom w:w="40" w:type="dxa"/>
              <w:right w:w="40" w:type="dxa"/>
            </w:tcMar>
          </w:tcPr>
          <w:p w14:paraId="2A739AF9"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2A739AFA"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FA5565" w14:paraId="2A739AFF" w14:textId="77777777">
        <w:tc>
          <w:tcPr>
            <w:tcW w:w="0" w:type="auto"/>
            <w:shd w:val="clear" w:color="auto" w:fill="auto"/>
            <w:tcMar>
              <w:top w:w="40" w:type="dxa"/>
              <w:left w:w="40" w:type="dxa"/>
              <w:bottom w:w="40" w:type="dxa"/>
              <w:right w:w="40" w:type="dxa"/>
            </w:tcMar>
          </w:tcPr>
          <w:p w14:paraId="2A739AFC"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2.000% Notes due 2027</w:t>
            </w:r>
          </w:p>
        </w:tc>
        <w:tc>
          <w:tcPr>
            <w:tcW w:w="0" w:type="auto"/>
            <w:shd w:val="clear" w:color="auto" w:fill="auto"/>
            <w:tcMar>
              <w:top w:w="40" w:type="dxa"/>
              <w:left w:w="40" w:type="dxa"/>
              <w:bottom w:w="40" w:type="dxa"/>
              <w:right w:w="40" w:type="dxa"/>
            </w:tcMar>
          </w:tcPr>
          <w:p w14:paraId="2A739AFD"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2A739AFE"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FA5565" w14:paraId="2A739B03" w14:textId="77777777">
        <w:tc>
          <w:tcPr>
            <w:tcW w:w="0" w:type="auto"/>
            <w:shd w:val="clear" w:color="auto" w:fill="auto"/>
            <w:tcMar>
              <w:top w:w="40" w:type="dxa"/>
              <w:left w:w="40" w:type="dxa"/>
              <w:bottom w:w="40" w:type="dxa"/>
              <w:right w:w="40" w:type="dxa"/>
            </w:tcMar>
          </w:tcPr>
          <w:p w14:paraId="2A739B00"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1.375% Notes due 2029</w:t>
            </w:r>
          </w:p>
        </w:tc>
        <w:tc>
          <w:tcPr>
            <w:tcW w:w="0" w:type="auto"/>
            <w:shd w:val="clear" w:color="auto" w:fill="auto"/>
            <w:tcMar>
              <w:top w:w="40" w:type="dxa"/>
              <w:left w:w="40" w:type="dxa"/>
              <w:bottom w:w="40" w:type="dxa"/>
              <w:right w:w="40" w:type="dxa"/>
            </w:tcMar>
          </w:tcPr>
          <w:p w14:paraId="2A739B01"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2A739B02"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FA5565" w14:paraId="2A739B07" w14:textId="77777777">
        <w:tc>
          <w:tcPr>
            <w:tcW w:w="0" w:type="auto"/>
            <w:shd w:val="clear" w:color="auto" w:fill="auto"/>
            <w:tcMar>
              <w:top w:w="40" w:type="dxa"/>
              <w:left w:w="40" w:type="dxa"/>
              <w:bottom w:w="40" w:type="dxa"/>
              <w:right w:w="40" w:type="dxa"/>
            </w:tcMar>
          </w:tcPr>
          <w:p w14:paraId="2A739B04"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3.050% Notes due 2029</w:t>
            </w:r>
          </w:p>
        </w:tc>
        <w:tc>
          <w:tcPr>
            <w:tcW w:w="0" w:type="auto"/>
            <w:shd w:val="clear" w:color="auto" w:fill="auto"/>
            <w:tcMar>
              <w:top w:w="40" w:type="dxa"/>
              <w:left w:w="40" w:type="dxa"/>
              <w:bottom w:w="40" w:type="dxa"/>
              <w:right w:w="40" w:type="dxa"/>
            </w:tcMar>
          </w:tcPr>
          <w:p w14:paraId="2A739B05"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2A739B06"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r w:rsidR="00FA5565" w14:paraId="2A739B0B" w14:textId="77777777">
        <w:tc>
          <w:tcPr>
            <w:tcW w:w="0" w:type="auto"/>
            <w:shd w:val="clear" w:color="auto" w:fill="auto"/>
            <w:tcMar>
              <w:top w:w="40" w:type="dxa"/>
              <w:left w:w="40" w:type="dxa"/>
              <w:bottom w:w="40" w:type="dxa"/>
              <w:right w:w="40" w:type="dxa"/>
            </w:tcMar>
          </w:tcPr>
          <w:p w14:paraId="2A739B08"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3.600% Notes due 2042</w:t>
            </w:r>
          </w:p>
        </w:tc>
        <w:tc>
          <w:tcPr>
            <w:tcW w:w="0" w:type="auto"/>
            <w:shd w:val="clear" w:color="auto" w:fill="auto"/>
            <w:tcMar>
              <w:top w:w="40" w:type="dxa"/>
              <w:left w:w="40" w:type="dxa"/>
              <w:bottom w:w="40" w:type="dxa"/>
              <w:right w:w="40" w:type="dxa"/>
            </w:tcMar>
          </w:tcPr>
          <w:p w14:paraId="2A739B09"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w:t>
            </w:r>
          </w:p>
        </w:tc>
        <w:tc>
          <w:tcPr>
            <w:tcW w:w="0" w:type="auto"/>
            <w:shd w:val="clear" w:color="auto" w:fill="auto"/>
            <w:tcMar>
              <w:top w:w="40" w:type="dxa"/>
              <w:left w:w="40" w:type="dxa"/>
              <w:bottom w:w="40" w:type="dxa"/>
              <w:right w:w="40" w:type="dxa"/>
            </w:tcMar>
          </w:tcPr>
          <w:p w14:paraId="2A739B0A" w14:textId="77777777" w:rsidR="00FA5565" w:rsidRDefault="00D804D1">
            <w:pPr>
              <w:ind w:hanging="240"/>
              <w:jc w:val="center"/>
              <w:textAlignment w:val="top"/>
              <w:rPr>
                <w:rFonts w:ascii="Times New Roman" w:hAnsi="Times New Roman"/>
                <w:sz w:val="18"/>
                <w:szCs w:val="18"/>
              </w:rPr>
            </w:pPr>
            <w:r>
              <w:rPr>
                <w:rFonts w:ascii="Helvetica" w:eastAsia="Helvetica" w:hAnsi="Helvetica" w:cs="Helvetica"/>
                <w:b/>
                <w:bCs/>
                <w:sz w:val="18"/>
                <w:szCs w:val="18"/>
              </w:rPr>
              <w:t>The Nasdaq Stock Market LLC</w:t>
            </w:r>
          </w:p>
        </w:tc>
      </w:tr>
    </w:tbl>
    <w:p w14:paraId="2A739B0C" w14:textId="77777777" w:rsidR="00FA5565" w:rsidRDefault="00FA5565">
      <w:pPr>
        <w:spacing w:line="288" w:lineRule="auto"/>
        <w:jc w:val="both"/>
        <w:rPr>
          <w:rFonts w:ascii="Times New Roman" w:hAnsi="Times New Roman"/>
          <w:sz w:val="18"/>
          <w:szCs w:val="18"/>
        </w:rPr>
      </w:pPr>
    </w:p>
    <w:p w14:paraId="2A739B0D"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 xml:space="preserve">Securities registered pursuant to </w:t>
      </w:r>
      <w:r>
        <w:rPr>
          <w:rFonts w:ascii="Helvetica" w:eastAsia="Helvetica" w:hAnsi="Helvetica" w:cs="Helvetica"/>
          <w:sz w:val="16"/>
          <w:szCs w:val="16"/>
        </w:rPr>
        <w:t>Section 12(g) of the Act: None</w:t>
      </w:r>
    </w:p>
    <w:tbl>
      <w:tblPr>
        <w:tblW w:w="977" w:type="pct"/>
        <w:jc w:val="center"/>
        <w:tblCellMar>
          <w:left w:w="0" w:type="dxa"/>
          <w:right w:w="0" w:type="dxa"/>
        </w:tblCellMar>
        <w:tblLook w:val="04A0" w:firstRow="1" w:lastRow="0" w:firstColumn="1" w:lastColumn="0" w:noHBand="0" w:noVBand="1"/>
      </w:tblPr>
      <w:tblGrid>
        <w:gridCol w:w="1623"/>
      </w:tblGrid>
      <w:tr w:rsidR="00FA5565" w14:paraId="2A739B0F" w14:textId="77777777">
        <w:trPr>
          <w:jc w:val="center"/>
        </w:trPr>
        <w:tc>
          <w:tcPr>
            <w:tcW w:w="0" w:type="auto"/>
            <w:shd w:val="clear" w:color="auto" w:fill="auto"/>
            <w:vAlign w:val="center"/>
          </w:tcPr>
          <w:p w14:paraId="2A739B0E" w14:textId="77777777" w:rsidR="00FA5565" w:rsidRDefault="00FA5565">
            <w:pPr>
              <w:rPr>
                <w:rFonts w:ascii="Times New Roman" w:hAnsi="Times New Roman"/>
                <w:sz w:val="20"/>
                <w:szCs w:val="20"/>
              </w:rPr>
            </w:pPr>
          </w:p>
        </w:tc>
      </w:tr>
      <w:tr w:rsidR="00FA5565" w14:paraId="2A739B11" w14:textId="77777777">
        <w:trPr>
          <w:jc w:val="center"/>
        </w:trPr>
        <w:tc>
          <w:tcPr>
            <w:tcW w:w="5000" w:type="pct"/>
            <w:shd w:val="clear" w:color="auto" w:fill="auto"/>
            <w:vAlign w:val="center"/>
          </w:tcPr>
          <w:p w14:paraId="2A739B10" w14:textId="77777777" w:rsidR="00FA5565" w:rsidRDefault="00FA5565">
            <w:pPr>
              <w:rPr>
                <w:rFonts w:ascii="Times New Roman" w:hAnsi="Times New Roman"/>
                <w:sz w:val="20"/>
                <w:szCs w:val="20"/>
              </w:rPr>
            </w:pPr>
          </w:p>
        </w:tc>
      </w:tr>
      <w:tr w:rsidR="00FA5565" w14:paraId="2A739B13"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2A739B1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bl>
    <w:p w14:paraId="2A739B14" w14:textId="77777777" w:rsidR="00FA5565" w:rsidRDefault="00D804D1">
      <w:pPr>
        <w:spacing w:line="288" w:lineRule="auto"/>
        <w:jc w:val="both"/>
        <w:rPr>
          <w:rFonts w:ascii="Times New Roman" w:hAnsi="Times New Roman"/>
          <w:sz w:val="16"/>
          <w:szCs w:val="16"/>
        </w:rPr>
      </w:pPr>
      <w:r>
        <w:rPr>
          <w:rFonts w:ascii="Helvetica" w:eastAsia="Helvetica" w:hAnsi="Helvetica" w:cs="Helvetica"/>
          <w:sz w:val="16"/>
          <w:szCs w:val="16"/>
        </w:rPr>
        <w:t>Indicate by check mark if the Registrant is a well-known seasoned issuer, as defined in Rule 405 of the Securities Act.</w:t>
      </w:r>
    </w:p>
    <w:p w14:paraId="2A739B15" w14:textId="77777777" w:rsidR="00FA5565" w:rsidRDefault="00D804D1">
      <w:pPr>
        <w:spacing w:line="288" w:lineRule="auto"/>
        <w:jc w:val="center"/>
        <w:rPr>
          <w:rFonts w:ascii="Times New Roman" w:hAnsi="Times New Roman"/>
          <w:sz w:val="20"/>
          <w:szCs w:val="20"/>
        </w:rPr>
      </w:pPr>
      <w:r>
        <w:rPr>
          <w:rFonts w:ascii="Helvetica" w:eastAsia="Helvetica" w:hAnsi="Helvetica" w:cs="Helvetica"/>
          <w:sz w:val="16"/>
          <w:szCs w:val="16"/>
        </w:rPr>
        <w:t>Yes  </w:t>
      </w:r>
      <w:r>
        <w:rPr>
          <w:rFonts w:ascii="Arial Unicode MS" w:eastAsia="Arial Unicode MS" w:hAnsi="Arial Unicode MS" w:cs="Arial Unicode MS" w:hint="eastAsia"/>
          <w:sz w:val="20"/>
          <w:szCs w:val="20"/>
        </w:rPr>
        <w:t>☒</w:t>
      </w:r>
      <w:r>
        <w:rPr>
          <w:rFonts w:ascii="Helvetica" w:eastAsia="Helvetica" w:hAnsi="Helvetica" w:cs="Helvetica"/>
          <w:sz w:val="16"/>
          <w:szCs w:val="16"/>
        </w:rPr>
        <w:t>    No  </w:t>
      </w:r>
      <w:r>
        <w:rPr>
          <w:rFonts w:ascii="Arial Unicode MS" w:eastAsia="Arial Unicode MS" w:hAnsi="Arial Unicode MS" w:cs="Arial Unicode MS" w:hint="eastAsia"/>
          <w:sz w:val="20"/>
          <w:szCs w:val="20"/>
        </w:rPr>
        <w:t>☐</w:t>
      </w:r>
    </w:p>
    <w:p w14:paraId="2A739B16" w14:textId="77777777" w:rsidR="00FA5565" w:rsidRDefault="00D804D1">
      <w:pPr>
        <w:spacing w:line="288" w:lineRule="auto"/>
        <w:jc w:val="both"/>
        <w:rPr>
          <w:rFonts w:ascii="Times New Roman" w:hAnsi="Times New Roman"/>
          <w:sz w:val="16"/>
          <w:szCs w:val="16"/>
        </w:rPr>
      </w:pPr>
      <w:r>
        <w:rPr>
          <w:rFonts w:ascii="Helvetica" w:eastAsia="Helvetica" w:hAnsi="Helvetica" w:cs="Helvetica"/>
          <w:sz w:val="16"/>
          <w:szCs w:val="16"/>
        </w:rPr>
        <w:t xml:space="preserve">Indicate by check mark if the Registrant is not required to file reports </w:t>
      </w:r>
      <w:r>
        <w:rPr>
          <w:rFonts w:ascii="Helvetica" w:eastAsia="Helvetica" w:hAnsi="Helvetica" w:cs="Helvetica"/>
          <w:sz w:val="16"/>
          <w:szCs w:val="16"/>
        </w:rPr>
        <w:t>pursuant to Section 13 or Section 15(d) of the Act.</w:t>
      </w:r>
    </w:p>
    <w:p w14:paraId="2A739B17" w14:textId="77777777" w:rsidR="00FA5565" w:rsidRDefault="00D804D1">
      <w:pPr>
        <w:spacing w:line="288" w:lineRule="auto"/>
        <w:jc w:val="center"/>
        <w:rPr>
          <w:rFonts w:ascii="Times New Roman" w:hAnsi="Times New Roman"/>
          <w:sz w:val="20"/>
          <w:szCs w:val="20"/>
        </w:rPr>
      </w:pPr>
      <w:r>
        <w:rPr>
          <w:rFonts w:ascii="Helvetica" w:eastAsia="Helvetica" w:hAnsi="Helvetica" w:cs="Helvetica"/>
          <w:sz w:val="16"/>
          <w:szCs w:val="16"/>
        </w:rPr>
        <w:t>Yes  </w:t>
      </w:r>
      <w:r>
        <w:rPr>
          <w:rFonts w:ascii="Arial Unicode MS" w:eastAsia="Arial Unicode MS" w:hAnsi="Arial Unicode MS" w:cs="Arial Unicode MS" w:hint="eastAsia"/>
          <w:sz w:val="20"/>
          <w:szCs w:val="20"/>
        </w:rPr>
        <w:t>☐</w:t>
      </w:r>
      <w:r>
        <w:rPr>
          <w:rFonts w:ascii="Helvetica" w:eastAsia="Helvetica" w:hAnsi="Helvetica" w:cs="Helvetica"/>
          <w:sz w:val="16"/>
          <w:szCs w:val="16"/>
        </w:rPr>
        <w:t>    No  </w:t>
      </w:r>
      <w:r>
        <w:rPr>
          <w:rFonts w:ascii="Arial Unicode MS" w:eastAsia="Arial Unicode MS" w:hAnsi="Arial Unicode MS" w:cs="Arial Unicode MS" w:hint="eastAsia"/>
          <w:sz w:val="20"/>
          <w:szCs w:val="20"/>
        </w:rPr>
        <w:t>☒</w:t>
      </w:r>
    </w:p>
    <w:p w14:paraId="2A739B18" w14:textId="77777777" w:rsidR="00FA5565" w:rsidRDefault="00D804D1">
      <w:pPr>
        <w:spacing w:line="288" w:lineRule="auto"/>
        <w:jc w:val="both"/>
        <w:rPr>
          <w:rFonts w:ascii="Times New Roman" w:hAnsi="Times New Roman"/>
          <w:sz w:val="16"/>
          <w:szCs w:val="16"/>
        </w:rPr>
      </w:pPr>
      <w:r>
        <w:rPr>
          <w:rFonts w:ascii="Helvetica" w:eastAsia="Helvetica" w:hAnsi="Helvetica" w:cs="Helvetica"/>
          <w:sz w:val="16"/>
          <w:szCs w:val="16"/>
        </w:rPr>
        <w:t>Indicate by check mark whether the Registrant (1) has filed all reports required to be filed by Section 13 or 15(d) of the Securities Exchange Act of 1934 during the preceding 12 months (o</w:t>
      </w:r>
      <w:r>
        <w:rPr>
          <w:rFonts w:ascii="Helvetica" w:eastAsia="Helvetica" w:hAnsi="Helvetica" w:cs="Helvetica"/>
          <w:sz w:val="16"/>
          <w:szCs w:val="16"/>
        </w:rPr>
        <w:t>r for such shorter period that the Registrant was required to file such reports), and (2) has been subject to such filing requirements for the past 90 days.</w:t>
      </w:r>
    </w:p>
    <w:p w14:paraId="2A739B19" w14:textId="77777777" w:rsidR="00FA5565" w:rsidRDefault="00D804D1">
      <w:pPr>
        <w:spacing w:line="288" w:lineRule="auto"/>
        <w:jc w:val="center"/>
        <w:rPr>
          <w:rFonts w:ascii="Times New Roman" w:hAnsi="Times New Roman"/>
          <w:sz w:val="20"/>
          <w:szCs w:val="20"/>
        </w:rPr>
      </w:pPr>
      <w:r>
        <w:rPr>
          <w:rFonts w:ascii="Helvetica" w:eastAsia="Helvetica" w:hAnsi="Helvetica" w:cs="Helvetica"/>
          <w:sz w:val="16"/>
          <w:szCs w:val="16"/>
        </w:rPr>
        <w:t>Yes  </w:t>
      </w:r>
      <w:r>
        <w:rPr>
          <w:rFonts w:ascii="Arial Unicode MS" w:eastAsia="Arial Unicode MS" w:hAnsi="Arial Unicode MS" w:cs="Arial Unicode MS" w:hint="eastAsia"/>
          <w:sz w:val="20"/>
          <w:szCs w:val="20"/>
        </w:rPr>
        <w:t>☒</w:t>
      </w:r>
      <w:r>
        <w:rPr>
          <w:rFonts w:ascii="Helvetica" w:eastAsia="Helvetica" w:hAnsi="Helvetica" w:cs="Helvetica"/>
          <w:sz w:val="16"/>
          <w:szCs w:val="16"/>
        </w:rPr>
        <w:t>    No  </w:t>
      </w:r>
      <w:r>
        <w:rPr>
          <w:rFonts w:ascii="Arial Unicode MS" w:eastAsia="Arial Unicode MS" w:hAnsi="Arial Unicode MS" w:cs="Arial Unicode MS" w:hint="eastAsia"/>
          <w:sz w:val="20"/>
          <w:szCs w:val="20"/>
        </w:rPr>
        <w:t>☐</w:t>
      </w:r>
    </w:p>
    <w:p w14:paraId="2A739B1A" w14:textId="77777777" w:rsidR="00FA5565" w:rsidRDefault="00D804D1">
      <w:pPr>
        <w:spacing w:line="288" w:lineRule="auto"/>
        <w:jc w:val="both"/>
        <w:rPr>
          <w:rFonts w:ascii="Times New Roman" w:hAnsi="Times New Roman"/>
          <w:sz w:val="16"/>
          <w:szCs w:val="16"/>
        </w:rPr>
      </w:pPr>
      <w:r>
        <w:rPr>
          <w:rFonts w:ascii="Helvetica" w:eastAsia="Helvetica" w:hAnsi="Helvetica" w:cs="Helvetica"/>
          <w:sz w:val="16"/>
          <w:szCs w:val="16"/>
        </w:rPr>
        <w:t>Indicate by check mark whether the Registrant has submitted electronically every In</w:t>
      </w:r>
      <w:r>
        <w:rPr>
          <w:rFonts w:ascii="Helvetica" w:eastAsia="Helvetica" w:hAnsi="Helvetica" w:cs="Helvetica"/>
          <w:sz w:val="16"/>
          <w:szCs w:val="16"/>
        </w:rPr>
        <w:t>teractive Data File required to be submitted pursuant to Rule 405 of Regulation S-T (§232.405 of this chapter) during the preceding 12 months (or for such shorter period that the Registrant was required to submit such files).</w:t>
      </w:r>
    </w:p>
    <w:p w14:paraId="2A739B1B" w14:textId="77777777" w:rsidR="00FA5565" w:rsidRDefault="00D804D1">
      <w:pPr>
        <w:spacing w:line="288" w:lineRule="auto"/>
        <w:jc w:val="center"/>
        <w:rPr>
          <w:rFonts w:ascii="Times New Roman" w:hAnsi="Times New Roman"/>
          <w:sz w:val="20"/>
          <w:szCs w:val="20"/>
        </w:rPr>
      </w:pPr>
      <w:r>
        <w:rPr>
          <w:rFonts w:ascii="Helvetica" w:eastAsia="Helvetica" w:hAnsi="Helvetica" w:cs="Helvetica"/>
          <w:sz w:val="16"/>
          <w:szCs w:val="16"/>
        </w:rPr>
        <w:t>Yes  </w:t>
      </w:r>
      <w:r>
        <w:rPr>
          <w:rFonts w:ascii="Arial Unicode MS" w:eastAsia="Arial Unicode MS" w:hAnsi="Arial Unicode MS" w:cs="Arial Unicode MS" w:hint="eastAsia"/>
          <w:sz w:val="20"/>
          <w:szCs w:val="20"/>
        </w:rPr>
        <w:t>☒</w:t>
      </w:r>
      <w:r>
        <w:rPr>
          <w:rFonts w:ascii="Helvetica" w:eastAsia="Helvetica" w:hAnsi="Helvetica" w:cs="Helvetica"/>
          <w:sz w:val="16"/>
          <w:szCs w:val="16"/>
        </w:rPr>
        <w:t>    No  </w:t>
      </w:r>
      <w:r>
        <w:rPr>
          <w:rFonts w:ascii="Arial Unicode MS" w:eastAsia="Arial Unicode MS" w:hAnsi="Arial Unicode MS" w:cs="Arial Unicode MS" w:hint="eastAsia"/>
          <w:sz w:val="20"/>
          <w:szCs w:val="20"/>
        </w:rPr>
        <w:t>☐</w:t>
      </w:r>
    </w:p>
    <w:p w14:paraId="2A739B1C" w14:textId="77777777" w:rsidR="00FA5565" w:rsidRDefault="00D804D1">
      <w:pPr>
        <w:spacing w:line="288" w:lineRule="auto"/>
        <w:jc w:val="both"/>
        <w:rPr>
          <w:rFonts w:ascii="Times New Roman" w:hAnsi="Times New Roman"/>
          <w:sz w:val="16"/>
          <w:szCs w:val="16"/>
        </w:rPr>
      </w:pPr>
      <w:r>
        <w:rPr>
          <w:rFonts w:ascii="Helvetica" w:eastAsia="Helvetica" w:hAnsi="Helvetica" w:cs="Helvetica"/>
          <w:sz w:val="16"/>
          <w:szCs w:val="16"/>
        </w:rPr>
        <w:t>Indicate by ch</w:t>
      </w:r>
      <w:r>
        <w:rPr>
          <w:rFonts w:ascii="Helvetica" w:eastAsia="Helvetica" w:hAnsi="Helvetica" w:cs="Helvetica"/>
          <w:sz w:val="16"/>
          <w:szCs w:val="16"/>
        </w:rPr>
        <w:t>eck mark whether the Registrant is a large accelerated filer, an accelerated filer, a non-accelerated filer, a smaller reporting company, or an emerging growth company. See the definitions of “large accelerated filer,” “accelerated filer,” “smaller reporti</w:t>
      </w:r>
      <w:r>
        <w:rPr>
          <w:rFonts w:ascii="Helvetica" w:eastAsia="Helvetica" w:hAnsi="Helvetica" w:cs="Helvetica"/>
          <w:sz w:val="16"/>
          <w:szCs w:val="16"/>
        </w:rPr>
        <w:t>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1494"/>
        <w:gridCol w:w="248"/>
        <w:gridCol w:w="4152"/>
        <w:gridCol w:w="249"/>
        <w:gridCol w:w="1661"/>
        <w:gridCol w:w="249"/>
        <w:gridCol w:w="253"/>
      </w:tblGrid>
      <w:tr w:rsidR="00FA5565" w14:paraId="2A739B1E" w14:textId="77777777">
        <w:tc>
          <w:tcPr>
            <w:tcW w:w="0" w:type="auto"/>
            <w:gridSpan w:val="7"/>
            <w:shd w:val="clear" w:color="auto" w:fill="auto"/>
            <w:vAlign w:val="center"/>
          </w:tcPr>
          <w:p w14:paraId="2A739B1D" w14:textId="77777777" w:rsidR="00FA5565" w:rsidRDefault="00FA5565">
            <w:pPr>
              <w:rPr>
                <w:rFonts w:ascii="Times New Roman" w:hAnsi="Times New Roman"/>
                <w:sz w:val="20"/>
                <w:szCs w:val="20"/>
              </w:rPr>
            </w:pPr>
          </w:p>
        </w:tc>
      </w:tr>
      <w:tr w:rsidR="00FA5565" w14:paraId="2A739B26" w14:textId="77777777">
        <w:tc>
          <w:tcPr>
            <w:tcW w:w="900" w:type="pct"/>
            <w:shd w:val="clear" w:color="auto" w:fill="auto"/>
            <w:vAlign w:val="center"/>
          </w:tcPr>
          <w:p w14:paraId="2A739B1F" w14:textId="77777777" w:rsidR="00FA5565" w:rsidRDefault="00FA5565">
            <w:pPr>
              <w:rPr>
                <w:rFonts w:ascii="Times New Roman" w:hAnsi="Times New Roman"/>
                <w:sz w:val="20"/>
                <w:szCs w:val="20"/>
              </w:rPr>
            </w:pPr>
          </w:p>
        </w:tc>
        <w:tc>
          <w:tcPr>
            <w:tcW w:w="150" w:type="pct"/>
            <w:shd w:val="clear" w:color="auto" w:fill="auto"/>
            <w:vAlign w:val="center"/>
          </w:tcPr>
          <w:p w14:paraId="2A739B20" w14:textId="77777777" w:rsidR="00FA5565" w:rsidRDefault="00FA5565">
            <w:pPr>
              <w:rPr>
                <w:rFonts w:ascii="Times New Roman" w:hAnsi="Times New Roman"/>
                <w:sz w:val="20"/>
                <w:szCs w:val="20"/>
              </w:rPr>
            </w:pPr>
          </w:p>
        </w:tc>
        <w:tc>
          <w:tcPr>
            <w:tcW w:w="2500" w:type="pct"/>
            <w:shd w:val="clear" w:color="auto" w:fill="auto"/>
            <w:vAlign w:val="center"/>
          </w:tcPr>
          <w:p w14:paraId="2A739B21" w14:textId="77777777" w:rsidR="00FA5565" w:rsidRDefault="00FA5565">
            <w:pPr>
              <w:rPr>
                <w:rFonts w:ascii="Times New Roman" w:hAnsi="Times New Roman"/>
                <w:sz w:val="20"/>
                <w:szCs w:val="20"/>
              </w:rPr>
            </w:pPr>
          </w:p>
        </w:tc>
        <w:tc>
          <w:tcPr>
            <w:tcW w:w="150" w:type="pct"/>
            <w:shd w:val="clear" w:color="auto" w:fill="auto"/>
            <w:vAlign w:val="center"/>
          </w:tcPr>
          <w:p w14:paraId="2A739B22" w14:textId="77777777" w:rsidR="00FA5565" w:rsidRDefault="00FA5565">
            <w:pPr>
              <w:rPr>
                <w:rFonts w:ascii="Times New Roman" w:hAnsi="Times New Roman"/>
                <w:sz w:val="20"/>
                <w:szCs w:val="20"/>
              </w:rPr>
            </w:pPr>
          </w:p>
        </w:tc>
        <w:tc>
          <w:tcPr>
            <w:tcW w:w="1000" w:type="pct"/>
            <w:shd w:val="clear" w:color="auto" w:fill="auto"/>
            <w:vAlign w:val="center"/>
          </w:tcPr>
          <w:p w14:paraId="2A739B23" w14:textId="77777777" w:rsidR="00FA5565" w:rsidRDefault="00FA5565">
            <w:pPr>
              <w:rPr>
                <w:rFonts w:ascii="Times New Roman" w:hAnsi="Times New Roman"/>
                <w:sz w:val="20"/>
                <w:szCs w:val="20"/>
              </w:rPr>
            </w:pPr>
          </w:p>
        </w:tc>
        <w:tc>
          <w:tcPr>
            <w:tcW w:w="150" w:type="pct"/>
            <w:shd w:val="clear" w:color="auto" w:fill="auto"/>
            <w:vAlign w:val="center"/>
          </w:tcPr>
          <w:p w14:paraId="2A739B24" w14:textId="77777777" w:rsidR="00FA5565" w:rsidRDefault="00FA5565">
            <w:pPr>
              <w:rPr>
                <w:rFonts w:ascii="Times New Roman" w:hAnsi="Times New Roman"/>
                <w:sz w:val="20"/>
                <w:szCs w:val="20"/>
              </w:rPr>
            </w:pPr>
          </w:p>
        </w:tc>
        <w:tc>
          <w:tcPr>
            <w:tcW w:w="150" w:type="pct"/>
            <w:shd w:val="clear" w:color="auto" w:fill="auto"/>
            <w:vAlign w:val="center"/>
          </w:tcPr>
          <w:p w14:paraId="2A739B25" w14:textId="77777777" w:rsidR="00FA5565" w:rsidRDefault="00FA5565">
            <w:pPr>
              <w:rPr>
                <w:rFonts w:ascii="Times New Roman" w:hAnsi="Times New Roman"/>
                <w:sz w:val="20"/>
                <w:szCs w:val="20"/>
              </w:rPr>
            </w:pPr>
          </w:p>
        </w:tc>
      </w:tr>
      <w:tr w:rsidR="00FA5565" w14:paraId="2A739B2E" w14:textId="77777777">
        <w:tc>
          <w:tcPr>
            <w:tcW w:w="0" w:type="auto"/>
            <w:shd w:val="clear" w:color="auto" w:fill="auto"/>
            <w:tcMar>
              <w:top w:w="40" w:type="dxa"/>
              <w:left w:w="40" w:type="dxa"/>
              <w:bottom w:w="40" w:type="dxa"/>
              <w:right w:w="40" w:type="dxa"/>
            </w:tcMar>
            <w:vAlign w:val="bottom"/>
          </w:tcPr>
          <w:p w14:paraId="2A739B27" w14:textId="77777777" w:rsidR="00FA5565" w:rsidRDefault="00D804D1">
            <w:pPr>
              <w:jc w:val="both"/>
              <w:textAlignment w:val="bottom"/>
              <w:rPr>
                <w:rFonts w:ascii="Times New Roman" w:hAnsi="Times New Roman"/>
                <w:sz w:val="16"/>
                <w:szCs w:val="16"/>
              </w:rPr>
            </w:pPr>
            <w:r>
              <w:rPr>
                <w:rFonts w:ascii="Helvetica" w:eastAsia="Helvetica" w:hAnsi="Helvetica" w:cs="Helvetica"/>
                <w:sz w:val="16"/>
                <w:szCs w:val="16"/>
              </w:rPr>
              <w:t>Large accelerated filer</w:t>
            </w:r>
          </w:p>
        </w:tc>
        <w:tc>
          <w:tcPr>
            <w:tcW w:w="0" w:type="auto"/>
            <w:shd w:val="clear" w:color="auto" w:fill="auto"/>
            <w:tcMar>
              <w:top w:w="40" w:type="dxa"/>
              <w:left w:w="40" w:type="dxa"/>
              <w:bottom w:w="40" w:type="dxa"/>
              <w:right w:w="40" w:type="dxa"/>
            </w:tcMar>
            <w:vAlign w:val="bottom"/>
          </w:tcPr>
          <w:p w14:paraId="2A739B2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29" w14:textId="77777777" w:rsidR="00FA5565" w:rsidRDefault="00D804D1">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2A739B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2B" w14:textId="77777777" w:rsidR="00FA5565" w:rsidRDefault="00D804D1">
            <w:pPr>
              <w:jc w:val="both"/>
              <w:textAlignment w:val="bottom"/>
              <w:rPr>
                <w:rFonts w:ascii="Times New Roman" w:hAnsi="Times New Roman"/>
                <w:sz w:val="16"/>
                <w:szCs w:val="16"/>
              </w:rPr>
            </w:pPr>
            <w:r>
              <w:rPr>
                <w:rFonts w:ascii="Helvetica" w:eastAsia="Helvetica" w:hAnsi="Helvetica" w:cs="Helvetica"/>
                <w:sz w:val="16"/>
                <w:szCs w:val="16"/>
              </w:rPr>
              <w:t>Accelerated filer</w:t>
            </w:r>
          </w:p>
        </w:tc>
        <w:tc>
          <w:tcPr>
            <w:tcW w:w="0" w:type="auto"/>
            <w:shd w:val="clear" w:color="auto" w:fill="auto"/>
            <w:tcMar>
              <w:top w:w="40" w:type="dxa"/>
              <w:left w:w="40" w:type="dxa"/>
              <w:bottom w:w="40" w:type="dxa"/>
              <w:right w:w="40" w:type="dxa"/>
            </w:tcMar>
            <w:vAlign w:val="bottom"/>
          </w:tcPr>
          <w:p w14:paraId="2A739B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2D" w14:textId="77777777" w:rsidR="00FA5565" w:rsidRDefault="00D804D1">
            <w:pPr>
              <w:jc w:val="both"/>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r w:rsidR="00FA5565" w14:paraId="2A739B36" w14:textId="77777777">
        <w:tc>
          <w:tcPr>
            <w:tcW w:w="0" w:type="auto"/>
            <w:shd w:val="clear" w:color="auto" w:fill="auto"/>
            <w:tcMar>
              <w:top w:w="40" w:type="dxa"/>
              <w:left w:w="40" w:type="dxa"/>
              <w:bottom w:w="40" w:type="dxa"/>
              <w:right w:w="40" w:type="dxa"/>
            </w:tcMar>
            <w:vAlign w:val="bottom"/>
          </w:tcPr>
          <w:p w14:paraId="2A739B2F" w14:textId="77777777" w:rsidR="00FA5565" w:rsidRDefault="00D804D1">
            <w:pPr>
              <w:jc w:val="both"/>
              <w:textAlignment w:val="bottom"/>
              <w:rPr>
                <w:rFonts w:ascii="Times New Roman" w:hAnsi="Times New Roman"/>
                <w:sz w:val="16"/>
                <w:szCs w:val="16"/>
              </w:rPr>
            </w:pPr>
            <w:r>
              <w:rPr>
                <w:rFonts w:ascii="Helvetica" w:eastAsia="Helvetica" w:hAnsi="Helvetica" w:cs="Helvetica"/>
                <w:sz w:val="16"/>
                <w:szCs w:val="16"/>
              </w:rPr>
              <w:t>Non-accelerated filer</w:t>
            </w:r>
          </w:p>
        </w:tc>
        <w:tc>
          <w:tcPr>
            <w:tcW w:w="0" w:type="auto"/>
            <w:shd w:val="clear" w:color="auto" w:fill="auto"/>
            <w:tcMar>
              <w:top w:w="40" w:type="dxa"/>
              <w:left w:w="40" w:type="dxa"/>
              <w:bottom w:w="40" w:type="dxa"/>
              <w:right w:w="40" w:type="dxa"/>
            </w:tcMar>
            <w:vAlign w:val="bottom"/>
          </w:tcPr>
          <w:p w14:paraId="2A739B3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31" w14:textId="77777777" w:rsidR="00FA5565" w:rsidRDefault="00D804D1">
            <w:pPr>
              <w:jc w:val="both"/>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2A739B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33" w14:textId="77777777" w:rsidR="00FA5565" w:rsidRDefault="00D804D1">
            <w:pPr>
              <w:jc w:val="both"/>
              <w:textAlignment w:val="bottom"/>
              <w:rPr>
                <w:rFonts w:ascii="Times New Roman" w:hAnsi="Times New Roman"/>
                <w:sz w:val="16"/>
                <w:szCs w:val="16"/>
              </w:rPr>
            </w:pPr>
            <w:r>
              <w:rPr>
                <w:rFonts w:ascii="Helvetica" w:eastAsia="Helvetica" w:hAnsi="Helvetica" w:cs="Helvetica"/>
                <w:sz w:val="16"/>
                <w:szCs w:val="16"/>
              </w:rPr>
              <w:t>Smaller reporting company</w:t>
            </w:r>
          </w:p>
        </w:tc>
        <w:tc>
          <w:tcPr>
            <w:tcW w:w="0" w:type="auto"/>
            <w:shd w:val="clear" w:color="auto" w:fill="auto"/>
            <w:tcMar>
              <w:top w:w="40" w:type="dxa"/>
              <w:left w:w="40" w:type="dxa"/>
              <w:bottom w:w="40" w:type="dxa"/>
              <w:right w:w="40" w:type="dxa"/>
            </w:tcMar>
            <w:vAlign w:val="bottom"/>
          </w:tcPr>
          <w:p w14:paraId="2A739B3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35" w14:textId="77777777" w:rsidR="00FA5565" w:rsidRDefault="00D804D1">
            <w:pPr>
              <w:jc w:val="both"/>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r w:rsidR="00FA5565" w14:paraId="2A739B3E" w14:textId="77777777">
        <w:tc>
          <w:tcPr>
            <w:tcW w:w="0" w:type="auto"/>
            <w:shd w:val="clear" w:color="auto" w:fill="auto"/>
            <w:tcMar>
              <w:top w:w="40" w:type="dxa"/>
              <w:left w:w="40" w:type="dxa"/>
              <w:bottom w:w="40" w:type="dxa"/>
              <w:right w:w="40" w:type="dxa"/>
            </w:tcMar>
            <w:vAlign w:val="bottom"/>
          </w:tcPr>
          <w:p w14:paraId="2A739B3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3B" w14:textId="77777777" w:rsidR="00FA5565" w:rsidRDefault="00D804D1">
            <w:pPr>
              <w:jc w:val="both"/>
              <w:textAlignment w:val="bottom"/>
              <w:rPr>
                <w:rFonts w:ascii="Times New Roman" w:hAnsi="Times New Roman"/>
                <w:sz w:val="16"/>
                <w:szCs w:val="16"/>
              </w:rPr>
            </w:pPr>
            <w:r>
              <w:rPr>
                <w:rFonts w:ascii="Helvetica" w:eastAsia="Helvetica" w:hAnsi="Helvetica" w:cs="Helvetica"/>
                <w:sz w:val="16"/>
                <w:szCs w:val="16"/>
              </w:rPr>
              <w:t>Emerging growth company</w:t>
            </w:r>
          </w:p>
        </w:tc>
        <w:tc>
          <w:tcPr>
            <w:tcW w:w="0" w:type="auto"/>
            <w:shd w:val="clear" w:color="auto" w:fill="auto"/>
            <w:tcMar>
              <w:top w:w="40" w:type="dxa"/>
              <w:left w:w="40" w:type="dxa"/>
              <w:bottom w:w="40" w:type="dxa"/>
              <w:right w:w="40" w:type="dxa"/>
            </w:tcMar>
            <w:vAlign w:val="bottom"/>
          </w:tcPr>
          <w:p w14:paraId="2A739B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B3D" w14:textId="77777777" w:rsidR="00FA5565" w:rsidRDefault="00D804D1">
            <w:pPr>
              <w:jc w:val="both"/>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bl>
    <w:p w14:paraId="2A739B3F" w14:textId="77777777" w:rsidR="00FA5565" w:rsidRDefault="00D804D1">
      <w:pPr>
        <w:jc w:val="both"/>
        <w:rPr>
          <w:rFonts w:ascii="Times New Roman" w:hAnsi="Times New Roman"/>
          <w:sz w:val="20"/>
          <w:szCs w:val="20"/>
        </w:rPr>
      </w:pPr>
      <w:r>
        <w:rPr>
          <w:rFonts w:ascii="Helvetica" w:eastAsia="Helvetica" w:hAnsi="Helvetica" w:cs="Helvetica"/>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Helvetica" w:eastAsia="Helvetica" w:hAnsi="Helvetica" w:cs="Helvetica"/>
          <w:sz w:val="20"/>
          <w:szCs w:val="20"/>
        </w:rPr>
        <w:t>☐</w:t>
      </w:r>
    </w:p>
    <w:p w14:paraId="2A739B40" w14:textId="77777777" w:rsidR="00FA5565" w:rsidRDefault="00D804D1">
      <w:pPr>
        <w:spacing w:line="288" w:lineRule="auto"/>
        <w:jc w:val="both"/>
        <w:rPr>
          <w:rFonts w:ascii="Times New Roman" w:hAnsi="Times New Roman"/>
          <w:sz w:val="16"/>
          <w:szCs w:val="16"/>
        </w:rPr>
      </w:pPr>
      <w:r>
        <w:rPr>
          <w:rFonts w:ascii="Helvetica" w:eastAsia="Helvetica" w:hAnsi="Helvetica" w:cs="Helvetica"/>
          <w:sz w:val="16"/>
          <w:szCs w:val="16"/>
        </w:rPr>
        <w:t>Ind</w:t>
      </w:r>
      <w:r>
        <w:rPr>
          <w:rFonts w:ascii="Helvetica" w:eastAsia="Helvetica" w:hAnsi="Helvetica" w:cs="Helvetica"/>
          <w:sz w:val="16"/>
          <w:szCs w:val="16"/>
        </w:rPr>
        <w:t>icate by check mark whether the Registrant is a shell company (as defined in Rule 12b-2 of the Act).</w:t>
      </w:r>
    </w:p>
    <w:p w14:paraId="2A739B41" w14:textId="77777777" w:rsidR="00FA5565" w:rsidRDefault="00D804D1">
      <w:pPr>
        <w:spacing w:line="288" w:lineRule="auto"/>
        <w:jc w:val="center"/>
        <w:rPr>
          <w:rFonts w:ascii="Times New Roman" w:hAnsi="Times New Roman"/>
          <w:sz w:val="20"/>
          <w:szCs w:val="20"/>
        </w:rPr>
      </w:pPr>
      <w:r>
        <w:rPr>
          <w:rFonts w:ascii="Helvetica" w:eastAsia="Helvetica" w:hAnsi="Helvetica" w:cs="Helvetica"/>
          <w:sz w:val="16"/>
          <w:szCs w:val="16"/>
        </w:rPr>
        <w:t>Yes  </w:t>
      </w:r>
      <w:r>
        <w:rPr>
          <w:rFonts w:ascii="Arial Unicode MS" w:eastAsia="Arial Unicode MS" w:hAnsi="Arial Unicode MS" w:cs="Arial Unicode MS" w:hint="eastAsia"/>
          <w:sz w:val="20"/>
          <w:szCs w:val="20"/>
        </w:rPr>
        <w:t>☐</w:t>
      </w:r>
      <w:r>
        <w:rPr>
          <w:rFonts w:ascii="Helvetica" w:eastAsia="Helvetica" w:hAnsi="Helvetica" w:cs="Helvetica"/>
          <w:sz w:val="16"/>
          <w:szCs w:val="16"/>
        </w:rPr>
        <w:t>    No  </w:t>
      </w:r>
      <w:r>
        <w:rPr>
          <w:rFonts w:ascii="Arial Unicode MS" w:eastAsia="Arial Unicode MS" w:hAnsi="Arial Unicode MS" w:cs="Arial Unicode MS" w:hint="eastAsia"/>
          <w:sz w:val="20"/>
          <w:szCs w:val="20"/>
        </w:rPr>
        <w:t>☒</w:t>
      </w:r>
    </w:p>
    <w:p w14:paraId="2A739B42" w14:textId="77777777" w:rsidR="00FA5565" w:rsidRDefault="00D804D1">
      <w:pPr>
        <w:spacing w:line="288" w:lineRule="auto"/>
        <w:jc w:val="both"/>
        <w:rPr>
          <w:rFonts w:ascii="Times New Roman" w:hAnsi="Times New Roman"/>
          <w:sz w:val="16"/>
          <w:szCs w:val="16"/>
        </w:rPr>
      </w:pPr>
      <w:r>
        <w:rPr>
          <w:rFonts w:ascii="Helvetica" w:eastAsia="Helvetica" w:hAnsi="Helvetica" w:cs="Helvetica"/>
          <w:sz w:val="16"/>
          <w:szCs w:val="16"/>
        </w:rPr>
        <w:t xml:space="preserve">The aggregate market value of the voting and non-voting stock held by non-affiliates of the Registrant, as of March 29, 2019, the last </w:t>
      </w:r>
      <w:r>
        <w:rPr>
          <w:rFonts w:ascii="Helvetica" w:eastAsia="Helvetica" w:hAnsi="Helvetica" w:cs="Helvetica"/>
          <w:sz w:val="16"/>
          <w:szCs w:val="16"/>
        </w:rPr>
        <w:t>business day of the Registrant’s most recently completed second fiscal quarter, was approximately $874,698,000,000. Solely for purposes of this disclosure, shares of common stock held by executive officers and directors of the Registrant as of such date ha</w:t>
      </w:r>
      <w:r>
        <w:rPr>
          <w:rFonts w:ascii="Helvetica" w:eastAsia="Helvetica" w:hAnsi="Helvetica" w:cs="Helvetica"/>
          <w:sz w:val="16"/>
          <w:szCs w:val="16"/>
        </w:rPr>
        <w:t>ve been excluded because such persons may be deemed to be affiliates. This determination of executive officers and directors as affiliates is not necessarily a conclusive determination for any other purposes.</w:t>
      </w:r>
    </w:p>
    <w:p w14:paraId="2A739B43"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4,443,265,000 shares of common stock were issue</w:t>
      </w:r>
      <w:r>
        <w:rPr>
          <w:rFonts w:ascii="Helvetica" w:eastAsia="Helvetica" w:hAnsi="Helvetica" w:cs="Helvetica"/>
          <w:sz w:val="16"/>
          <w:szCs w:val="16"/>
        </w:rPr>
        <w:t>d and outstanding as of October 18, 2019.</w:t>
      </w:r>
    </w:p>
    <w:p w14:paraId="2A739B44" w14:textId="77777777" w:rsidR="00FA5565" w:rsidRDefault="00FA5565">
      <w:pPr>
        <w:spacing w:line="288" w:lineRule="auto"/>
        <w:jc w:val="center"/>
        <w:rPr>
          <w:rFonts w:ascii="Times New Roman" w:hAnsi="Times New Roman"/>
          <w:sz w:val="16"/>
          <w:szCs w:val="16"/>
        </w:rPr>
      </w:pPr>
    </w:p>
    <w:p w14:paraId="2A739B45"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DOCUMENTS INCORPORATED BY REFERENCE</w:t>
      </w:r>
    </w:p>
    <w:p w14:paraId="2A739B46" w14:textId="77777777" w:rsidR="00FA5565" w:rsidRDefault="00D804D1">
      <w:pPr>
        <w:spacing w:line="288" w:lineRule="auto"/>
        <w:jc w:val="both"/>
        <w:rPr>
          <w:rFonts w:ascii="Times New Roman" w:hAnsi="Times New Roman"/>
          <w:sz w:val="16"/>
          <w:szCs w:val="16"/>
        </w:rPr>
      </w:pPr>
      <w:r>
        <w:rPr>
          <w:rFonts w:ascii="Helvetica" w:eastAsia="Helvetica" w:hAnsi="Helvetica" w:cs="Helvetica"/>
          <w:sz w:val="16"/>
          <w:szCs w:val="16"/>
        </w:rPr>
        <w:t xml:space="preserve">Portions of the Registrant’s definitive proxy statement relating to its 2020 annual meeting of shareholders (the “2020 Proxy Statement”) are incorporated by reference into Part </w:t>
      </w:r>
      <w:r>
        <w:rPr>
          <w:rFonts w:ascii="Helvetica" w:eastAsia="Helvetica" w:hAnsi="Helvetica" w:cs="Helvetica"/>
          <w:sz w:val="16"/>
          <w:szCs w:val="16"/>
        </w:rPr>
        <w:t>III of this Annual Report on Form 10-K where indicated. The 2020 Proxy Statement will be filed with the U.S. Securities and Exchange Commission within 120 days after the end of the fiscal year to which this report relates.</w:t>
      </w:r>
    </w:p>
    <w:tbl>
      <w:tblPr>
        <w:tblW w:w="5000" w:type="pct"/>
        <w:jc w:val="center"/>
        <w:tblCellMar>
          <w:left w:w="0" w:type="dxa"/>
          <w:right w:w="0" w:type="dxa"/>
        </w:tblCellMar>
        <w:tblLook w:val="04A0" w:firstRow="1" w:lastRow="0" w:firstColumn="1" w:lastColumn="0" w:noHBand="0" w:noVBand="1"/>
      </w:tblPr>
      <w:tblGrid>
        <w:gridCol w:w="8306"/>
      </w:tblGrid>
      <w:tr w:rsidR="00FA5565" w14:paraId="2A739B48" w14:textId="77777777">
        <w:trPr>
          <w:jc w:val="center"/>
        </w:trPr>
        <w:tc>
          <w:tcPr>
            <w:tcW w:w="0" w:type="auto"/>
            <w:shd w:val="clear" w:color="auto" w:fill="auto"/>
            <w:vAlign w:val="center"/>
          </w:tcPr>
          <w:p w14:paraId="2A739B47" w14:textId="77777777" w:rsidR="00FA5565" w:rsidRDefault="00FA5565">
            <w:pPr>
              <w:rPr>
                <w:rFonts w:ascii="Times New Roman" w:hAnsi="Times New Roman"/>
                <w:sz w:val="20"/>
                <w:szCs w:val="20"/>
              </w:rPr>
            </w:pPr>
          </w:p>
        </w:tc>
      </w:tr>
      <w:tr w:rsidR="00FA5565" w14:paraId="2A739B4A" w14:textId="77777777">
        <w:trPr>
          <w:jc w:val="center"/>
        </w:trPr>
        <w:tc>
          <w:tcPr>
            <w:tcW w:w="5000" w:type="pct"/>
            <w:shd w:val="clear" w:color="auto" w:fill="auto"/>
            <w:vAlign w:val="center"/>
          </w:tcPr>
          <w:p w14:paraId="2A739B49" w14:textId="77777777" w:rsidR="00FA5565" w:rsidRDefault="00FA5565">
            <w:pPr>
              <w:rPr>
                <w:rFonts w:ascii="Times New Roman" w:hAnsi="Times New Roman"/>
                <w:sz w:val="20"/>
                <w:szCs w:val="20"/>
              </w:rPr>
            </w:pPr>
          </w:p>
        </w:tc>
      </w:tr>
      <w:tr w:rsidR="00FA5565" w14:paraId="2A739B4C"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9B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bl>
    <w:p w14:paraId="2A739B4D" w14:textId="77777777" w:rsidR="00FA5565" w:rsidRDefault="00FA5565">
      <w:pPr>
        <w:rPr>
          <w:rFonts w:ascii="Times New Roman" w:hAnsi="Times New Roman"/>
          <w:sz w:val="20"/>
          <w:szCs w:val="20"/>
        </w:rPr>
      </w:pPr>
    </w:p>
    <w:p w14:paraId="2A739B4E" w14:textId="77777777" w:rsidR="00FA5565" w:rsidRDefault="00D804D1">
      <w:r>
        <w:rPr>
          <w:rFonts w:ascii="Times New Roman" w:hAnsi="Times New Roman"/>
          <w:sz w:val="20"/>
          <w:szCs w:val="20"/>
        </w:rPr>
        <w:pict w14:anchorId="2A73C099">
          <v:rect id="_x0000_i1025" style="width:415.3pt;height:1.5pt" o:hralign="center" o:hrstd="t" o:hr="t" fillcolor="#a0a0a0" stroked="f"/>
        </w:pict>
      </w:r>
    </w:p>
    <w:p w14:paraId="2A739B4F" w14:textId="77777777" w:rsidR="00FA5565" w:rsidRDefault="00FA5565">
      <w:pPr>
        <w:rPr>
          <w:rFonts w:ascii="Times New Roman" w:hAnsi="Times New Roman"/>
          <w:sz w:val="20"/>
          <w:szCs w:val="20"/>
        </w:rPr>
      </w:pPr>
    </w:p>
    <w:p w14:paraId="2A739B50"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2A739B51" w14:textId="77777777" w:rsidR="00FA5565" w:rsidRDefault="00FA5565">
      <w:pPr>
        <w:spacing w:line="288" w:lineRule="auto"/>
        <w:jc w:val="center"/>
        <w:rPr>
          <w:rFonts w:ascii="Times New Roman" w:hAnsi="Times New Roman"/>
          <w:sz w:val="18"/>
          <w:szCs w:val="18"/>
        </w:rPr>
      </w:pPr>
    </w:p>
    <w:p w14:paraId="2A739B52"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 xml:space="preserve">Form </w:t>
      </w:r>
      <w:r>
        <w:rPr>
          <w:rFonts w:ascii="Helvetica" w:eastAsia="Helvetica" w:hAnsi="Helvetica" w:cs="Helvetica"/>
          <w:b/>
          <w:bCs/>
          <w:sz w:val="18"/>
          <w:szCs w:val="18"/>
        </w:rPr>
        <w:t>10-K</w:t>
      </w:r>
    </w:p>
    <w:p w14:paraId="2A739B53"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For the Fiscal Year Ended September 28, 2019</w:t>
      </w:r>
    </w:p>
    <w:p w14:paraId="2A739B54"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TABLE OF CONTENTS</w:t>
      </w:r>
    </w:p>
    <w:p w14:paraId="2A739B55" w14:textId="77777777" w:rsidR="00FA5565" w:rsidRDefault="00FA5565">
      <w:pPr>
        <w:spacing w:line="288" w:lineRule="auto"/>
        <w:jc w:val="both"/>
        <w:rPr>
          <w:rFonts w:ascii="Times New Roman" w:hAnsi="Times New Roman"/>
        </w:rPr>
      </w:pPr>
    </w:p>
    <w:tbl>
      <w:tblPr>
        <w:tblW w:w="5000" w:type="pct"/>
        <w:tblCellMar>
          <w:left w:w="0" w:type="dxa"/>
          <w:right w:w="0" w:type="dxa"/>
        </w:tblCellMar>
        <w:tblLook w:val="04A0" w:firstRow="1" w:lastRow="0" w:firstColumn="1" w:lastColumn="0" w:noHBand="0" w:noVBand="1"/>
      </w:tblPr>
      <w:tblGrid>
        <w:gridCol w:w="1080"/>
        <w:gridCol w:w="6728"/>
        <w:gridCol w:w="498"/>
      </w:tblGrid>
      <w:tr w:rsidR="00FA5565" w14:paraId="2A739B57" w14:textId="77777777">
        <w:tc>
          <w:tcPr>
            <w:tcW w:w="0" w:type="auto"/>
            <w:gridSpan w:val="3"/>
            <w:shd w:val="clear" w:color="auto" w:fill="auto"/>
            <w:vAlign w:val="center"/>
          </w:tcPr>
          <w:p w14:paraId="2A739B56" w14:textId="77777777" w:rsidR="00FA5565" w:rsidRDefault="00FA5565">
            <w:pPr>
              <w:rPr>
                <w:rFonts w:ascii="Times New Roman" w:hAnsi="Times New Roman"/>
                <w:sz w:val="20"/>
                <w:szCs w:val="20"/>
              </w:rPr>
            </w:pPr>
          </w:p>
        </w:tc>
      </w:tr>
      <w:tr w:rsidR="00FA5565" w14:paraId="2A739B5B" w14:textId="77777777">
        <w:tc>
          <w:tcPr>
            <w:tcW w:w="650" w:type="pct"/>
            <w:shd w:val="clear" w:color="auto" w:fill="auto"/>
            <w:vAlign w:val="center"/>
          </w:tcPr>
          <w:p w14:paraId="2A739B58" w14:textId="77777777" w:rsidR="00FA5565" w:rsidRDefault="00FA5565">
            <w:pPr>
              <w:rPr>
                <w:rFonts w:ascii="Times New Roman" w:hAnsi="Times New Roman"/>
                <w:sz w:val="20"/>
                <w:szCs w:val="20"/>
              </w:rPr>
            </w:pPr>
          </w:p>
        </w:tc>
        <w:tc>
          <w:tcPr>
            <w:tcW w:w="4050" w:type="pct"/>
            <w:shd w:val="clear" w:color="auto" w:fill="auto"/>
            <w:vAlign w:val="center"/>
          </w:tcPr>
          <w:p w14:paraId="2A739B59" w14:textId="77777777" w:rsidR="00FA5565" w:rsidRDefault="00FA5565">
            <w:pPr>
              <w:rPr>
                <w:rFonts w:ascii="Times New Roman" w:hAnsi="Times New Roman"/>
                <w:sz w:val="20"/>
                <w:szCs w:val="20"/>
              </w:rPr>
            </w:pPr>
          </w:p>
        </w:tc>
        <w:tc>
          <w:tcPr>
            <w:tcW w:w="300" w:type="pct"/>
            <w:shd w:val="clear" w:color="auto" w:fill="auto"/>
            <w:vAlign w:val="center"/>
          </w:tcPr>
          <w:p w14:paraId="2A739B5A" w14:textId="77777777" w:rsidR="00FA5565" w:rsidRDefault="00FA5565">
            <w:pPr>
              <w:rPr>
                <w:rFonts w:ascii="Times New Roman" w:hAnsi="Times New Roman"/>
                <w:sz w:val="20"/>
                <w:szCs w:val="20"/>
              </w:rPr>
            </w:pPr>
          </w:p>
        </w:tc>
      </w:tr>
      <w:tr w:rsidR="00FA5565" w14:paraId="2A739B5E" w14:textId="77777777">
        <w:tc>
          <w:tcPr>
            <w:tcW w:w="0" w:type="auto"/>
            <w:gridSpan w:val="2"/>
            <w:shd w:val="clear" w:color="auto" w:fill="auto"/>
            <w:tcMar>
              <w:top w:w="40" w:type="dxa"/>
              <w:left w:w="40" w:type="dxa"/>
              <w:bottom w:w="40" w:type="dxa"/>
              <w:right w:w="40" w:type="dxa"/>
            </w:tcMar>
            <w:vAlign w:val="bottom"/>
          </w:tcPr>
          <w:p w14:paraId="2A739B5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9B5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Page</w:t>
            </w:r>
          </w:p>
        </w:tc>
      </w:tr>
      <w:tr w:rsidR="00FA5565" w14:paraId="2A739B60" w14:textId="77777777">
        <w:tc>
          <w:tcPr>
            <w:tcW w:w="0" w:type="auto"/>
            <w:gridSpan w:val="3"/>
            <w:shd w:val="clear" w:color="auto" w:fill="auto"/>
            <w:tcMar>
              <w:top w:w="40" w:type="dxa"/>
              <w:left w:w="40" w:type="dxa"/>
              <w:bottom w:w="40" w:type="dxa"/>
              <w:right w:w="40" w:type="dxa"/>
            </w:tcMar>
            <w:vAlign w:val="bottom"/>
          </w:tcPr>
          <w:p w14:paraId="2A739B5F" w14:textId="77777777" w:rsidR="00FA5565" w:rsidRDefault="00D804D1">
            <w:pPr>
              <w:jc w:val="center"/>
              <w:textAlignment w:val="bottom"/>
              <w:rPr>
                <w:rFonts w:ascii="Times New Roman" w:hAnsi="Times New Roman"/>
                <w:sz w:val="18"/>
                <w:szCs w:val="18"/>
              </w:rPr>
            </w:pPr>
            <w:hyperlink r:id="rId7" w:anchor="sE45D95EC302C53F3999A16F238922716" w:history="1">
              <w:r>
                <w:rPr>
                  <w:rStyle w:val="a5"/>
                  <w:rFonts w:ascii="Helvetica" w:eastAsia="Helvetica" w:hAnsi="Helvetica" w:cs="Helvetica"/>
                  <w:b/>
                  <w:bCs/>
                  <w:sz w:val="18"/>
                  <w:szCs w:val="18"/>
                </w:rPr>
                <w:t>Part I</w:t>
              </w:r>
            </w:hyperlink>
          </w:p>
        </w:tc>
      </w:tr>
      <w:tr w:rsidR="00FA5565" w14:paraId="2A739B64" w14:textId="77777777">
        <w:tc>
          <w:tcPr>
            <w:tcW w:w="0" w:type="auto"/>
            <w:shd w:val="clear" w:color="auto" w:fill="EFEFEF"/>
            <w:tcMar>
              <w:top w:w="40" w:type="dxa"/>
              <w:left w:w="40" w:type="dxa"/>
              <w:bottom w:w="40" w:type="dxa"/>
              <w:right w:w="40" w:type="dxa"/>
            </w:tcMar>
            <w:vAlign w:val="bottom"/>
          </w:tcPr>
          <w:p w14:paraId="2A739B61" w14:textId="77777777" w:rsidR="00FA5565" w:rsidRDefault="00D804D1">
            <w:pPr>
              <w:textAlignment w:val="bottom"/>
              <w:rPr>
                <w:rFonts w:ascii="Times New Roman" w:hAnsi="Times New Roman"/>
                <w:sz w:val="18"/>
                <w:szCs w:val="18"/>
              </w:rPr>
            </w:pPr>
            <w:hyperlink r:id="rId8" w:anchor="s8FA93AA667C0535398014FA54B397439" w:history="1">
              <w:r>
                <w:rPr>
                  <w:rStyle w:val="a5"/>
                  <w:rFonts w:ascii="Helvetica" w:eastAsia="Helvetica" w:hAnsi="Helvetica" w:cs="Helvetica"/>
                  <w:sz w:val="18"/>
                  <w:szCs w:val="18"/>
                </w:rPr>
                <w:t>Item 1.</w:t>
              </w:r>
            </w:hyperlink>
          </w:p>
        </w:tc>
        <w:tc>
          <w:tcPr>
            <w:tcW w:w="0" w:type="auto"/>
            <w:shd w:val="clear" w:color="auto" w:fill="EFEFEF"/>
            <w:tcMar>
              <w:top w:w="40" w:type="dxa"/>
              <w:left w:w="40" w:type="dxa"/>
              <w:bottom w:w="40" w:type="dxa"/>
              <w:right w:w="40" w:type="dxa"/>
            </w:tcMar>
            <w:vAlign w:val="bottom"/>
          </w:tcPr>
          <w:p w14:paraId="2A739B62" w14:textId="77777777" w:rsidR="00FA5565" w:rsidRDefault="00D804D1">
            <w:pPr>
              <w:ind w:hanging="240"/>
              <w:textAlignment w:val="bottom"/>
              <w:rPr>
                <w:rFonts w:ascii="Times New Roman" w:hAnsi="Times New Roman"/>
                <w:sz w:val="18"/>
                <w:szCs w:val="18"/>
              </w:rPr>
            </w:pPr>
            <w:hyperlink r:id="rId9" w:anchor="s8FA93AA667C0535398014FA54B397439" w:history="1">
              <w:r>
                <w:rPr>
                  <w:rStyle w:val="a5"/>
                  <w:rFonts w:ascii="Helvetica" w:eastAsia="Helvetica" w:hAnsi="Helvetica" w:cs="Helvetica"/>
                  <w:sz w:val="18"/>
                  <w:szCs w:val="18"/>
                </w:rPr>
                <w:t>Business</w:t>
              </w:r>
            </w:hyperlink>
          </w:p>
        </w:tc>
        <w:tc>
          <w:tcPr>
            <w:tcW w:w="0" w:type="auto"/>
            <w:shd w:val="clear" w:color="auto" w:fill="EFEFEF"/>
            <w:tcMar>
              <w:top w:w="40" w:type="dxa"/>
              <w:left w:w="40" w:type="dxa"/>
              <w:bottom w:w="40" w:type="dxa"/>
              <w:right w:w="40" w:type="dxa"/>
            </w:tcMar>
            <w:vAlign w:val="bottom"/>
          </w:tcPr>
          <w:p w14:paraId="2A739B63" w14:textId="77777777" w:rsidR="00FA5565" w:rsidRDefault="00D804D1">
            <w:pPr>
              <w:jc w:val="center"/>
              <w:textAlignment w:val="bottom"/>
              <w:rPr>
                <w:rFonts w:ascii="Times New Roman" w:hAnsi="Times New Roman"/>
                <w:sz w:val="18"/>
                <w:szCs w:val="18"/>
              </w:rPr>
            </w:pPr>
            <w:hyperlink r:id="rId10" w:anchor="s8FA93AA667C0535398014FA54B397439" w:history="1">
              <w:r>
                <w:rPr>
                  <w:rStyle w:val="a5"/>
                  <w:rFonts w:ascii="Helvetica" w:eastAsia="Helvetica" w:hAnsi="Helvetica" w:cs="Helvetica"/>
                  <w:color w:val="000000"/>
                  <w:sz w:val="18"/>
                  <w:szCs w:val="18"/>
                  <w:u w:val="none"/>
                </w:rPr>
                <w:t>1</w:t>
              </w:r>
            </w:hyperlink>
          </w:p>
        </w:tc>
      </w:tr>
      <w:tr w:rsidR="00FA5565" w14:paraId="2A739B68" w14:textId="77777777">
        <w:tc>
          <w:tcPr>
            <w:tcW w:w="0" w:type="auto"/>
            <w:shd w:val="clear" w:color="auto" w:fill="auto"/>
            <w:tcMar>
              <w:top w:w="40" w:type="dxa"/>
              <w:left w:w="40" w:type="dxa"/>
              <w:bottom w:w="40" w:type="dxa"/>
              <w:right w:w="40" w:type="dxa"/>
            </w:tcMar>
            <w:vAlign w:val="bottom"/>
          </w:tcPr>
          <w:p w14:paraId="2A739B65" w14:textId="77777777" w:rsidR="00FA5565" w:rsidRDefault="00D804D1">
            <w:pPr>
              <w:textAlignment w:val="bottom"/>
              <w:rPr>
                <w:rFonts w:ascii="Times New Roman" w:hAnsi="Times New Roman"/>
                <w:sz w:val="18"/>
                <w:szCs w:val="18"/>
              </w:rPr>
            </w:pPr>
            <w:hyperlink r:id="rId11" w:anchor="s107EA6B564A4575DA42B4A73ACD9C71A" w:history="1">
              <w:r>
                <w:rPr>
                  <w:rStyle w:val="a5"/>
                  <w:rFonts w:ascii="Helvetica" w:eastAsia="Helvetica" w:hAnsi="Helvetica" w:cs="Helvetica"/>
                  <w:sz w:val="18"/>
                  <w:szCs w:val="18"/>
                </w:rPr>
                <w:t>Item 1A.</w:t>
              </w:r>
            </w:hyperlink>
          </w:p>
        </w:tc>
        <w:tc>
          <w:tcPr>
            <w:tcW w:w="0" w:type="auto"/>
            <w:shd w:val="clear" w:color="auto" w:fill="auto"/>
            <w:tcMar>
              <w:top w:w="40" w:type="dxa"/>
              <w:left w:w="40" w:type="dxa"/>
              <w:bottom w:w="40" w:type="dxa"/>
              <w:right w:w="40" w:type="dxa"/>
            </w:tcMar>
            <w:vAlign w:val="bottom"/>
          </w:tcPr>
          <w:p w14:paraId="2A739B66" w14:textId="77777777" w:rsidR="00FA5565" w:rsidRDefault="00D804D1">
            <w:pPr>
              <w:ind w:hanging="240"/>
              <w:textAlignment w:val="bottom"/>
              <w:rPr>
                <w:rFonts w:ascii="Times New Roman" w:hAnsi="Times New Roman"/>
                <w:sz w:val="18"/>
                <w:szCs w:val="18"/>
              </w:rPr>
            </w:pPr>
            <w:hyperlink r:id="rId12" w:anchor="s107EA6B564A4575DA42B4A73ACD9C71A" w:history="1">
              <w:r>
                <w:rPr>
                  <w:rStyle w:val="a5"/>
                  <w:rFonts w:ascii="Helvetica" w:eastAsia="Helvetica" w:hAnsi="Helvetica" w:cs="Helvetica"/>
                  <w:sz w:val="18"/>
                  <w:szCs w:val="18"/>
                </w:rPr>
                <w:t>Risk Factors</w:t>
              </w:r>
            </w:hyperlink>
          </w:p>
        </w:tc>
        <w:tc>
          <w:tcPr>
            <w:tcW w:w="0" w:type="auto"/>
            <w:shd w:val="clear" w:color="auto" w:fill="auto"/>
            <w:tcMar>
              <w:top w:w="40" w:type="dxa"/>
              <w:left w:w="40" w:type="dxa"/>
              <w:bottom w:w="40" w:type="dxa"/>
              <w:right w:w="40" w:type="dxa"/>
            </w:tcMar>
            <w:vAlign w:val="bottom"/>
          </w:tcPr>
          <w:p w14:paraId="2A739B67" w14:textId="77777777" w:rsidR="00FA5565" w:rsidRDefault="00D804D1">
            <w:pPr>
              <w:jc w:val="center"/>
              <w:textAlignment w:val="bottom"/>
              <w:rPr>
                <w:rFonts w:ascii="Times New Roman" w:hAnsi="Times New Roman"/>
                <w:sz w:val="18"/>
                <w:szCs w:val="18"/>
              </w:rPr>
            </w:pPr>
            <w:hyperlink r:id="rId13" w:anchor="s107EA6B564A4575DA42B4A73ACD9C71A" w:history="1">
              <w:r>
                <w:rPr>
                  <w:rStyle w:val="a5"/>
                  <w:rFonts w:ascii="Helvetica" w:eastAsia="Helvetica" w:hAnsi="Helvetica" w:cs="Helvetica"/>
                  <w:color w:val="000000"/>
                  <w:sz w:val="18"/>
                  <w:szCs w:val="18"/>
                  <w:u w:val="none"/>
                </w:rPr>
                <w:t>5</w:t>
              </w:r>
            </w:hyperlink>
          </w:p>
        </w:tc>
      </w:tr>
      <w:tr w:rsidR="00FA5565" w14:paraId="2A739B6C" w14:textId="77777777">
        <w:tc>
          <w:tcPr>
            <w:tcW w:w="0" w:type="auto"/>
            <w:shd w:val="clear" w:color="auto" w:fill="EFEFEF"/>
            <w:tcMar>
              <w:top w:w="40" w:type="dxa"/>
              <w:left w:w="40" w:type="dxa"/>
              <w:bottom w:w="40" w:type="dxa"/>
              <w:right w:w="40" w:type="dxa"/>
            </w:tcMar>
            <w:vAlign w:val="bottom"/>
          </w:tcPr>
          <w:p w14:paraId="2A739B69" w14:textId="77777777" w:rsidR="00FA5565" w:rsidRDefault="00D804D1">
            <w:pPr>
              <w:textAlignment w:val="bottom"/>
              <w:rPr>
                <w:rFonts w:ascii="Times New Roman" w:hAnsi="Times New Roman"/>
                <w:sz w:val="18"/>
                <w:szCs w:val="18"/>
              </w:rPr>
            </w:pPr>
            <w:hyperlink r:id="rId14" w:anchor="s09BC0FC06350577DAA71D344EA07A929" w:history="1">
              <w:r>
                <w:rPr>
                  <w:rStyle w:val="a5"/>
                  <w:rFonts w:ascii="Helvetica" w:eastAsia="Helvetica" w:hAnsi="Helvetica" w:cs="Helvetica"/>
                  <w:sz w:val="18"/>
                  <w:szCs w:val="18"/>
                </w:rPr>
                <w:t>Item 1B.</w:t>
              </w:r>
            </w:hyperlink>
          </w:p>
        </w:tc>
        <w:tc>
          <w:tcPr>
            <w:tcW w:w="0" w:type="auto"/>
            <w:shd w:val="clear" w:color="auto" w:fill="EFEFEF"/>
            <w:tcMar>
              <w:top w:w="40" w:type="dxa"/>
              <w:left w:w="40" w:type="dxa"/>
              <w:bottom w:w="40" w:type="dxa"/>
              <w:right w:w="40" w:type="dxa"/>
            </w:tcMar>
            <w:vAlign w:val="bottom"/>
          </w:tcPr>
          <w:p w14:paraId="2A739B6A" w14:textId="77777777" w:rsidR="00FA5565" w:rsidRDefault="00D804D1">
            <w:pPr>
              <w:ind w:hanging="240"/>
              <w:textAlignment w:val="bottom"/>
              <w:rPr>
                <w:rFonts w:ascii="Times New Roman" w:hAnsi="Times New Roman"/>
                <w:sz w:val="18"/>
                <w:szCs w:val="18"/>
              </w:rPr>
            </w:pPr>
            <w:hyperlink r:id="rId15" w:anchor="s09BC0FC06350577DAA71D344EA07A929" w:history="1">
              <w:r>
                <w:rPr>
                  <w:rStyle w:val="a5"/>
                  <w:rFonts w:ascii="Helvetica" w:eastAsia="Helvetica" w:hAnsi="Helvetica" w:cs="Helvetica"/>
                  <w:sz w:val="18"/>
                  <w:szCs w:val="18"/>
                </w:rPr>
                <w:t>Unresolved Staff Comments</w:t>
              </w:r>
            </w:hyperlink>
          </w:p>
        </w:tc>
        <w:tc>
          <w:tcPr>
            <w:tcW w:w="0" w:type="auto"/>
            <w:shd w:val="clear" w:color="auto" w:fill="EFEFEF"/>
            <w:tcMar>
              <w:top w:w="40" w:type="dxa"/>
              <w:left w:w="40" w:type="dxa"/>
              <w:bottom w:w="40" w:type="dxa"/>
              <w:right w:w="40" w:type="dxa"/>
            </w:tcMar>
            <w:vAlign w:val="bottom"/>
          </w:tcPr>
          <w:p w14:paraId="2A739B6B" w14:textId="77777777" w:rsidR="00FA5565" w:rsidRDefault="00D804D1">
            <w:pPr>
              <w:jc w:val="center"/>
              <w:textAlignment w:val="bottom"/>
              <w:rPr>
                <w:rFonts w:ascii="Times New Roman" w:hAnsi="Times New Roman"/>
                <w:sz w:val="18"/>
                <w:szCs w:val="18"/>
              </w:rPr>
            </w:pPr>
            <w:hyperlink r:id="rId16" w:anchor="s09BC0FC06350577DAA71D344EA07A929" w:history="1">
              <w:r>
                <w:rPr>
                  <w:rStyle w:val="a5"/>
                  <w:rFonts w:ascii="Helvetica" w:eastAsia="Helvetica" w:hAnsi="Helvetica" w:cs="Helvetica"/>
                  <w:color w:val="000000"/>
                  <w:sz w:val="18"/>
                  <w:szCs w:val="18"/>
                  <w:u w:val="none"/>
                </w:rPr>
                <w:t>14</w:t>
              </w:r>
            </w:hyperlink>
          </w:p>
        </w:tc>
      </w:tr>
      <w:tr w:rsidR="00FA5565" w14:paraId="2A739B70" w14:textId="77777777">
        <w:tc>
          <w:tcPr>
            <w:tcW w:w="0" w:type="auto"/>
            <w:shd w:val="clear" w:color="auto" w:fill="auto"/>
            <w:tcMar>
              <w:top w:w="40" w:type="dxa"/>
              <w:left w:w="40" w:type="dxa"/>
              <w:bottom w:w="40" w:type="dxa"/>
              <w:right w:w="40" w:type="dxa"/>
            </w:tcMar>
            <w:vAlign w:val="bottom"/>
          </w:tcPr>
          <w:p w14:paraId="2A739B6D" w14:textId="77777777" w:rsidR="00FA5565" w:rsidRDefault="00D804D1">
            <w:pPr>
              <w:textAlignment w:val="bottom"/>
              <w:rPr>
                <w:rFonts w:ascii="Times New Roman" w:hAnsi="Times New Roman"/>
                <w:sz w:val="18"/>
                <w:szCs w:val="18"/>
              </w:rPr>
            </w:pPr>
            <w:hyperlink r:id="rId17" w:anchor="s91DF3ECA7CDE54B296324D6C925A3A64" w:history="1">
              <w:r>
                <w:rPr>
                  <w:rStyle w:val="a5"/>
                  <w:rFonts w:ascii="Helvetica" w:eastAsia="Helvetica" w:hAnsi="Helvetica" w:cs="Helvetica"/>
                  <w:sz w:val="18"/>
                  <w:szCs w:val="18"/>
                </w:rPr>
                <w:t>Item 2.</w:t>
              </w:r>
            </w:hyperlink>
          </w:p>
        </w:tc>
        <w:tc>
          <w:tcPr>
            <w:tcW w:w="0" w:type="auto"/>
            <w:shd w:val="clear" w:color="auto" w:fill="auto"/>
            <w:tcMar>
              <w:top w:w="40" w:type="dxa"/>
              <w:left w:w="40" w:type="dxa"/>
              <w:bottom w:w="40" w:type="dxa"/>
              <w:right w:w="40" w:type="dxa"/>
            </w:tcMar>
            <w:vAlign w:val="bottom"/>
          </w:tcPr>
          <w:p w14:paraId="2A739B6E" w14:textId="77777777" w:rsidR="00FA5565" w:rsidRDefault="00D804D1">
            <w:pPr>
              <w:ind w:hanging="240"/>
              <w:textAlignment w:val="bottom"/>
              <w:rPr>
                <w:rFonts w:ascii="Times New Roman" w:hAnsi="Times New Roman"/>
                <w:sz w:val="18"/>
                <w:szCs w:val="18"/>
              </w:rPr>
            </w:pPr>
            <w:hyperlink r:id="rId18" w:anchor="s91DF3ECA7CDE54B296324D6C925A3A64" w:history="1">
              <w:r>
                <w:rPr>
                  <w:rStyle w:val="a5"/>
                  <w:rFonts w:ascii="Helvetica" w:eastAsia="Helvetica" w:hAnsi="Helvetica" w:cs="Helvetica"/>
                  <w:sz w:val="18"/>
                  <w:szCs w:val="18"/>
                </w:rPr>
                <w:t>Properties</w:t>
              </w:r>
            </w:hyperlink>
          </w:p>
        </w:tc>
        <w:tc>
          <w:tcPr>
            <w:tcW w:w="0" w:type="auto"/>
            <w:shd w:val="clear" w:color="auto" w:fill="auto"/>
            <w:tcMar>
              <w:top w:w="40" w:type="dxa"/>
              <w:left w:w="40" w:type="dxa"/>
              <w:bottom w:w="40" w:type="dxa"/>
              <w:right w:w="40" w:type="dxa"/>
            </w:tcMar>
            <w:vAlign w:val="bottom"/>
          </w:tcPr>
          <w:p w14:paraId="2A739B6F" w14:textId="77777777" w:rsidR="00FA5565" w:rsidRDefault="00D804D1">
            <w:pPr>
              <w:jc w:val="center"/>
              <w:textAlignment w:val="bottom"/>
              <w:rPr>
                <w:rFonts w:ascii="Times New Roman" w:hAnsi="Times New Roman"/>
                <w:sz w:val="18"/>
                <w:szCs w:val="18"/>
              </w:rPr>
            </w:pPr>
            <w:hyperlink r:id="rId19" w:anchor="s91DF3ECA7CDE54B296324D6C925A3A64" w:history="1">
              <w:r>
                <w:rPr>
                  <w:rStyle w:val="a5"/>
                  <w:rFonts w:ascii="Helvetica" w:eastAsia="Helvetica" w:hAnsi="Helvetica" w:cs="Helvetica"/>
                  <w:color w:val="000000"/>
                  <w:sz w:val="18"/>
                  <w:szCs w:val="18"/>
                  <w:u w:val="none"/>
                </w:rPr>
                <w:t>14</w:t>
              </w:r>
            </w:hyperlink>
          </w:p>
        </w:tc>
      </w:tr>
      <w:tr w:rsidR="00FA5565" w14:paraId="2A739B74" w14:textId="77777777">
        <w:tc>
          <w:tcPr>
            <w:tcW w:w="0" w:type="auto"/>
            <w:shd w:val="clear" w:color="auto" w:fill="EFEFEF"/>
            <w:tcMar>
              <w:top w:w="40" w:type="dxa"/>
              <w:left w:w="40" w:type="dxa"/>
              <w:bottom w:w="40" w:type="dxa"/>
              <w:right w:w="40" w:type="dxa"/>
            </w:tcMar>
            <w:vAlign w:val="bottom"/>
          </w:tcPr>
          <w:p w14:paraId="2A739B71" w14:textId="77777777" w:rsidR="00FA5565" w:rsidRDefault="00D804D1">
            <w:pPr>
              <w:textAlignment w:val="bottom"/>
              <w:rPr>
                <w:rFonts w:ascii="Times New Roman" w:hAnsi="Times New Roman"/>
                <w:sz w:val="18"/>
                <w:szCs w:val="18"/>
              </w:rPr>
            </w:pPr>
            <w:hyperlink r:id="rId20" w:anchor="sE96BF62935E55A508C134F5B2F0CA85E" w:history="1">
              <w:r>
                <w:rPr>
                  <w:rStyle w:val="a5"/>
                  <w:rFonts w:ascii="Helvetica" w:eastAsia="Helvetica" w:hAnsi="Helvetica" w:cs="Helvetica"/>
                  <w:sz w:val="18"/>
                  <w:szCs w:val="18"/>
                </w:rPr>
                <w:t>Item 3.</w:t>
              </w:r>
            </w:hyperlink>
          </w:p>
        </w:tc>
        <w:tc>
          <w:tcPr>
            <w:tcW w:w="0" w:type="auto"/>
            <w:shd w:val="clear" w:color="auto" w:fill="EFEFEF"/>
            <w:tcMar>
              <w:top w:w="40" w:type="dxa"/>
              <w:left w:w="40" w:type="dxa"/>
              <w:bottom w:w="40" w:type="dxa"/>
              <w:right w:w="40" w:type="dxa"/>
            </w:tcMar>
            <w:vAlign w:val="bottom"/>
          </w:tcPr>
          <w:p w14:paraId="2A739B72" w14:textId="77777777" w:rsidR="00FA5565" w:rsidRDefault="00D804D1">
            <w:pPr>
              <w:ind w:hanging="240"/>
              <w:textAlignment w:val="bottom"/>
              <w:rPr>
                <w:rFonts w:ascii="Times New Roman" w:hAnsi="Times New Roman"/>
                <w:sz w:val="18"/>
                <w:szCs w:val="18"/>
              </w:rPr>
            </w:pPr>
            <w:hyperlink r:id="rId21" w:anchor="sE96BF62935E55A508C134F5B2F0CA85E" w:history="1">
              <w:r>
                <w:rPr>
                  <w:rStyle w:val="a5"/>
                  <w:rFonts w:ascii="Helvetica" w:eastAsia="Helvetica" w:hAnsi="Helvetica" w:cs="Helvetica"/>
                  <w:sz w:val="18"/>
                  <w:szCs w:val="18"/>
                </w:rPr>
                <w:t>Legal Proceedings</w:t>
              </w:r>
            </w:hyperlink>
          </w:p>
        </w:tc>
        <w:tc>
          <w:tcPr>
            <w:tcW w:w="0" w:type="auto"/>
            <w:shd w:val="clear" w:color="auto" w:fill="EFEFEF"/>
            <w:tcMar>
              <w:top w:w="40" w:type="dxa"/>
              <w:left w:w="40" w:type="dxa"/>
              <w:bottom w:w="40" w:type="dxa"/>
              <w:right w:w="40" w:type="dxa"/>
            </w:tcMar>
            <w:vAlign w:val="bottom"/>
          </w:tcPr>
          <w:p w14:paraId="2A739B73" w14:textId="77777777" w:rsidR="00FA5565" w:rsidRDefault="00D804D1">
            <w:pPr>
              <w:jc w:val="center"/>
              <w:textAlignment w:val="bottom"/>
              <w:rPr>
                <w:rFonts w:ascii="Times New Roman" w:hAnsi="Times New Roman"/>
                <w:sz w:val="18"/>
                <w:szCs w:val="18"/>
              </w:rPr>
            </w:pPr>
            <w:hyperlink r:id="rId22" w:anchor="sE96BF62935E55A508C134F5B2F0CA85E" w:history="1">
              <w:r>
                <w:rPr>
                  <w:rStyle w:val="a5"/>
                  <w:rFonts w:ascii="Helvetica" w:eastAsia="Helvetica" w:hAnsi="Helvetica" w:cs="Helvetica"/>
                  <w:color w:val="000000"/>
                  <w:sz w:val="18"/>
                  <w:szCs w:val="18"/>
                  <w:u w:val="none"/>
                </w:rPr>
                <w:t>14</w:t>
              </w:r>
            </w:hyperlink>
          </w:p>
        </w:tc>
      </w:tr>
      <w:tr w:rsidR="00FA5565" w14:paraId="2A739B78" w14:textId="77777777">
        <w:tc>
          <w:tcPr>
            <w:tcW w:w="0" w:type="auto"/>
            <w:shd w:val="clear" w:color="auto" w:fill="auto"/>
            <w:tcMar>
              <w:top w:w="40" w:type="dxa"/>
              <w:left w:w="40" w:type="dxa"/>
              <w:bottom w:w="40" w:type="dxa"/>
              <w:right w:w="40" w:type="dxa"/>
            </w:tcMar>
            <w:vAlign w:val="bottom"/>
          </w:tcPr>
          <w:p w14:paraId="2A739B75" w14:textId="77777777" w:rsidR="00FA5565" w:rsidRDefault="00D804D1">
            <w:pPr>
              <w:textAlignment w:val="bottom"/>
              <w:rPr>
                <w:rFonts w:ascii="Times New Roman" w:hAnsi="Times New Roman"/>
                <w:sz w:val="18"/>
                <w:szCs w:val="18"/>
              </w:rPr>
            </w:pPr>
            <w:hyperlink r:id="rId23" w:anchor="sD33472E8BE865C43851A1C3B62FDB2D2" w:history="1">
              <w:r>
                <w:rPr>
                  <w:rStyle w:val="a5"/>
                  <w:rFonts w:ascii="Helvetica" w:eastAsia="Helvetica" w:hAnsi="Helvetica" w:cs="Helvetica"/>
                  <w:sz w:val="18"/>
                  <w:szCs w:val="18"/>
                </w:rPr>
                <w:t>Item 4.</w:t>
              </w:r>
            </w:hyperlink>
          </w:p>
        </w:tc>
        <w:tc>
          <w:tcPr>
            <w:tcW w:w="0" w:type="auto"/>
            <w:shd w:val="clear" w:color="auto" w:fill="auto"/>
            <w:tcMar>
              <w:top w:w="40" w:type="dxa"/>
              <w:left w:w="40" w:type="dxa"/>
              <w:bottom w:w="40" w:type="dxa"/>
              <w:right w:w="40" w:type="dxa"/>
            </w:tcMar>
            <w:vAlign w:val="bottom"/>
          </w:tcPr>
          <w:p w14:paraId="2A739B76" w14:textId="77777777" w:rsidR="00FA5565" w:rsidRDefault="00D804D1">
            <w:pPr>
              <w:ind w:hanging="240"/>
              <w:textAlignment w:val="bottom"/>
              <w:rPr>
                <w:rFonts w:ascii="Times New Roman" w:hAnsi="Times New Roman"/>
                <w:sz w:val="18"/>
                <w:szCs w:val="18"/>
              </w:rPr>
            </w:pPr>
            <w:hyperlink r:id="rId24" w:anchor="sD33472E8BE865C43851A1C3B62FDB2D2" w:history="1">
              <w:r>
                <w:rPr>
                  <w:rStyle w:val="a5"/>
                  <w:rFonts w:ascii="Helvetica" w:eastAsia="Helvetica" w:hAnsi="Helvetica" w:cs="Helvetica"/>
                  <w:sz w:val="18"/>
                  <w:szCs w:val="18"/>
                </w:rPr>
                <w:t>Mine Safety Disclosures</w:t>
              </w:r>
            </w:hyperlink>
          </w:p>
        </w:tc>
        <w:tc>
          <w:tcPr>
            <w:tcW w:w="0" w:type="auto"/>
            <w:shd w:val="clear" w:color="auto" w:fill="auto"/>
            <w:tcMar>
              <w:top w:w="40" w:type="dxa"/>
              <w:left w:w="40" w:type="dxa"/>
              <w:bottom w:w="40" w:type="dxa"/>
              <w:right w:w="40" w:type="dxa"/>
            </w:tcMar>
            <w:vAlign w:val="bottom"/>
          </w:tcPr>
          <w:p w14:paraId="2A739B77" w14:textId="77777777" w:rsidR="00FA5565" w:rsidRDefault="00D804D1">
            <w:pPr>
              <w:jc w:val="center"/>
              <w:textAlignment w:val="bottom"/>
              <w:rPr>
                <w:rFonts w:ascii="Times New Roman" w:hAnsi="Times New Roman"/>
                <w:sz w:val="18"/>
                <w:szCs w:val="18"/>
              </w:rPr>
            </w:pPr>
            <w:hyperlink r:id="rId25" w:anchor="sD33472E8BE865C43851A1C3B62FDB2D2" w:history="1">
              <w:r>
                <w:rPr>
                  <w:rStyle w:val="a5"/>
                  <w:rFonts w:ascii="Helvetica" w:eastAsia="Helvetica" w:hAnsi="Helvetica" w:cs="Helvetica"/>
                  <w:color w:val="000000"/>
                  <w:sz w:val="18"/>
                  <w:szCs w:val="18"/>
                  <w:u w:val="none"/>
                </w:rPr>
                <w:t>14</w:t>
              </w:r>
            </w:hyperlink>
          </w:p>
        </w:tc>
      </w:tr>
      <w:tr w:rsidR="00FA5565" w14:paraId="2A739B7A" w14:textId="77777777">
        <w:tc>
          <w:tcPr>
            <w:tcW w:w="0" w:type="auto"/>
            <w:gridSpan w:val="3"/>
            <w:shd w:val="clear" w:color="auto" w:fill="auto"/>
            <w:tcMar>
              <w:top w:w="40" w:type="dxa"/>
              <w:left w:w="40" w:type="dxa"/>
              <w:bottom w:w="40" w:type="dxa"/>
              <w:right w:w="40" w:type="dxa"/>
            </w:tcMar>
            <w:vAlign w:val="bottom"/>
          </w:tcPr>
          <w:p w14:paraId="2A739B79" w14:textId="77777777" w:rsidR="00FA5565" w:rsidRDefault="00D804D1">
            <w:pPr>
              <w:jc w:val="center"/>
              <w:textAlignment w:val="bottom"/>
              <w:rPr>
                <w:rFonts w:ascii="Times New Roman" w:hAnsi="Times New Roman"/>
                <w:sz w:val="18"/>
                <w:szCs w:val="18"/>
              </w:rPr>
            </w:pPr>
            <w:hyperlink r:id="rId26" w:anchor="s441770BCD3195825A459C905D90A255A" w:history="1">
              <w:r>
                <w:rPr>
                  <w:rStyle w:val="a5"/>
                  <w:rFonts w:ascii="Helvetica" w:eastAsia="Helvetica" w:hAnsi="Helvetica" w:cs="Helvetica"/>
                  <w:b/>
                  <w:bCs/>
                  <w:sz w:val="18"/>
                  <w:szCs w:val="18"/>
                </w:rPr>
                <w:t>Part II</w:t>
              </w:r>
            </w:hyperlink>
          </w:p>
        </w:tc>
      </w:tr>
      <w:tr w:rsidR="00FA5565" w14:paraId="2A739B7E" w14:textId="77777777">
        <w:tc>
          <w:tcPr>
            <w:tcW w:w="0" w:type="auto"/>
            <w:shd w:val="clear" w:color="auto" w:fill="EFEFEF"/>
            <w:tcMar>
              <w:top w:w="40" w:type="dxa"/>
              <w:left w:w="40" w:type="dxa"/>
              <w:bottom w:w="40" w:type="dxa"/>
              <w:right w:w="40" w:type="dxa"/>
            </w:tcMar>
          </w:tcPr>
          <w:p w14:paraId="2A739B7B" w14:textId="77777777" w:rsidR="00FA5565" w:rsidRDefault="00D804D1">
            <w:pPr>
              <w:textAlignment w:val="top"/>
              <w:rPr>
                <w:rFonts w:ascii="Times New Roman" w:hAnsi="Times New Roman"/>
                <w:sz w:val="18"/>
                <w:szCs w:val="18"/>
              </w:rPr>
            </w:pPr>
            <w:hyperlink r:id="rId27" w:anchor="sF8C8F387D3165D459768F3D870FAEA13" w:history="1">
              <w:r>
                <w:rPr>
                  <w:rStyle w:val="a5"/>
                  <w:rFonts w:ascii="Helvetica" w:eastAsia="Helvetica" w:hAnsi="Helvetica" w:cs="Helvetica"/>
                  <w:sz w:val="18"/>
                  <w:szCs w:val="18"/>
                </w:rPr>
                <w:t>Item 5.</w:t>
              </w:r>
            </w:hyperlink>
          </w:p>
        </w:tc>
        <w:tc>
          <w:tcPr>
            <w:tcW w:w="0" w:type="auto"/>
            <w:shd w:val="clear" w:color="auto" w:fill="EFEFEF"/>
            <w:tcMar>
              <w:top w:w="40" w:type="dxa"/>
              <w:left w:w="40" w:type="dxa"/>
              <w:bottom w:w="40" w:type="dxa"/>
              <w:right w:w="40" w:type="dxa"/>
            </w:tcMar>
            <w:vAlign w:val="bottom"/>
          </w:tcPr>
          <w:p w14:paraId="2A739B7C" w14:textId="77777777" w:rsidR="00FA5565" w:rsidRDefault="00D804D1">
            <w:pPr>
              <w:ind w:hanging="240"/>
              <w:textAlignment w:val="bottom"/>
              <w:rPr>
                <w:rFonts w:ascii="Times New Roman" w:hAnsi="Times New Roman"/>
                <w:sz w:val="18"/>
                <w:szCs w:val="18"/>
              </w:rPr>
            </w:pPr>
            <w:hyperlink r:id="rId28" w:anchor="sF8C8F387D3165D459768F3D870FAEA13" w:history="1">
              <w:r>
                <w:rPr>
                  <w:rStyle w:val="a5"/>
                  <w:rFonts w:ascii="Helvetica" w:eastAsia="Helvetica" w:hAnsi="Helvetica" w:cs="Helvetica"/>
                  <w:sz w:val="18"/>
                  <w:szCs w:val="18"/>
                </w:rPr>
                <w:t>Market for Registrant’s Common Equity, Related Sto</w:t>
              </w:r>
              <w:r>
                <w:rPr>
                  <w:rStyle w:val="a5"/>
                  <w:rFonts w:ascii="Helvetica" w:eastAsia="Helvetica" w:hAnsi="Helvetica" w:cs="Helvetica"/>
                  <w:sz w:val="18"/>
                  <w:szCs w:val="18"/>
                </w:rPr>
                <w:t>ckholder Matters and Issuer Purchases of Equity Securities</w:t>
              </w:r>
            </w:hyperlink>
          </w:p>
        </w:tc>
        <w:tc>
          <w:tcPr>
            <w:tcW w:w="0" w:type="auto"/>
            <w:shd w:val="clear" w:color="auto" w:fill="EFEFEF"/>
            <w:tcMar>
              <w:top w:w="40" w:type="dxa"/>
              <w:left w:w="40" w:type="dxa"/>
              <w:bottom w:w="40" w:type="dxa"/>
              <w:right w:w="40" w:type="dxa"/>
            </w:tcMar>
          </w:tcPr>
          <w:p w14:paraId="2A739B7D" w14:textId="77777777" w:rsidR="00FA5565" w:rsidRDefault="00D804D1">
            <w:pPr>
              <w:jc w:val="center"/>
              <w:textAlignment w:val="top"/>
              <w:rPr>
                <w:rFonts w:ascii="Times New Roman" w:hAnsi="Times New Roman"/>
                <w:sz w:val="18"/>
                <w:szCs w:val="18"/>
              </w:rPr>
            </w:pPr>
            <w:hyperlink r:id="rId29" w:anchor="sF8C8F387D3165D459768F3D870FAEA13" w:history="1">
              <w:r>
                <w:rPr>
                  <w:rStyle w:val="a5"/>
                  <w:rFonts w:ascii="Helvetica" w:eastAsia="Helvetica" w:hAnsi="Helvetica" w:cs="Helvetica"/>
                  <w:color w:val="000000"/>
                  <w:sz w:val="18"/>
                  <w:szCs w:val="18"/>
                  <w:u w:val="none"/>
                </w:rPr>
                <w:t>15</w:t>
              </w:r>
            </w:hyperlink>
          </w:p>
        </w:tc>
      </w:tr>
      <w:tr w:rsidR="00FA5565" w14:paraId="2A739B82" w14:textId="77777777">
        <w:tc>
          <w:tcPr>
            <w:tcW w:w="0" w:type="auto"/>
            <w:shd w:val="clear" w:color="auto" w:fill="auto"/>
            <w:tcMar>
              <w:top w:w="40" w:type="dxa"/>
              <w:left w:w="40" w:type="dxa"/>
              <w:bottom w:w="40" w:type="dxa"/>
              <w:right w:w="40" w:type="dxa"/>
            </w:tcMar>
            <w:vAlign w:val="bottom"/>
          </w:tcPr>
          <w:p w14:paraId="2A739B7F" w14:textId="77777777" w:rsidR="00FA5565" w:rsidRDefault="00D804D1">
            <w:pPr>
              <w:textAlignment w:val="bottom"/>
              <w:rPr>
                <w:rFonts w:ascii="Times New Roman" w:hAnsi="Times New Roman"/>
                <w:sz w:val="18"/>
                <w:szCs w:val="18"/>
              </w:rPr>
            </w:pPr>
            <w:hyperlink r:id="rId30" w:anchor="sEDE9BAA1C9E05AB4843082ACD6A97FE3" w:history="1">
              <w:r>
                <w:rPr>
                  <w:rStyle w:val="a5"/>
                  <w:rFonts w:ascii="Helvetica" w:eastAsia="Helvetica" w:hAnsi="Helvetica" w:cs="Helvetica"/>
                  <w:sz w:val="18"/>
                  <w:szCs w:val="18"/>
                </w:rPr>
                <w:t>Item 6.</w:t>
              </w:r>
            </w:hyperlink>
          </w:p>
        </w:tc>
        <w:tc>
          <w:tcPr>
            <w:tcW w:w="0" w:type="auto"/>
            <w:shd w:val="clear" w:color="auto" w:fill="auto"/>
            <w:tcMar>
              <w:top w:w="40" w:type="dxa"/>
              <w:left w:w="40" w:type="dxa"/>
              <w:bottom w:w="40" w:type="dxa"/>
              <w:right w:w="40" w:type="dxa"/>
            </w:tcMar>
            <w:vAlign w:val="bottom"/>
          </w:tcPr>
          <w:p w14:paraId="2A739B80" w14:textId="77777777" w:rsidR="00FA5565" w:rsidRDefault="00D804D1">
            <w:pPr>
              <w:ind w:hanging="240"/>
              <w:textAlignment w:val="bottom"/>
              <w:rPr>
                <w:rFonts w:ascii="Times New Roman" w:hAnsi="Times New Roman"/>
                <w:sz w:val="18"/>
                <w:szCs w:val="18"/>
              </w:rPr>
            </w:pPr>
            <w:hyperlink r:id="rId31" w:anchor="sEDE9BAA1C9E05AB4843082ACD6A97FE3" w:history="1">
              <w:r>
                <w:rPr>
                  <w:rStyle w:val="a5"/>
                  <w:rFonts w:ascii="Helvetica" w:eastAsia="Helvetica" w:hAnsi="Helvetica" w:cs="Helvetica"/>
                  <w:sz w:val="18"/>
                  <w:szCs w:val="18"/>
                </w:rPr>
                <w:t>Selected Financial Data</w:t>
              </w:r>
            </w:hyperlink>
          </w:p>
        </w:tc>
        <w:tc>
          <w:tcPr>
            <w:tcW w:w="0" w:type="auto"/>
            <w:shd w:val="clear" w:color="auto" w:fill="auto"/>
            <w:tcMar>
              <w:top w:w="40" w:type="dxa"/>
              <w:left w:w="40" w:type="dxa"/>
              <w:bottom w:w="40" w:type="dxa"/>
              <w:right w:w="40" w:type="dxa"/>
            </w:tcMar>
            <w:vAlign w:val="bottom"/>
          </w:tcPr>
          <w:p w14:paraId="2A739B81" w14:textId="77777777" w:rsidR="00FA5565" w:rsidRDefault="00D804D1">
            <w:pPr>
              <w:jc w:val="center"/>
              <w:textAlignment w:val="bottom"/>
              <w:rPr>
                <w:rFonts w:ascii="Times New Roman" w:hAnsi="Times New Roman"/>
                <w:sz w:val="18"/>
                <w:szCs w:val="18"/>
              </w:rPr>
            </w:pPr>
            <w:hyperlink r:id="rId32" w:anchor="sEDE9BAA1C9E05AB4843082ACD6A97FE3" w:history="1">
              <w:r>
                <w:rPr>
                  <w:rStyle w:val="a5"/>
                  <w:rFonts w:ascii="Helvetica" w:eastAsia="Helvetica" w:hAnsi="Helvetica" w:cs="Helvetica"/>
                  <w:color w:val="000000"/>
                  <w:sz w:val="18"/>
                  <w:szCs w:val="18"/>
                  <w:u w:val="none"/>
                </w:rPr>
                <w:t>17</w:t>
              </w:r>
            </w:hyperlink>
          </w:p>
        </w:tc>
      </w:tr>
      <w:tr w:rsidR="00FA5565" w14:paraId="2A739B86" w14:textId="77777777">
        <w:tc>
          <w:tcPr>
            <w:tcW w:w="0" w:type="auto"/>
            <w:shd w:val="clear" w:color="auto" w:fill="EFEFEF"/>
            <w:tcMar>
              <w:top w:w="40" w:type="dxa"/>
              <w:left w:w="40" w:type="dxa"/>
              <w:bottom w:w="40" w:type="dxa"/>
              <w:right w:w="40" w:type="dxa"/>
            </w:tcMar>
            <w:vAlign w:val="bottom"/>
          </w:tcPr>
          <w:p w14:paraId="2A739B83" w14:textId="77777777" w:rsidR="00FA5565" w:rsidRDefault="00D804D1">
            <w:pPr>
              <w:textAlignment w:val="bottom"/>
              <w:rPr>
                <w:rFonts w:ascii="Times New Roman" w:hAnsi="Times New Roman"/>
                <w:sz w:val="18"/>
                <w:szCs w:val="18"/>
              </w:rPr>
            </w:pPr>
            <w:hyperlink r:id="rId33" w:anchor="s86531024D4355D39AEEBA31406A0E758" w:history="1">
              <w:r>
                <w:rPr>
                  <w:rStyle w:val="a5"/>
                  <w:rFonts w:ascii="Helvetica" w:eastAsia="Helvetica" w:hAnsi="Helvetica" w:cs="Helvetica"/>
                  <w:sz w:val="18"/>
                  <w:szCs w:val="18"/>
                </w:rPr>
                <w:t>Item 7.</w:t>
              </w:r>
            </w:hyperlink>
          </w:p>
        </w:tc>
        <w:tc>
          <w:tcPr>
            <w:tcW w:w="0" w:type="auto"/>
            <w:shd w:val="clear" w:color="auto" w:fill="EFEFEF"/>
            <w:tcMar>
              <w:top w:w="40" w:type="dxa"/>
              <w:left w:w="40" w:type="dxa"/>
              <w:bottom w:w="40" w:type="dxa"/>
              <w:right w:w="40" w:type="dxa"/>
            </w:tcMar>
            <w:vAlign w:val="bottom"/>
          </w:tcPr>
          <w:p w14:paraId="2A739B84" w14:textId="77777777" w:rsidR="00FA5565" w:rsidRDefault="00D804D1">
            <w:pPr>
              <w:ind w:hanging="240"/>
              <w:textAlignment w:val="bottom"/>
              <w:rPr>
                <w:rFonts w:ascii="Times New Roman" w:hAnsi="Times New Roman"/>
                <w:sz w:val="18"/>
                <w:szCs w:val="18"/>
              </w:rPr>
            </w:pPr>
            <w:hyperlink r:id="rId34" w:anchor="s86531024D4355D39AEEBA31406A0E758" w:history="1">
              <w:r>
                <w:rPr>
                  <w:rStyle w:val="a5"/>
                  <w:rFonts w:ascii="Helvetica" w:eastAsia="Helvetica" w:hAnsi="Helvetica" w:cs="Helvetica"/>
                  <w:sz w:val="18"/>
                  <w:szCs w:val="18"/>
                </w:rPr>
                <w:t>Management’s Discussion and Analysis of Financial Condi</w:t>
              </w:r>
              <w:r>
                <w:rPr>
                  <w:rStyle w:val="a5"/>
                  <w:rFonts w:ascii="Helvetica" w:eastAsia="Helvetica" w:hAnsi="Helvetica" w:cs="Helvetica"/>
                  <w:sz w:val="18"/>
                  <w:szCs w:val="18"/>
                </w:rPr>
                <w:t>tion and Results of Operations</w:t>
              </w:r>
            </w:hyperlink>
          </w:p>
        </w:tc>
        <w:tc>
          <w:tcPr>
            <w:tcW w:w="0" w:type="auto"/>
            <w:shd w:val="clear" w:color="auto" w:fill="EFEFEF"/>
            <w:tcMar>
              <w:top w:w="40" w:type="dxa"/>
              <w:left w:w="40" w:type="dxa"/>
              <w:bottom w:w="40" w:type="dxa"/>
              <w:right w:w="40" w:type="dxa"/>
            </w:tcMar>
            <w:vAlign w:val="bottom"/>
          </w:tcPr>
          <w:p w14:paraId="2A739B85" w14:textId="77777777" w:rsidR="00FA5565" w:rsidRDefault="00D804D1">
            <w:pPr>
              <w:jc w:val="center"/>
              <w:textAlignment w:val="bottom"/>
              <w:rPr>
                <w:rFonts w:ascii="Times New Roman" w:hAnsi="Times New Roman"/>
                <w:sz w:val="18"/>
                <w:szCs w:val="18"/>
              </w:rPr>
            </w:pPr>
            <w:hyperlink r:id="rId35" w:anchor="s86531024D4355D39AEEBA31406A0E758" w:history="1">
              <w:r>
                <w:rPr>
                  <w:rStyle w:val="a5"/>
                  <w:rFonts w:ascii="Helvetica" w:eastAsia="Helvetica" w:hAnsi="Helvetica" w:cs="Helvetica"/>
                  <w:color w:val="000000"/>
                  <w:sz w:val="18"/>
                  <w:szCs w:val="18"/>
                  <w:u w:val="none"/>
                </w:rPr>
                <w:t>18</w:t>
              </w:r>
            </w:hyperlink>
          </w:p>
        </w:tc>
      </w:tr>
      <w:tr w:rsidR="00FA5565" w14:paraId="2A739B8A" w14:textId="77777777">
        <w:tc>
          <w:tcPr>
            <w:tcW w:w="0" w:type="auto"/>
            <w:shd w:val="clear" w:color="auto" w:fill="auto"/>
            <w:tcMar>
              <w:top w:w="40" w:type="dxa"/>
              <w:left w:w="40" w:type="dxa"/>
              <w:bottom w:w="40" w:type="dxa"/>
              <w:right w:w="40" w:type="dxa"/>
            </w:tcMar>
            <w:vAlign w:val="bottom"/>
          </w:tcPr>
          <w:p w14:paraId="2A739B87" w14:textId="77777777" w:rsidR="00FA5565" w:rsidRDefault="00D804D1">
            <w:pPr>
              <w:textAlignment w:val="bottom"/>
              <w:rPr>
                <w:rFonts w:ascii="Times New Roman" w:hAnsi="Times New Roman"/>
                <w:sz w:val="18"/>
                <w:szCs w:val="18"/>
              </w:rPr>
            </w:pPr>
            <w:hyperlink r:id="rId36" w:anchor="s37F84E3E4CEC530F9DE46181A4344271" w:history="1">
              <w:r>
                <w:rPr>
                  <w:rStyle w:val="a5"/>
                  <w:rFonts w:ascii="Helvetica" w:eastAsia="Helvetica" w:hAnsi="Helvetica" w:cs="Helvetica"/>
                  <w:sz w:val="18"/>
                  <w:szCs w:val="18"/>
                </w:rPr>
                <w:t>Item 7A.</w:t>
              </w:r>
            </w:hyperlink>
          </w:p>
        </w:tc>
        <w:tc>
          <w:tcPr>
            <w:tcW w:w="0" w:type="auto"/>
            <w:shd w:val="clear" w:color="auto" w:fill="auto"/>
            <w:tcMar>
              <w:top w:w="40" w:type="dxa"/>
              <w:left w:w="40" w:type="dxa"/>
              <w:bottom w:w="40" w:type="dxa"/>
              <w:right w:w="40" w:type="dxa"/>
            </w:tcMar>
            <w:vAlign w:val="bottom"/>
          </w:tcPr>
          <w:p w14:paraId="2A739B88" w14:textId="77777777" w:rsidR="00FA5565" w:rsidRDefault="00D804D1">
            <w:pPr>
              <w:ind w:hanging="240"/>
              <w:textAlignment w:val="bottom"/>
              <w:rPr>
                <w:rFonts w:ascii="Times New Roman" w:hAnsi="Times New Roman"/>
                <w:sz w:val="18"/>
                <w:szCs w:val="18"/>
              </w:rPr>
            </w:pPr>
            <w:hyperlink r:id="rId37" w:anchor="s37F84E3E4CEC530F9DE46181A4344271" w:history="1">
              <w:r>
                <w:rPr>
                  <w:rStyle w:val="a5"/>
                  <w:rFonts w:ascii="Helvetica" w:eastAsia="Helvetica" w:hAnsi="Helvetica" w:cs="Helvetica"/>
                  <w:sz w:val="18"/>
                  <w:szCs w:val="18"/>
                </w:rPr>
                <w:t>Quantitative and Qualitative Disclosures</w:t>
              </w:r>
              <w:r>
                <w:rPr>
                  <w:rStyle w:val="a5"/>
                  <w:rFonts w:ascii="Helvetica" w:eastAsia="Helvetica" w:hAnsi="Helvetica" w:cs="Helvetica"/>
                  <w:sz w:val="18"/>
                  <w:szCs w:val="18"/>
                </w:rPr>
                <w:t xml:space="preserve"> About Market Risk</w:t>
              </w:r>
            </w:hyperlink>
          </w:p>
        </w:tc>
        <w:tc>
          <w:tcPr>
            <w:tcW w:w="0" w:type="auto"/>
            <w:shd w:val="clear" w:color="auto" w:fill="auto"/>
            <w:tcMar>
              <w:top w:w="40" w:type="dxa"/>
              <w:left w:w="40" w:type="dxa"/>
              <w:bottom w:w="40" w:type="dxa"/>
              <w:right w:w="40" w:type="dxa"/>
            </w:tcMar>
            <w:vAlign w:val="bottom"/>
          </w:tcPr>
          <w:p w14:paraId="2A739B89" w14:textId="77777777" w:rsidR="00FA5565" w:rsidRDefault="00D804D1">
            <w:pPr>
              <w:jc w:val="center"/>
              <w:textAlignment w:val="bottom"/>
              <w:rPr>
                <w:rFonts w:ascii="Times New Roman" w:hAnsi="Times New Roman"/>
                <w:sz w:val="18"/>
                <w:szCs w:val="18"/>
              </w:rPr>
            </w:pPr>
            <w:hyperlink r:id="rId38" w:anchor="s37F84E3E4CEC530F9DE46181A4344271" w:history="1">
              <w:r>
                <w:rPr>
                  <w:rStyle w:val="a5"/>
                  <w:rFonts w:ascii="Helvetica" w:eastAsia="Helvetica" w:hAnsi="Helvetica" w:cs="Helvetica"/>
                  <w:color w:val="000000"/>
                  <w:sz w:val="18"/>
                  <w:szCs w:val="18"/>
                  <w:u w:val="none"/>
                </w:rPr>
                <w:t>26</w:t>
              </w:r>
            </w:hyperlink>
          </w:p>
        </w:tc>
      </w:tr>
      <w:tr w:rsidR="00FA5565" w14:paraId="2A739B8E" w14:textId="77777777">
        <w:tc>
          <w:tcPr>
            <w:tcW w:w="0" w:type="auto"/>
            <w:shd w:val="clear" w:color="auto" w:fill="EFEFEF"/>
            <w:tcMar>
              <w:top w:w="40" w:type="dxa"/>
              <w:left w:w="40" w:type="dxa"/>
              <w:bottom w:w="40" w:type="dxa"/>
              <w:right w:w="40" w:type="dxa"/>
            </w:tcMar>
            <w:vAlign w:val="bottom"/>
          </w:tcPr>
          <w:p w14:paraId="2A739B8B" w14:textId="77777777" w:rsidR="00FA5565" w:rsidRDefault="00D804D1">
            <w:pPr>
              <w:textAlignment w:val="bottom"/>
              <w:rPr>
                <w:rFonts w:ascii="Times New Roman" w:hAnsi="Times New Roman"/>
                <w:sz w:val="18"/>
                <w:szCs w:val="18"/>
              </w:rPr>
            </w:pPr>
            <w:hyperlink r:id="rId39" w:anchor="sDBCC0D7FC5D05F49A572F9AA0627E992" w:history="1">
              <w:r>
                <w:rPr>
                  <w:rStyle w:val="a5"/>
                  <w:rFonts w:ascii="Helvetica" w:eastAsia="Helvetica" w:hAnsi="Helvetica" w:cs="Helvetica"/>
                  <w:sz w:val="18"/>
                  <w:szCs w:val="18"/>
                </w:rPr>
                <w:t>Item 8.</w:t>
              </w:r>
            </w:hyperlink>
          </w:p>
        </w:tc>
        <w:tc>
          <w:tcPr>
            <w:tcW w:w="0" w:type="auto"/>
            <w:shd w:val="clear" w:color="auto" w:fill="EFEFEF"/>
            <w:tcMar>
              <w:top w:w="40" w:type="dxa"/>
              <w:left w:w="40" w:type="dxa"/>
              <w:bottom w:w="40" w:type="dxa"/>
              <w:right w:w="40" w:type="dxa"/>
            </w:tcMar>
            <w:vAlign w:val="bottom"/>
          </w:tcPr>
          <w:p w14:paraId="2A739B8C" w14:textId="77777777" w:rsidR="00FA5565" w:rsidRDefault="00D804D1">
            <w:pPr>
              <w:ind w:hanging="240"/>
              <w:textAlignment w:val="bottom"/>
              <w:rPr>
                <w:rFonts w:ascii="Times New Roman" w:hAnsi="Times New Roman"/>
                <w:sz w:val="18"/>
                <w:szCs w:val="18"/>
              </w:rPr>
            </w:pPr>
            <w:hyperlink r:id="rId40" w:anchor="sDBCC0D7FC5D05F49A572F9AA0627E992" w:history="1">
              <w:r>
                <w:rPr>
                  <w:rStyle w:val="a5"/>
                  <w:rFonts w:ascii="Helvetica" w:eastAsia="Helvetica" w:hAnsi="Helvetica" w:cs="Helvetica"/>
                  <w:sz w:val="18"/>
                  <w:szCs w:val="18"/>
                </w:rPr>
                <w:t xml:space="preserve">Financial </w:t>
              </w:r>
              <w:r>
                <w:rPr>
                  <w:rStyle w:val="a5"/>
                  <w:rFonts w:ascii="Helvetica" w:eastAsia="Helvetica" w:hAnsi="Helvetica" w:cs="Helvetica"/>
                  <w:sz w:val="18"/>
                  <w:szCs w:val="18"/>
                </w:rPr>
                <w:t>Statements and Supplementary Data</w:t>
              </w:r>
            </w:hyperlink>
          </w:p>
        </w:tc>
        <w:tc>
          <w:tcPr>
            <w:tcW w:w="0" w:type="auto"/>
            <w:shd w:val="clear" w:color="auto" w:fill="EFEFEF"/>
            <w:tcMar>
              <w:top w:w="40" w:type="dxa"/>
              <w:left w:w="40" w:type="dxa"/>
              <w:bottom w:w="40" w:type="dxa"/>
              <w:right w:w="40" w:type="dxa"/>
            </w:tcMar>
            <w:vAlign w:val="bottom"/>
          </w:tcPr>
          <w:p w14:paraId="2A739B8D" w14:textId="77777777" w:rsidR="00FA5565" w:rsidRDefault="00D804D1">
            <w:pPr>
              <w:jc w:val="center"/>
              <w:textAlignment w:val="bottom"/>
              <w:rPr>
                <w:rFonts w:ascii="Times New Roman" w:hAnsi="Times New Roman"/>
                <w:sz w:val="18"/>
                <w:szCs w:val="18"/>
              </w:rPr>
            </w:pPr>
            <w:hyperlink r:id="rId41" w:anchor="sDBCC0D7FC5D05F49A572F9AA0627E992" w:history="1">
              <w:r>
                <w:rPr>
                  <w:rStyle w:val="a5"/>
                  <w:rFonts w:ascii="Helvetica" w:eastAsia="Helvetica" w:hAnsi="Helvetica" w:cs="Helvetica"/>
                  <w:color w:val="000000"/>
                  <w:sz w:val="18"/>
                  <w:szCs w:val="18"/>
                  <w:u w:val="none"/>
                </w:rPr>
                <w:t>28</w:t>
              </w:r>
            </w:hyperlink>
          </w:p>
        </w:tc>
      </w:tr>
      <w:tr w:rsidR="00FA5565" w14:paraId="2A739B92" w14:textId="77777777">
        <w:tc>
          <w:tcPr>
            <w:tcW w:w="0" w:type="auto"/>
            <w:shd w:val="clear" w:color="auto" w:fill="auto"/>
            <w:tcMar>
              <w:top w:w="40" w:type="dxa"/>
              <w:left w:w="40" w:type="dxa"/>
              <w:bottom w:w="40" w:type="dxa"/>
              <w:right w:w="40" w:type="dxa"/>
            </w:tcMar>
            <w:vAlign w:val="bottom"/>
          </w:tcPr>
          <w:p w14:paraId="2A739B8F" w14:textId="77777777" w:rsidR="00FA5565" w:rsidRDefault="00D804D1">
            <w:pPr>
              <w:textAlignment w:val="bottom"/>
              <w:rPr>
                <w:rFonts w:ascii="Times New Roman" w:hAnsi="Times New Roman"/>
                <w:sz w:val="18"/>
                <w:szCs w:val="18"/>
              </w:rPr>
            </w:pPr>
            <w:hyperlink r:id="rId42" w:anchor="s6B01DE738B9E59FF8C3F8CFE9C9E0B79" w:history="1">
              <w:r>
                <w:rPr>
                  <w:rStyle w:val="a5"/>
                  <w:rFonts w:ascii="Helvetica" w:eastAsia="Helvetica" w:hAnsi="Helvetica" w:cs="Helvetica"/>
                  <w:sz w:val="18"/>
                  <w:szCs w:val="18"/>
                </w:rPr>
                <w:t>Item 9.</w:t>
              </w:r>
            </w:hyperlink>
          </w:p>
        </w:tc>
        <w:tc>
          <w:tcPr>
            <w:tcW w:w="0" w:type="auto"/>
            <w:shd w:val="clear" w:color="auto" w:fill="auto"/>
            <w:tcMar>
              <w:top w:w="40" w:type="dxa"/>
              <w:left w:w="40" w:type="dxa"/>
              <w:bottom w:w="40" w:type="dxa"/>
              <w:right w:w="40" w:type="dxa"/>
            </w:tcMar>
            <w:vAlign w:val="bottom"/>
          </w:tcPr>
          <w:p w14:paraId="2A739B90" w14:textId="77777777" w:rsidR="00FA5565" w:rsidRDefault="00D804D1">
            <w:pPr>
              <w:ind w:hanging="240"/>
              <w:textAlignment w:val="bottom"/>
              <w:rPr>
                <w:rFonts w:ascii="Times New Roman" w:hAnsi="Times New Roman"/>
                <w:sz w:val="18"/>
                <w:szCs w:val="18"/>
              </w:rPr>
            </w:pPr>
            <w:hyperlink r:id="rId43" w:anchor="s6B01DE738B9E59FF8C3F8CFE9C9E0B79" w:history="1">
              <w:r>
                <w:rPr>
                  <w:rStyle w:val="a5"/>
                  <w:rFonts w:ascii="Helvetica" w:eastAsia="Helvetica" w:hAnsi="Helvetica" w:cs="Helvetica"/>
                  <w:sz w:val="18"/>
                  <w:szCs w:val="18"/>
                </w:rPr>
                <w:t>Changes in and Disagreements with Accountants on Accounting and Financial Disclosure</w:t>
              </w:r>
            </w:hyperlink>
          </w:p>
        </w:tc>
        <w:tc>
          <w:tcPr>
            <w:tcW w:w="0" w:type="auto"/>
            <w:shd w:val="clear" w:color="auto" w:fill="auto"/>
            <w:tcMar>
              <w:top w:w="40" w:type="dxa"/>
              <w:left w:w="40" w:type="dxa"/>
              <w:bottom w:w="40" w:type="dxa"/>
              <w:right w:w="40" w:type="dxa"/>
            </w:tcMar>
            <w:vAlign w:val="bottom"/>
          </w:tcPr>
          <w:p w14:paraId="2A739B91" w14:textId="77777777" w:rsidR="00FA5565" w:rsidRDefault="00D804D1">
            <w:pPr>
              <w:jc w:val="center"/>
              <w:textAlignment w:val="bottom"/>
              <w:rPr>
                <w:rFonts w:ascii="Times New Roman" w:hAnsi="Times New Roman"/>
                <w:sz w:val="18"/>
                <w:szCs w:val="18"/>
              </w:rPr>
            </w:pPr>
            <w:hyperlink r:id="rId44" w:anchor="s6B01DE738B9E59FF8C3F8CFE9C9E0B79" w:history="1">
              <w:r>
                <w:rPr>
                  <w:rStyle w:val="a5"/>
                  <w:rFonts w:ascii="Helvetica" w:eastAsia="Helvetica" w:hAnsi="Helvetica" w:cs="Helvetica"/>
                  <w:color w:val="000000"/>
                  <w:sz w:val="18"/>
                  <w:szCs w:val="18"/>
                  <w:u w:val="none"/>
                </w:rPr>
                <w:t>59</w:t>
              </w:r>
            </w:hyperlink>
          </w:p>
        </w:tc>
      </w:tr>
      <w:tr w:rsidR="00FA5565" w14:paraId="2A739B96" w14:textId="77777777">
        <w:tc>
          <w:tcPr>
            <w:tcW w:w="0" w:type="auto"/>
            <w:shd w:val="clear" w:color="auto" w:fill="EFEFEF"/>
            <w:tcMar>
              <w:top w:w="40" w:type="dxa"/>
              <w:left w:w="40" w:type="dxa"/>
              <w:bottom w:w="40" w:type="dxa"/>
              <w:right w:w="40" w:type="dxa"/>
            </w:tcMar>
            <w:vAlign w:val="bottom"/>
          </w:tcPr>
          <w:p w14:paraId="2A739B93" w14:textId="77777777" w:rsidR="00FA5565" w:rsidRDefault="00D804D1">
            <w:pPr>
              <w:textAlignment w:val="bottom"/>
              <w:rPr>
                <w:rFonts w:ascii="Times New Roman" w:hAnsi="Times New Roman"/>
                <w:sz w:val="18"/>
                <w:szCs w:val="18"/>
              </w:rPr>
            </w:pPr>
            <w:hyperlink r:id="rId45" w:anchor="sA9A243DA245A56F5AC25705E9A3D277F" w:history="1">
              <w:r>
                <w:rPr>
                  <w:rStyle w:val="a5"/>
                  <w:rFonts w:ascii="Helvetica" w:eastAsia="Helvetica" w:hAnsi="Helvetica" w:cs="Helvetica"/>
                  <w:sz w:val="18"/>
                  <w:szCs w:val="18"/>
                </w:rPr>
                <w:t>Item 9A.</w:t>
              </w:r>
            </w:hyperlink>
          </w:p>
        </w:tc>
        <w:tc>
          <w:tcPr>
            <w:tcW w:w="0" w:type="auto"/>
            <w:shd w:val="clear" w:color="auto" w:fill="EFEFEF"/>
            <w:tcMar>
              <w:top w:w="40" w:type="dxa"/>
              <w:left w:w="40" w:type="dxa"/>
              <w:bottom w:w="40" w:type="dxa"/>
              <w:right w:w="40" w:type="dxa"/>
            </w:tcMar>
            <w:vAlign w:val="bottom"/>
          </w:tcPr>
          <w:p w14:paraId="2A739B94" w14:textId="77777777" w:rsidR="00FA5565" w:rsidRDefault="00D804D1">
            <w:pPr>
              <w:ind w:hanging="240"/>
              <w:textAlignment w:val="bottom"/>
              <w:rPr>
                <w:rFonts w:ascii="Times New Roman" w:hAnsi="Times New Roman"/>
                <w:sz w:val="18"/>
                <w:szCs w:val="18"/>
              </w:rPr>
            </w:pPr>
            <w:hyperlink r:id="rId46" w:anchor="sA9A243DA245A56F5AC25705E9A3D277F" w:history="1">
              <w:r>
                <w:rPr>
                  <w:rStyle w:val="a5"/>
                  <w:rFonts w:ascii="Helvetica" w:eastAsia="Helvetica" w:hAnsi="Helvetica" w:cs="Helvetica"/>
                  <w:sz w:val="18"/>
                  <w:szCs w:val="18"/>
                </w:rPr>
                <w:t>Controls and Procedures</w:t>
              </w:r>
            </w:hyperlink>
          </w:p>
        </w:tc>
        <w:tc>
          <w:tcPr>
            <w:tcW w:w="0" w:type="auto"/>
            <w:shd w:val="clear" w:color="auto" w:fill="EFEFEF"/>
            <w:tcMar>
              <w:top w:w="40" w:type="dxa"/>
              <w:left w:w="40" w:type="dxa"/>
              <w:bottom w:w="40" w:type="dxa"/>
              <w:right w:w="40" w:type="dxa"/>
            </w:tcMar>
            <w:vAlign w:val="bottom"/>
          </w:tcPr>
          <w:p w14:paraId="2A739B95" w14:textId="77777777" w:rsidR="00FA5565" w:rsidRDefault="00D804D1">
            <w:pPr>
              <w:jc w:val="center"/>
              <w:textAlignment w:val="bottom"/>
              <w:rPr>
                <w:rFonts w:ascii="Times New Roman" w:hAnsi="Times New Roman"/>
                <w:sz w:val="18"/>
                <w:szCs w:val="18"/>
              </w:rPr>
            </w:pPr>
            <w:hyperlink r:id="rId47" w:anchor="sA9A243DA245A56F5AC25705E9A3D277F" w:history="1">
              <w:r>
                <w:rPr>
                  <w:rStyle w:val="a5"/>
                  <w:rFonts w:ascii="Helvetica" w:eastAsia="Helvetica" w:hAnsi="Helvetica" w:cs="Helvetica"/>
                  <w:color w:val="000000"/>
                  <w:sz w:val="18"/>
                  <w:szCs w:val="18"/>
                  <w:u w:val="none"/>
                </w:rPr>
                <w:t>59</w:t>
              </w:r>
            </w:hyperlink>
          </w:p>
        </w:tc>
      </w:tr>
      <w:tr w:rsidR="00FA5565" w14:paraId="2A739B9A" w14:textId="77777777">
        <w:tc>
          <w:tcPr>
            <w:tcW w:w="0" w:type="auto"/>
            <w:shd w:val="clear" w:color="auto" w:fill="auto"/>
            <w:tcMar>
              <w:top w:w="40" w:type="dxa"/>
              <w:left w:w="40" w:type="dxa"/>
              <w:bottom w:w="40" w:type="dxa"/>
              <w:right w:w="40" w:type="dxa"/>
            </w:tcMar>
            <w:vAlign w:val="bottom"/>
          </w:tcPr>
          <w:p w14:paraId="2A739B97" w14:textId="77777777" w:rsidR="00FA5565" w:rsidRDefault="00D804D1">
            <w:pPr>
              <w:textAlignment w:val="bottom"/>
              <w:rPr>
                <w:rFonts w:ascii="Times New Roman" w:hAnsi="Times New Roman"/>
                <w:sz w:val="18"/>
                <w:szCs w:val="18"/>
              </w:rPr>
            </w:pPr>
            <w:hyperlink r:id="rId48" w:anchor="s05D204CD87755D688D28C56362110879" w:history="1">
              <w:r>
                <w:rPr>
                  <w:rStyle w:val="a5"/>
                  <w:rFonts w:ascii="Helvetica" w:eastAsia="Helvetica" w:hAnsi="Helvetica" w:cs="Helvetica"/>
                  <w:sz w:val="18"/>
                  <w:szCs w:val="18"/>
                </w:rPr>
                <w:t>Item 9B.</w:t>
              </w:r>
            </w:hyperlink>
          </w:p>
        </w:tc>
        <w:tc>
          <w:tcPr>
            <w:tcW w:w="0" w:type="auto"/>
            <w:shd w:val="clear" w:color="auto" w:fill="auto"/>
            <w:tcMar>
              <w:top w:w="40" w:type="dxa"/>
              <w:left w:w="40" w:type="dxa"/>
              <w:bottom w:w="40" w:type="dxa"/>
              <w:right w:w="40" w:type="dxa"/>
            </w:tcMar>
            <w:vAlign w:val="bottom"/>
          </w:tcPr>
          <w:p w14:paraId="2A739B98" w14:textId="77777777" w:rsidR="00FA5565" w:rsidRDefault="00D804D1">
            <w:pPr>
              <w:ind w:hanging="240"/>
              <w:textAlignment w:val="bottom"/>
              <w:rPr>
                <w:rFonts w:ascii="Times New Roman" w:hAnsi="Times New Roman"/>
                <w:sz w:val="18"/>
                <w:szCs w:val="18"/>
              </w:rPr>
            </w:pPr>
            <w:hyperlink r:id="rId49" w:anchor="s05D204CD87755D688D28C56362110879" w:history="1">
              <w:r>
                <w:rPr>
                  <w:rStyle w:val="a5"/>
                  <w:rFonts w:ascii="Helvetica" w:eastAsia="Helvetica" w:hAnsi="Helvetica" w:cs="Helvetica"/>
                  <w:sz w:val="18"/>
                  <w:szCs w:val="18"/>
                </w:rPr>
                <w:t>Other Information</w:t>
              </w:r>
            </w:hyperlink>
          </w:p>
        </w:tc>
        <w:tc>
          <w:tcPr>
            <w:tcW w:w="0" w:type="auto"/>
            <w:shd w:val="clear" w:color="auto" w:fill="auto"/>
            <w:tcMar>
              <w:top w:w="40" w:type="dxa"/>
              <w:left w:w="40" w:type="dxa"/>
              <w:bottom w:w="40" w:type="dxa"/>
              <w:right w:w="40" w:type="dxa"/>
            </w:tcMar>
            <w:vAlign w:val="bottom"/>
          </w:tcPr>
          <w:p w14:paraId="2A739B99" w14:textId="77777777" w:rsidR="00FA5565" w:rsidRDefault="00D804D1">
            <w:pPr>
              <w:jc w:val="center"/>
              <w:textAlignment w:val="bottom"/>
              <w:rPr>
                <w:rFonts w:ascii="Times New Roman" w:hAnsi="Times New Roman"/>
                <w:sz w:val="18"/>
                <w:szCs w:val="18"/>
              </w:rPr>
            </w:pPr>
            <w:hyperlink r:id="rId50" w:anchor="s05D204CD87755D688D28C56362110879" w:history="1">
              <w:r>
                <w:rPr>
                  <w:rStyle w:val="a5"/>
                  <w:rFonts w:ascii="Helvetica" w:eastAsia="Helvetica" w:hAnsi="Helvetica" w:cs="Helvetica"/>
                  <w:color w:val="000000"/>
                  <w:sz w:val="18"/>
                  <w:szCs w:val="18"/>
                  <w:u w:val="none"/>
                </w:rPr>
                <w:t>59</w:t>
              </w:r>
            </w:hyperlink>
          </w:p>
        </w:tc>
      </w:tr>
      <w:tr w:rsidR="00FA5565" w14:paraId="2A739B9C" w14:textId="77777777">
        <w:tc>
          <w:tcPr>
            <w:tcW w:w="0" w:type="auto"/>
            <w:gridSpan w:val="3"/>
            <w:shd w:val="clear" w:color="auto" w:fill="auto"/>
            <w:tcMar>
              <w:top w:w="40" w:type="dxa"/>
              <w:left w:w="40" w:type="dxa"/>
              <w:bottom w:w="40" w:type="dxa"/>
              <w:right w:w="40" w:type="dxa"/>
            </w:tcMar>
            <w:vAlign w:val="bottom"/>
          </w:tcPr>
          <w:p w14:paraId="2A739B9B" w14:textId="77777777" w:rsidR="00FA5565" w:rsidRDefault="00D804D1">
            <w:pPr>
              <w:jc w:val="center"/>
              <w:textAlignment w:val="bottom"/>
              <w:rPr>
                <w:rFonts w:ascii="Times New Roman" w:hAnsi="Times New Roman"/>
                <w:sz w:val="18"/>
                <w:szCs w:val="18"/>
              </w:rPr>
            </w:pPr>
            <w:hyperlink r:id="rId51" w:anchor="s046E02B1765C5FC98134C77D8F55508A" w:history="1">
              <w:r>
                <w:rPr>
                  <w:rStyle w:val="a5"/>
                  <w:rFonts w:ascii="Helvetica" w:eastAsia="Helvetica" w:hAnsi="Helvetica" w:cs="Helvetica"/>
                  <w:b/>
                  <w:bCs/>
                  <w:sz w:val="18"/>
                  <w:szCs w:val="18"/>
                </w:rPr>
                <w:t>Part III</w:t>
              </w:r>
            </w:hyperlink>
          </w:p>
        </w:tc>
      </w:tr>
      <w:tr w:rsidR="00FA5565" w14:paraId="2A739BA0" w14:textId="77777777">
        <w:tc>
          <w:tcPr>
            <w:tcW w:w="0" w:type="auto"/>
            <w:shd w:val="clear" w:color="auto" w:fill="EFEFEF"/>
            <w:tcMar>
              <w:top w:w="40" w:type="dxa"/>
              <w:left w:w="40" w:type="dxa"/>
              <w:bottom w:w="40" w:type="dxa"/>
              <w:right w:w="40" w:type="dxa"/>
            </w:tcMar>
            <w:vAlign w:val="bottom"/>
          </w:tcPr>
          <w:p w14:paraId="2A739B9D" w14:textId="77777777" w:rsidR="00FA5565" w:rsidRDefault="00D804D1">
            <w:pPr>
              <w:textAlignment w:val="bottom"/>
              <w:rPr>
                <w:rFonts w:ascii="Times New Roman" w:hAnsi="Times New Roman"/>
                <w:sz w:val="18"/>
                <w:szCs w:val="18"/>
              </w:rPr>
            </w:pPr>
            <w:hyperlink r:id="rId52" w:anchor="sF9CD356C29FA5DC18DCAC248942C78F9" w:history="1">
              <w:r>
                <w:rPr>
                  <w:rStyle w:val="a5"/>
                  <w:rFonts w:ascii="Helvetica" w:eastAsia="Helvetica" w:hAnsi="Helvetica" w:cs="Helvetica"/>
                  <w:sz w:val="18"/>
                  <w:szCs w:val="18"/>
                </w:rPr>
                <w:t>Item 10.</w:t>
              </w:r>
            </w:hyperlink>
          </w:p>
        </w:tc>
        <w:tc>
          <w:tcPr>
            <w:tcW w:w="0" w:type="auto"/>
            <w:shd w:val="clear" w:color="auto" w:fill="EFEFEF"/>
            <w:tcMar>
              <w:top w:w="40" w:type="dxa"/>
              <w:left w:w="40" w:type="dxa"/>
              <w:bottom w:w="40" w:type="dxa"/>
              <w:right w:w="40" w:type="dxa"/>
            </w:tcMar>
            <w:vAlign w:val="bottom"/>
          </w:tcPr>
          <w:p w14:paraId="2A739B9E" w14:textId="77777777" w:rsidR="00FA5565" w:rsidRDefault="00D804D1">
            <w:pPr>
              <w:ind w:hanging="240"/>
              <w:textAlignment w:val="bottom"/>
              <w:rPr>
                <w:rFonts w:ascii="Times New Roman" w:hAnsi="Times New Roman"/>
                <w:sz w:val="18"/>
                <w:szCs w:val="18"/>
              </w:rPr>
            </w:pPr>
            <w:hyperlink r:id="rId53" w:anchor="sF9CD356C29FA5DC18DCAC248942C78F9" w:history="1">
              <w:r>
                <w:rPr>
                  <w:rStyle w:val="a5"/>
                  <w:rFonts w:ascii="Helvetica" w:eastAsia="Helvetica" w:hAnsi="Helvetica" w:cs="Helvetica"/>
                  <w:sz w:val="18"/>
                  <w:szCs w:val="18"/>
                </w:rPr>
                <w:t>Directors, Executive Officers and Corporate Governance</w:t>
              </w:r>
            </w:hyperlink>
          </w:p>
        </w:tc>
        <w:tc>
          <w:tcPr>
            <w:tcW w:w="0" w:type="auto"/>
            <w:shd w:val="clear" w:color="auto" w:fill="EFEFEF"/>
            <w:tcMar>
              <w:top w:w="40" w:type="dxa"/>
              <w:left w:w="40" w:type="dxa"/>
              <w:bottom w:w="40" w:type="dxa"/>
              <w:right w:w="40" w:type="dxa"/>
            </w:tcMar>
            <w:vAlign w:val="bottom"/>
          </w:tcPr>
          <w:p w14:paraId="2A739B9F" w14:textId="77777777" w:rsidR="00FA5565" w:rsidRDefault="00D804D1">
            <w:pPr>
              <w:jc w:val="center"/>
              <w:textAlignment w:val="bottom"/>
              <w:rPr>
                <w:rFonts w:ascii="Times New Roman" w:hAnsi="Times New Roman"/>
                <w:sz w:val="18"/>
                <w:szCs w:val="18"/>
              </w:rPr>
            </w:pPr>
            <w:hyperlink r:id="rId54" w:anchor="sF9CD356C29FA5DC18DCAC248942C78F9" w:history="1">
              <w:r>
                <w:rPr>
                  <w:rStyle w:val="a5"/>
                  <w:rFonts w:ascii="Helvetica" w:eastAsia="Helvetica" w:hAnsi="Helvetica" w:cs="Helvetica"/>
                  <w:color w:val="000000"/>
                  <w:sz w:val="18"/>
                  <w:szCs w:val="18"/>
                  <w:u w:val="none"/>
                </w:rPr>
                <w:t>60</w:t>
              </w:r>
            </w:hyperlink>
          </w:p>
        </w:tc>
      </w:tr>
      <w:tr w:rsidR="00FA5565" w14:paraId="2A739BA4" w14:textId="77777777">
        <w:tc>
          <w:tcPr>
            <w:tcW w:w="0" w:type="auto"/>
            <w:shd w:val="clear" w:color="auto" w:fill="auto"/>
            <w:tcMar>
              <w:top w:w="40" w:type="dxa"/>
              <w:left w:w="40" w:type="dxa"/>
              <w:bottom w:w="40" w:type="dxa"/>
              <w:right w:w="40" w:type="dxa"/>
            </w:tcMar>
            <w:vAlign w:val="bottom"/>
          </w:tcPr>
          <w:p w14:paraId="2A739BA1" w14:textId="77777777" w:rsidR="00FA5565" w:rsidRDefault="00D804D1">
            <w:pPr>
              <w:textAlignment w:val="bottom"/>
              <w:rPr>
                <w:rFonts w:ascii="Times New Roman" w:hAnsi="Times New Roman"/>
                <w:sz w:val="18"/>
                <w:szCs w:val="18"/>
              </w:rPr>
            </w:pPr>
            <w:hyperlink r:id="rId55" w:anchor="sD1B069C378005F3AB1606C1AADA06047" w:history="1">
              <w:r>
                <w:rPr>
                  <w:rStyle w:val="a5"/>
                  <w:rFonts w:ascii="Helvetica" w:eastAsia="Helvetica" w:hAnsi="Helvetica" w:cs="Helvetica"/>
                  <w:sz w:val="18"/>
                  <w:szCs w:val="18"/>
                </w:rPr>
                <w:t>Item 11.</w:t>
              </w:r>
            </w:hyperlink>
          </w:p>
        </w:tc>
        <w:tc>
          <w:tcPr>
            <w:tcW w:w="0" w:type="auto"/>
            <w:shd w:val="clear" w:color="auto" w:fill="auto"/>
            <w:tcMar>
              <w:top w:w="40" w:type="dxa"/>
              <w:left w:w="40" w:type="dxa"/>
              <w:bottom w:w="40" w:type="dxa"/>
              <w:right w:w="40" w:type="dxa"/>
            </w:tcMar>
            <w:vAlign w:val="bottom"/>
          </w:tcPr>
          <w:p w14:paraId="2A739BA2" w14:textId="77777777" w:rsidR="00FA5565" w:rsidRDefault="00D804D1">
            <w:pPr>
              <w:ind w:hanging="240"/>
              <w:textAlignment w:val="bottom"/>
              <w:rPr>
                <w:rFonts w:ascii="Times New Roman" w:hAnsi="Times New Roman"/>
                <w:sz w:val="18"/>
                <w:szCs w:val="18"/>
              </w:rPr>
            </w:pPr>
            <w:hyperlink r:id="rId56" w:anchor="sD1B069C378005F3AB1606C1AADA06047" w:history="1">
              <w:r>
                <w:rPr>
                  <w:rStyle w:val="a5"/>
                  <w:rFonts w:ascii="Helvetica" w:eastAsia="Helvetica" w:hAnsi="Helvetica" w:cs="Helvetica"/>
                  <w:sz w:val="18"/>
                  <w:szCs w:val="18"/>
                </w:rPr>
                <w:t>Executive Compensation</w:t>
              </w:r>
            </w:hyperlink>
          </w:p>
        </w:tc>
        <w:tc>
          <w:tcPr>
            <w:tcW w:w="0" w:type="auto"/>
            <w:shd w:val="clear" w:color="auto" w:fill="auto"/>
            <w:tcMar>
              <w:top w:w="40" w:type="dxa"/>
              <w:left w:w="40" w:type="dxa"/>
              <w:bottom w:w="40" w:type="dxa"/>
              <w:right w:w="40" w:type="dxa"/>
            </w:tcMar>
            <w:vAlign w:val="bottom"/>
          </w:tcPr>
          <w:p w14:paraId="2A739BA3" w14:textId="77777777" w:rsidR="00FA5565" w:rsidRDefault="00D804D1">
            <w:pPr>
              <w:jc w:val="center"/>
              <w:textAlignment w:val="bottom"/>
              <w:rPr>
                <w:rFonts w:ascii="Times New Roman" w:hAnsi="Times New Roman"/>
                <w:sz w:val="18"/>
                <w:szCs w:val="18"/>
              </w:rPr>
            </w:pPr>
            <w:hyperlink r:id="rId57" w:anchor="sD1B069C378005F3AB1606C1AADA06047" w:history="1">
              <w:r>
                <w:rPr>
                  <w:rStyle w:val="a5"/>
                  <w:rFonts w:ascii="Helvetica" w:eastAsia="Helvetica" w:hAnsi="Helvetica" w:cs="Helvetica"/>
                  <w:color w:val="000000"/>
                  <w:sz w:val="18"/>
                  <w:szCs w:val="18"/>
                  <w:u w:val="none"/>
                </w:rPr>
                <w:t>60</w:t>
              </w:r>
            </w:hyperlink>
          </w:p>
        </w:tc>
      </w:tr>
      <w:tr w:rsidR="00FA5565" w14:paraId="2A739BA8" w14:textId="77777777">
        <w:tc>
          <w:tcPr>
            <w:tcW w:w="0" w:type="auto"/>
            <w:shd w:val="clear" w:color="auto" w:fill="EFEFEF"/>
            <w:tcMar>
              <w:top w:w="40" w:type="dxa"/>
              <w:left w:w="40" w:type="dxa"/>
              <w:bottom w:w="40" w:type="dxa"/>
              <w:right w:w="40" w:type="dxa"/>
            </w:tcMar>
            <w:vAlign w:val="bottom"/>
          </w:tcPr>
          <w:p w14:paraId="2A739BA5" w14:textId="77777777" w:rsidR="00FA5565" w:rsidRDefault="00D804D1">
            <w:pPr>
              <w:textAlignment w:val="bottom"/>
              <w:rPr>
                <w:rFonts w:ascii="Times New Roman" w:hAnsi="Times New Roman"/>
                <w:sz w:val="18"/>
                <w:szCs w:val="18"/>
              </w:rPr>
            </w:pPr>
            <w:hyperlink r:id="rId58" w:anchor="s196AADBFDD535C31B8B9CD690EED64EC" w:history="1">
              <w:r>
                <w:rPr>
                  <w:rStyle w:val="a5"/>
                  <w:rFonts w:ascii="Helvetica" w:eastAsia="Helvetica" w:hAnsi="Helvetica" w:cs="Helvetica"/>
                  <w:sz w:val="18"/>
                  <w:szCs w:val="18"/>
                </w:rPr>
                <w:t>Item 12</w:t>
              </w:r>
            </w:hyperlink>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9BA6" w14:textId="77777777" w:rsidR="00FA5565" w:rsidRDefault="00D804D1">
            <w:pPr>
              <w:ind w:hanging="240"/>
              <w:textAlignment w:val="bottom"/>
              <w:rPr>
                <w:rFonts w:ascii="Times New Roman" w:hAnsi="Times New Roman"/>
                <w:sz w:val="18"/>
                <w:szCs w:val="18"/>
              </w:rPr>
            </w:pPr>
            <w:hyperlink r:id="rId59" w:anchor="s196AADBFDD535C31B8B9CD690EED64EC" w:history="1">
              <w:r>
                <w:rPr>
                  <w:rStyle w:val="a5"/>
                  <w:rFonts w:ascii="Helvetica" w:eastAsia="Helvetica" w:hAnsi="Helvetica" w:cs="Helvetica"/>
                  <w:sz w:val="18"/>
                  <w:szCs w:val="18"/>
                </w:rPr>
                <w:t>Security Ownership of Certain Beneficial Owners and Management and Related Stockholder Matters</w:t>
              </w:r>
            </w:hyperlink>
          </w:p>
        </w:tc>
        <w:tc>
          <w:tcPr>
            <w:tcW w:w="0" w:type="auto"/>
            <w:shd w:val="clear" w:color="auto" w:fill="EFEFEF"/>
            <w:tcMar>
              <w:top w:w="40" w:type="dxa"/>
              <w:left w:w="40" w:type="dxa"/>
              <w:bottom w:w="40" w:type="dxa"/>
              <w:right w:w="40" w:type="dxa"/>
            </w:tcMar>
            <w:vAlign w:val="bottom"/>
          </w:tcPr>
          <w:p w14:paraId="2A739BA7" w14:textId="77777777" w:rsidR="00FA5565" w:rsidRDefault="00D804D1">
            <w:pPr>
              <w:jc w:val="center"/>
              <w:textAlignment w:val="bottom"/>
              <w:rPr>
                <w:rFonts w:ascii="Times New Roman" w:hAnsi="Times New Roman"/>
                <w:sz w:val="18"/>
                <w:szCs w:val="18"/>
              </w:rPr>
            </w:pPr>
            <w:hyperlink r:id="rId60" w:anchor="s196AADBFDD535C31B8B9CD690EED64EC" w:history="1">
              <w:r>
                <w:rPr>
                  <w:rStyle w:val="a5"/>
                  <w:rFonts w:ascii="Helvetica" w:eastAsia="Helvetica" w:hAnsi="Helvetica" w:cs="Helvetica"/>
                  <w:color w:val="000000"/>
                  <w:sz w:val="18"/>
                  <w:szCs w:val="18"/>
                  <w:u w:val="none"/>
                </w:rPr>
                <w:t>60</w:t>
              </w:r>
            </w:hyperlink>
          </w:p>
        </w:tc>
      </w:tr>
      <w:tr w:rsidR="00FA5565" w14:paraId="2A739BAC" w14:textId="77777777">
        <w:tc>
          <w:tcPr>
            <w:tcW w:w="0" w:type="auto"/>
            <w:shd w:val="clear" w:color="auto" w:fill="auto"/>
            <w:tcMar>
              <w:top w:w="40" w:type="dxa"/>
              <w:left w:w="40" w:type="dxa"/>
              <w:bottom w:w="40" w:type="dxa"/>
              <w:right w:w="40" w:type="dxa"/>
            </w:tcMar>
            <w:vAlign w:val="bottom"/>
          </w:tcPr>
          <w:p w14:paraId="2A739BA9" w14:textId="77777777" w:rsidR="00FA5565" w:rsidRDefault="00D804D1">
            <w:pPr>
              <w:textAlignment w:val="bottom"/>
              <w:rPr>
                <w:rFonts w:ascii="Times New Roman" w:hAnsi="Times New Roman"/>
                <w:sz w:val="18"/>
                <w:szCs w:val="18"/>
              </w:rPr>
            </w:pPr>
            <w:hyperlink r:id="rId61" w:anchor="sC8A90ABF36F05F8CBA046AD164ED5378" w:history="1">
              <w:r>
                <w:rPr>
                  <w:rStyle w:val="a5"/>
                  <w:rFonts w:ascii="Helvetica" w:eastAsia="Helvetica" w:hAnsi="Helvetica" w:cs="Helvetica"/>
                  <w:sz w:val="18"/>
                  <w:szCs w:val="18"/>
                </w:rPr>
                <w:t>Item 13</w:t>
              </w:r>
            </w:hyperlink>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9BAA" w14:textId="77777777" w:rsidR="00FA5565" w:rsidRDefault="00D804D1">
            <w:pPr>
              <w:ind w:hanging="240"/>
              <w:textAlignment w:val="bottom"/>
              <w:rPr>
                <w:rFonts w:ascii="Times New Roman" w:hAnsi="Times New Roman"/>
                <w:sz w:val="18"/>
                <w:szCs w:val="18"/>
              </w:rPr>
            </w:pPr>
            <w:hyperlink r:id="rId62" w:anchor="sC8A90ABF36F05F8CBA046AD164ED5378" w:history="1">
              <w:r>
                <w:rPr>
                  <w:rStyle w:val="a5"/>
                  <w:rFonts w:ascii="Helvetica" w:eastAsia="Helvetica" w:hAnsi="Helvetica" w:cs="Helvetica"/>
                  <w:sz w:val="18"/>
                  <w:szCs w:val="18"/>
                </w:rPr>
                <w:t>Certain Relationships and Related Transactions, and Director Independence</w:t>
              </w:r>
            </w:hyperlink>
          </w:p>
        </w:tc>
        <w:tc>
          <w:tcPr>
            <w:tcW w:w="0" w:type="auto"/>
            <w:shd w:val="clear" w:color="auto" w:fill="auto"/>
            <w:tcMar>
              <w:top w:w="40" w:type="dxa"/>
              <w:left w:w="40" w:type="dxa"/>
              <w:bottom w:w="40" w:type="dxa"/>
              <w:right w:w="40" w:type="dxa"/>
            </w:tcMar>
            <w:vAlign w:val="bottom"/>
          </w:tcPr>
          <w:p w14:paraId="2A739BAB" w14:textId="77777777" w:rsidR="00FA5565" w:rsidRDefault="00D804D1">
            <w:pPr>
              <w:jc w:val="center"/>
              <w:textAlignment w:val="bottom"/>
              <w:rPr>
                <w:rFonts w:ascii="Times New Roman" w:hAnsi="Times New Roman"/>
                <w:sz w:val="18"/>
                <w:szCs w:val="18"/>
              </w:rPr>
            </w:pPr>
            <w:hyperlink r:id="rId63" w:anchor="sC8A90ABF36F05F8CBA046AD164ED5378" w:history="1">
              <w:r>
                <w:rPr>
                  <w:rStyle w:val="a5"/>
                  <w:rFonts w:ascii="Helvetica" w:eastAsia="Helvetica" w:hAnsi="Helvetica" w:cs="Helvetica"/>
                  <w:color w:val="000000"/>
                  <w:sz w:val="18"/>
                  <w:szCs w:val="18"/>
                  <w:u w:val="none"/>
                </w:rPr>
                <w:t>60</w:t>
              </w:r>
            </w:hyperlink>
          </w:p>
        </w:tc>
      </w:tr>
      <w:tr w:rsidR="00FA5565" w14:paraId="2A739BB0" w14:textId="77777777">
        <w:tc>
          <w:tcPr>
            <w:tcW w:w="0" w:type="auto"/>
            <w:shd w:val="clear" w:color="auto" w:fill="EFEFEF"/>
            <w:tcMar>
              <w:top w:w="40" w:type="dxa"/>
              <w:left w:w="40" w:type="dxa"/>
              <w:bottom w:w="40" w:type="dxa"/>
              <w:right w:w="40" w:type="dxa"/>
            </w:tcMar>
            <w:vAlign w:val="bottom"/>
          </w:tcPr>
          <w:p w14:paraId="2A739BAD" w14:textId="77777777" w:rsidR="00FA5565" w:rsidRDefault="00D804D1">
            <w:pPr>
              <w:textAlignment w:val="bottom"/>
              <w:rPr>
                <w:rFonts w:ascii="Times New Roman" w:hAnsi="Times New Roman"/>
                <w:sz w:val="18"/>
                <w:szCs w:val="18"/>
              </w:rPr>
            </w:pPr>
            <w:hyperlink r:id="rId64" w:anchor="sFEE386E5673257028D26E7FE59FD1E21" w:history="1">
              <w:r>
                <w:rPr>
                  <w:rStyle w:val="a5"/>
                  <w:rFonts w:ascii="Helvetica" w:eastAsia="Helvetica" w:hAnsi="Helvetica" w:cs="Helvetica"/>
                  <w:sz w:val="18"/>
                  <w:szCs w:val="18"/>
                </w:rPr>
                <w:t>Item 14.</w:t>
              </w:r>
            </w:hyperlink>
          </w:p>
        </w:tc>
        <w:tc>
          <w:tcPr>
            <w:tcW w:w="0" w:type="auto"/>
            <w:shd w:val="clear" w:color="auto" w:fill="EFEFEF"/>
            <w:tcMar>
              <w:top w:w="40" w:type="dxa"/>
              <w:left w:w="40" w:type="dxa"/>
              <w:bottom w:w="40" w:type="dxa"/>
              <w:right w:w="40" w:type="dxa"/>
            </w:tcMar>
            <w:vAlign w:val="bottom"/>
          </w:tcPr>
          <w:p w14:paraId="2A739BAE" w14:textId="77777777" w:rsidR="00FA5565" w:rsidRDefault="00D804D1">
            <w:pPr>
              <w:ind w:hanging="240"/>
              <w:textAlignment w:val="bottom"/>
              <w:rPr>
                <w:rFonts w:ascii="Times New Roman" w:hAnsi="Times New Roman"/>
                <w:sz w:val="18"/>
                <w:szCs w:val="18"/>
              </w:rPr>
            </w:pPr>
            <w:hyperlink r:id="rId65" w:anchor="sFEE386E5673257028D26E7FE59FD1E21" w:history="1">
              <w:r>
                <w:rPr>
                  <w:rStyle w:val="a5"/>
                  <w:rFonts w:ascii="Helvetica" w:eastAsia="Helvetica" w:hAnsi="Helvetica" w:cs="Helvetica"/>
                  <w:sz w:val="18"/>
                  <w:szCs w:val="18"/>
                </w:rPr>
                <w:t>Principal Accounting Fees and Services</w:t>
              </w:r>
            </w:hyperlink>
          </w:p>
        </w:tc>
        <w:tc>
          <w:tcPr>
            <w:tcW w:w="0" w:type="auto"/>
            <w:shd w:val="clear" w:color="auto" w:fill="EFEFEF"/>
            <w:tcMar>
              <w:top w:w="40" w:type="dxa"/>
              <w:left w:w="40" w:type="dxa"/>
              <w:bottom w:w="40" w:type="dxa"/>
              <w:right w:w="40" w:type="dxa"/>
            </w:tcMar>
            <w:vAlign w:val="bottom"/>
          </w:tcPr>
          <w:p w14:paraId="2A739BAF" w14:textId="77777777" w:rsidR="00FA5565" w:rsidRDefault="00D804D1">
            <w:pPr>
              <w:jc w:val="center"/>
              <w:textAlignment w:val="bottom"/>
              <w:rPr>
                <w:rFonts w:ascii="Times New Roman" w:hAnsi="Times New Roman"/>
                <w:sz w:val="18"/>
                <w:szCs w:val="18"/>
              </w:rPr>
            </w:pPr>
            <w:hyperlink r:id="rId66" w:anchor="sFEE386E5673257028D26E7FE59FD1E21" w:history="1">
              <w:r>
                <w:rPr>
                  <w:rStyle w:val="a5"/>
                  <w:rFonts w:ascii="Helvetica" w:eastAsia="Helvetica" w:hAnsi="Helvetica" w:cs="Helvetica"/>
                  <w:color w:val="000000"/>
                  <w:sz w:val="18"/>
                  <w:szCs w:val="18"/>
                  <w:u w:val="none"/>
                </w:rPr>
                <w:t>60</w:t>
              </w:r>
            </w:hyperlink>
          </w:p>
        </w:tc>
      </w:tr>
      <w:tr w:rsidR="00FA5565" w14:paraId="2A739BB2" w14:textId="77777777">
        <w:tc>
          <w:tcPr>
            <w:tcW w:w="0" w:type="auto"/>
            <w:gridSpan w:val="3"/>
            <w:shd w:val="clear" w:color="auto" w:fill="auto"/>
            <w:tcMar>
              <w:top w:w="40" w:type="dxa"/>
              <w:left w:w="40" w:type="dxa"/>
              <w:bottom w:w="40" w:type="dxa"/>
              <w:right w:w="40" w:type="dxa"/>
            </w:tcMar>
            <w:vAlign w:val="bottom"/>
          </w:tcPr>
          <w:p w14:paraId="2A739BB1" w14:textId="77777777" w:rsidR="00FA5565" w:rsidRDefault="00D804D1">
            <w:pPr>
              <w:jc w:val="center"/>
              <w:textAlignment w:val="bottom"/>
              <w:rPr>
                <w:rFonts w:ascii="Times New Roman" w:hAnsi="Times New Roman"/>
                <w:sz w:val="18"/>
                <w:szCs w:val="18"/>
              </w:rPr>
            </w:pPr>
            <w:hyperlink r:id="rId67" w:anchor="s49498D0CD5C959CA84C417CEA46A6953" w:history="1">
              <w:r>
                <w:rPr>
                  <w:rStyle w:val="a5"/>
                  <w:rFonts w:ascii="Helvetica" w:eastAsia="Helvetica" w:hAnsi="Helvetica" w:cs="Helvetica"/>
                  <w:b/>
                  <w:bCs/>
                  <w:sz w:val="18"/>
                  <w:szCs w:val="18"/>
                </w:rPr>
                <w:t>Part IV</w:t>
              </w:r>
            </w:hyperlink>
          </w:p>
        </w:tc>
      </w:tr>
      <w:tr w:rsidR="00FA5565" w14:paraId="2A739BB6" w14:textId="77777777">
        <w:tc>
          <w:tcPr>
            <w:tcW w:w="0" w:type="auto"/>
            <w:shd w:val="clear" w:color="auto" w:fill="EFEFEF"/>
            <w:tcMar>
              <w:top w:w="40" w:type="dxa"/>
              <w:left w:w="40" w:type="dxa"/>
              <w:bottom w:w="40" w:type="dxa"/>
              <w:right w:w="40" w:type="dxa"/>
            </w:tcMar>
            <w:vAlign w:val="bottom"/>
          </w:tcPr>
          <w:p w14:paraId="2A739BB3" w14:textId="77777777" w:rsidR="00FA5565" w:rsidRDefault="00D804D1">
            <w:pPr>
              <w:textAlignment w:val="bottom"/>
              <w:rPr>
                <w:rFonts w:ascii="Times New Roman" w:hAnsi="Times New Roman"/>
                <w:sz w:val="18"/>
                <w:szCs w:val="18"/>
              </w:rPr>
            </w:pPr>
            <w:hyperlink r:id="rId68" w:anchor="sC8BE3318CBF05904A4195064A5A404FE" w:history="1">
              <w:r>
                <w:rPr>
                  <w:rStyle w:val="a5"/>
                  <w:rFonts w:ascii="Helvetica" w:eastAsia="Helvetica" w:hAnsi="Helvetica" w:cs="Helvetica"/>
                  <w:sz w:val="18"/>
                  <w:szCs w:val="18"/>
                </w:rPr>
                <w:t>Item 15.</w:t>
              </w:r>
            </w:hyperlink>
          </w:p>
        </w:tc>
        <w:tc>
          <w:tcPr>
            <w:tcW w:w="0" w:type="auto"/>
            <w:shd w:val="clear" w:color="auto" w:fill="EFEFEF"/>
            <w:tcMar>
              <w:top w:w="40" w:type="dxa"/>
              <w:left w:w="40" w:type="dxa"/>
              <w:bottom w:w="40" w:type="dxa"/>
              <w:right w:w="40" w:type="dxa"/>
            </w:tcMar>
            <w:vAlign w:val="bottom"/>
          </w:tcPr>
          <w:p w14:paraId="2A739BB4" w14:textId="77777777" w:rsidR="00FA5565" w:rsidRDefault="00D804D1">
            <w:pPr>
              <w:ind w:hanging="240"/>
              <w:textAlignment w:val="bottom"/>
              <w:rPr>
                <w:rFonts w:ascii="Times New Roman" w:hAnsi="Times New Roman"/>
                <w:sz w:val="18"/>
                <w:szCs w:val="18"/>
              </w:rPr>
            </w:pPr>
            <w:hyperlink r:id="rId69" w:anchor="sC8BE3318CBF05904A4195064A5A404FE" w:history="1">
              <w:r>
                <w:rPr>
                  <w:rStyle w:val="a5"/>
                  <w:rFonts w:ascii="Helvetica" w:eastAsia="Helvetica" w:hAnsi="Helvetica" w:cs="Helvetica"/>
                  <w:sz w:val="18"/>
                  <w:szCs w:val="18"/>
                </w:rPr>
                <w:t>Exhibits, Financial Statement Schedules</w:t>
              </w:r>
            </w:hyperlink>
          </w:p>
        </w:tc>
        <w:tc>
          <w:tcPr>
            <w:tcW w:w="0" w:type="auto"/>
            <w:shd w:val="clear" w:color="auto" w:fill="EFEFEF"/>
            <w:tcMar>
              <w:top w:w="40" w:type="dxa"/>
              <w:left w:w="40" w:type="dxa"/>
              <w:bottom w:w="40" w:type="dxa"/>
              <w:right w:w="40" w:type="dxa"/>
            </w:tcMar>
            <w:vAlign w:val="bottom"/>
          </w:tcPr>
          <w:p w14:paraId="2A739BB5" w14:textId="77777777" w:rsidR="00FA5565" w:rsidRDefault="00D804D1">
            <w:pPr>
              <w:jc w:val="center"/>
              <w:textAlignment w:val="bottom"/>
              <w:rPr>
                <w:rFonts w:ascii="Times New Roman" w:hAnsi="Times New Roman"/>
                <w:sz w:val="18"/>
                <w:szCs w:val="18"/>
              </w:rPr>
            </w:pPr>
            <w:hyperlink r:id="rId70" w:anchor="sC8BE3318CBF05904A4195064A5A404FE" w:history="1">
              <w:r>
                <w:rPr>
                  <w:rStyle w:val="a5"/>
                  <w:rFonts w:ascii="Helvetica" w:eastAsia="Helvetica" w:hAnsi="Helvetica" w:cs="Helvetica"/>
                  <w:color w:val="000000"/>
                  <w:sz w:val="18"/>
                  <w:szCs w:val="18"/>
                  <w:u w:val="none"/>
                </w:rPr>
                <w:t>61</w:t>
              </w:r>
            </w:hyperlink>
          </w:p>
        </w:tc>
      </w:tr>
      <w:tr w:rsidR="00FA5565" w14:paraId="2A739BBA" w14:textId="77777777">
        <w:tc>
          <w:tcPr>
            <w:tcW w:w="0" w:type="auto"/>
            <w:shd w:val="clear" w:color="auto" w:fill="auto"/>
            <w:tcMar>
              <w:top w:w="40" w:type="dxa"/>
              <w:left w:w="40" w:type="dxa"/>
              <w:bottom w:w="40" w:type="dxa"/>
              <w:right w:w="40" w:type="dxa"/>
            </w:tcMar>
            <w:vAlign w:val="bottom"/>
          </w:tcPr>
          <w:p w14:paraId="2A739BB7" w14:textId="77777777" w:rsidR="00FA5565" w:rsidRDefault="00D804D1">
            <w:pPr>
              <w:textAlignment w:val="bottom"/>
              <w:rPr>
                <w:rFonts w:ascii="Times New Roman" w:hAnsi="Times New Roman"/>
                <w:sz w:val="18"/>
                <w:szCs w:val="18"/>
              </w:rPr>
            </w:pPr>
            <w:hyperlink r:id="rId71" w:anchor="sA54A7F7FA7AE5DD9BC0480A86DBEB3EA" w:history="1">
              <w:r>
                <w:rPr>
                  <w:rStyle w:val="a5"/>
                  <w:rFonts w:ascii="Helvetica" w:eastAsia="Helvetica" w:hAnsi="Helvetica" w:cs="Helvetica"/>
                  <w:sz w:val="18"/>
                  <w:szCs w:val="18"/>
                </w:rPr>
                <w:t>Item 16.</w:t>
              </w:r>
            </w:hyperlink>
          </w:p>
        </w:tc>
        <w:tc>
          <w:tcPr>
            <w:tcW w:w="0" w:type="auto"/>
            <w:shd w:val="clear" w:color="auto" w:fill="auto"/>
            <w:tcMar>
              <w:top w:w="40" w:type="dxa"/>
              <w:left w:w="40" w:type="dxa"/>
              <w:bottom w:w="40" w:type="dxa"/>
              <w:right w:w="40" w:type="dxa"/>
            </w:tcMar>
            <w:vAlign w:val="bottom"/>
          </w:tcPr>
          <w:p w14:paraId="2A739BB8" w14:textId="77777777" w:rsidR="00FA5565" w:rsidRDefault="00D804D1">
            <w:pPr>
              <w:ind w:hanging="240"/>
              <w:textAlignment w:val="bottom"/>
              <w:rPr>
                <w:rFonts w:ascii="Times New Roman" w:hAnsi="Times New Roman"/>
                <w:sz w:val="18"/>
                <w:szCs w:val="18"/>
              </w:rPr>
            </w:pPr>
            <w:hyperlink r:id="rId72" w:anchor="sA54A7F7FA7AE5DD9BC0480A86DBEB3EA" w:history="1">
              <w:r>
                <w:rPr>
                  <w:rStyle w:val="a5"/>
                  <w:rFonts w:ascii="Helvetica" w:eastAsia="Helvetica" w:hAnsi="Helvetica" w:cs="Helvetica"/>
                  <w:sz w:val="18"/>
                  <w:szCs w:val="18"/>
                </w:rPr>
                <w:t>Form 10-K Summary</w:t>
              </w:r>
            </w:hyperlink>
          </w:p>
        </w:tc>
        <w:tc>
          <w:tcPr>
            <w:tcW w:w="0" w:type="auto"/>
            <w:shd w:val="clear" w:color="auto" w:fill="auto"/>
            <w:tcMar>
              <w:top w:w="40" w:type="dxa"/>
              <w:left w:w="40" w:type="dxa"/>
              <w:bottom w:w="40" w:type="dxa"/>
              <w:right w:w="40" w:type="dxa"/>
            </w:tcMar>
            <w:vAlign w:val="bottom"/>
          </w:tcPr>
          <w:p w14:paraId="2A739BB9" w14:textId="77777777" w:rsidR="00FA5565" w:rsidRDefault="00D804D1">
            <w:pPr>
              <w:jc w:val="center"/>
              <w:textAlignment w:val="bottom"/>
              <w:rPr>
                <w:rFonts w:ascii="Times New Roman" w:hAnsi="Times New Roman"/>
                <w:sz w:val="18"/>
                <w:szCs w:val="18"/>
              </w:rPr>
            </w:pPr>
            <w:hyperlink r:id="rId73" w:anchor="sA54A7F7FA7AE5DD9BC0480A86DBEB3EA" w:history="1">
              <w:r>
                <w:rPr>
                  <w:rStyle w:val="a5"/>
                  <w:rFonts w:ascii="Helvetica" w:eastAsia="Helvetica" w:hAnsi="Helvetica" w:cs="Helvetica"/>
                  <w:color w:val="000000"/>
                  <w:sz w:val="18"/>
                  <w:szCs w:val="18"/>
                  <w:u w:val="none"/>
                </w:rPr>
                <w:t>63</w:t>
              </w:r>
            </w:hyperlink>
          </w:p>
        </w:tc>
      </w:tr>
    </w:tbl>
    <w:p w14:paraId="2A739BBB" w14:textId="77777777" w:rsidR="00FA5565" w:rsidRDefault="00FA5565">
      <w:pPr>
        <w:rPr>
          <w:rFonts w:ascii="Times New Roman" w:hAnsi="Times New Roman"/>
          <w:sz w:val="20"/>
          <w:szCs w:val="20"/>
        </w:rPr>
      </w:pPr>
    </w:p>
    <w:p w14:paraId="2A739BBC" w14:textId="77777777" w:rsidR="00FA5565" w:rsidRDefault="00D804D1">
      <w:r>
        <w:rPr>
          <w:rFonts w:ascii="Times New Roman" w:hAnsi="Times New Roman"/>
          <w:sz w:val="20"/>
          <w:szCs w:val="20"/>
        </w:rPr>
        <w:pict w14:anchorId="2A73C09A">
          <v:rect id="_x0000_i1026" style="width:415.3pt;height:1.5pt" o:hralign="center" o:hrstd="t" o:hr="t" fillcolor="#a0a0a0" stroked="f"/>
        </w:pict>
      </w:r>
    </w:p>
    <w:p w14:paraId="2A739BBD" w14:textId="77777777" w:rsidR="00FA5565" w:rsidRDefault="00FA5565">
      <w:pPr>
        <w:rPr>
          <w:rFonts w:ascii="Times New Roman" w:hAnsi="Times New Roman"/>
          <w:sz w:val="20"/>
          <w:szCs w:val="20"/>
        </w:rPr>
      </w:pPr>
    </w:p>
    <w:p w14:paraId="2A739BBE"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 xml:space="preserve">This </w:t>
      </w:r>
      <w:r>
        <w:rPr>
          <w:rFonts w:ascii="Helvetica" w:eastAsia="Helvetica" w:hAnsi="Helvetica" w:cs="Helvetica"/>
          <w:i/>
          <w:iCs/>
          <w:sz w:val="18"/>
          <w:szCs w:val="18"/>
        </w:rPr>
        <w:t>Annual Report on Form 10-K (“Form 10-K”) contains forward-looking statements, within the meaning of the Private Securities Litigation Reform Act of 1995, that involve risks and uncertainties. Many of the forward-looking statements are located in Part II, I</w:t>
      </w:r>
      <w:r>
        <w:rPr>
          <w:rFonts w:ascii="Helvetica" w:eastAsia="Helvetica" w:hAnsi="Helvetica" w:cs="Helvetica"/>
          <w:i/>
          <w:iCs/>
          <w:sz w:val="18"/>
          <w:szCs w:val="18"/>
        </w:rPr>
        <w:t>tem 7 of this Form 10-K under the heading “Management’s Discussion and Analysis of Financial Condition and Results of Operations.” Forward-looking statements provide current expectations of future events based on certain assumptions and include any stateme</w:t>
      </w:r>
      <w:r>
        <w:rPr>
          <w:rFonts w:ascii="Helvetica" w:eastAsia="Helvetica" w:hAnsi="Helvetica" w:cs="Helvetica"/>
          <w:i/>
          <w:iCs/>
          <w:sz w:val="18"/>
          <w:szCs w:val="18"/>
        </w:rPr>
        <w:t>nt that does not directly relate to any historical or current fact. Forward-looking statements can also be identified by words such as “future,” “anticipates,” “believes,” “estimates,” “expects,” “intends,” “plans,” “predicts,” “will,” “would,” “could,” “c</w:t>
      </w:r>
      <w:r>
        <w:rPr>
          <w:rFonts w:ascii="Helvetica" w:eastAsia="Helvetica" w:hAnsi="Helvetica" w:cs="Helvetica"/>
          <w:i/>
          <w:iCs/>
          <w:sz w:val="18"/>
          <w:szCs w:val="18"/>
        </w:rPr>
        <w:t>an,” “may,” and similar terms. Forward-looking statements are not guarantees of future performance and the Company’s actual results may differ significantly from the results discussed in the forward-looking statements. Factors that might cause such differe</w:t>
      </w:r>
      <w:r>
        <w:rPr>
          <w:rFonts w:ascii="Helvetica" w:eastAsia="Helvetica" w:hAnsi="Helvetica" w:cs="Helvetica"/>
          <w:i/>
          <w:iCs/>
          <w:sz w:val="18"/>
          <w:szCs w:val="18"/>
        </w:rPr>
        <w:t>nces include, but are not limited to, those discussed in Part I, Item 1A of this Form 10-K under the heading “Risk Factors,” which are incorporated herein by reference. Unless otherwise stated, all information presented herein is based on the Company’s fis</w:t>
      </w:r>
      <w:r>
        <w:rPr>
          <w:rFonts w:ascii="Helvetica" w:eastAsia="Helvetica" w:hAnsi="Helvetica" w:cs="Helvetica"/>
          <w:i/>
          <w:iCs/>
          <w:sz w:val="18"/>
          <w:szCs w:val="18"/>
        </w:rPr>
        <w:t xml:space="preserve">cal calendar, and references to particular years, quarters, months or periods refer to the Company’s fiscal years ended in September and the associated quarters, months and periods of those fiscal years. Each of the terms the “Company” and “Apple” as used </w:t>
      </w:r>
      <w:r>
        <w:rPr>
          <w:rFonts w:ascii="Helvetica" w:eastAsia="Helvetica" w:hAnsi="Helvetica" w:cs="Helvetica"/>
          <w:i/>
          <w:iCs/>
          <w:sz w:val="18"/>
          <w:szCs w:val="18"/>
        </w:rPr>
        <w:t>herein refers collectively to Apple Inc. and its wholly owned subsidiaries, unless otherwise stated. The Company assumes no obligation to revise or update any forward-looking statements for any reason, except as required by law.</w:t>
      </w:r>
    </w:p>
    <w:p w14:paraId="2A739BBF"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PART I</w:t>
      </w:r>
    </w:p>
    <w:tbl>
      <w:tblPr>
        <w:tblW w:w="0" w:type="auto"/>
        <w:tblCellSpacing w:w="0" w:type="dxa"/>
        <w:tblCellMar>
          <w:left w:w="0" w:type="dxa"/>
          <w:right w:w="0" w:type="dxa"/>
        </w:tblCellMar>
        <w:tblLook w:val="04A0" w:firstRow="1" w:lastRow="0" w:firstColumn="1" w:lastColumn="0" w:noHBand="0" w:noVBand="1"/>
      </w:tblPr>
      <w:tblGrid>
        <w:gridCol w:w="1200"/>
        <w:gridCol w:w="801"/>
      </w:tblGrid>
      <w:tr w:rsidR="00FA5565" w14:paraId="2A739BC2" w14:textId="77777777">
        <w:trPr>
          <w:tblCellSpacing w:w="0" w:type="dxa"/>
        </w:trPr>
        <w:tc>
          <w:tcPr>
            <w:tcW w:w="1200" w:type="dxa"/>
            <w:shd w:val="clear" w:color="auto" w:fill="auto"/>
            <w:vAlign w:val="center"/>
          </w:tcPr>
          <w:p w14:paraId="2A739BC0" w14:textId="77777777" w:rsidR="00FA5565" w:rsidRDefault="00FA5565">
            <w:pPr>
              <w:rPr>
                <w:rFonts w:ascii="Times New Roman" w:hAnsi="Times New Roman"/>
                <w:sz w:val="20"/>
                <w:szCs w:val="20"/>
              </w:rPr>
            </w:pPr>
          </w:p>
        </w:tc>
        <w:tc>
          <w:tcPr>
            <w:tcW w:w="0" w:type="auto"/>
            <w:shd w:val="clear" w:color="auto" w:fill="auto"/>
            <w:vAlign w:val="center"/>
          </w:tcPr>
          <w:p w14:paraId="2A739BC1" w14:textId="77777777" w:rsidR="00FA5565" w:rsidRDefault="00FA5565">
            <w:pPr>
              <w:rPr>
                <w:rFonts w:ascii="Times New Roman" w:hAnsi="Times New Roman"/>
                <w:sz w:val="20"/>
                <w:szCs w:val="20"/>
              </w:rPr>
            </w:pPr>
          </w:p>
        </w:tc>
      </w:tr>
      <w:tr w:rsidR="00FA5565" w14:paraId="2A739BC5" w14:textId="77777777">
        <w:trPr>
          <w:tblCellSpacing w:w="0" w:type="dxa"/>
        </w:trPr>
        <w:tc>
          <w:tcPr>
            <w:tcW w:w="0" w:type="auto"/>
            <w:shd w:val="clear" w:color="auto" w:fill="auto"/>
          </w:tcPr>
          <w:p w14:paraId="2A739BC3"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1.</w:t>
            </w:r>
          </w:p>
        </w:tc>
        <w:tc>
          <w:tcPr>
            <w:tcW w:w="0" w:type="auto"/>
            <w:shd w:val="clear" w:color="auto" w:fill="auto"/>
          </w:tcPr>
          <w:p w14:paraId="2A739BC4"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Business</w:t>
            </w:r>
          </w:p>
        </w:tc>
      </w:tr>
    </w:tbl>
    <w:p w14:paraId="2A739BC6"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Company Background</w:t>
      </w:r>
    </w:p>
    <w:p w14:paraId="2A739BC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designs, manufactures and markets smartphones, personal computers, tablets, wearables and accessories, and sells a variety of related services. The Company’s fiscal year is the 52- or 53-week period that ends on the</w:t>
      </w:r>
      <w:r>
        <w:rPr>
          <w:rFonts w:ascii="Helvetica" w:eastAsia="Helvetica" w:hAnsi="Helvetica" w:cs="Helvetica"/>
          <w:sz w:val="18"/>
          <w:szCs w:val="18"/>
        </w:rPr>
        <w:t xml:space="preserve"> last Saturday of September. The Company is a California corporation established in 1977.</w:t>
      </w:r>
    </w:p>
    <w:p w14:paraId="2A739BC8"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Products</w:t>
      </w:r>
    </w:p>
    <w:p w14:paraId="2A739BC9"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iPhone</w:t>
      </w:r>
    </w:p>
    <w:p w14:paraId="2A739BCA"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8"/>
          <w:szCs w:val="18"/>
        </w:rPr>
        <w:t>iPhone</w:t>
      </w:r>
      <w:r>
        <w:rPr>
          <w:rFonts w:ascii="Helvetica" w:eastAsia="Helvetica" w:hAnsi="Helvetica" w:cs="Helvetica"/>
          <w:sz w:val="20"/>
          <w:szCs w:val="20"/>
        </w:rPr>
        <w:t>®</w:t>
      </w:r>
      <w:r>
        <w:rPr>
          <w:rFonts w:ascii="Helvetica" w:eastAsia="Helvetica" w:hAnsi="Helvetica" w:cs="Helvetica"/>
          <w:sz w:val="18"/>
          <w:szCs w:val="18"/>
        </w:rPr>
        <w:t xml:space="preserve"> is the Company’s line of smartphones based on its iOS operating system. In September 2019, the Company introduced three new iPhones: iPhone 11</w:t>
      </w:r>
      <w:r>
        <w:rPr>
          <w:rFonts w:ascii="Helvetica" w:eastAsia="Helvetica" w:hAnsi="Helvetica" w:cs="Helvetica"/>
          <w:sz w:val="18"/>
          <w:szCs w:val="18"/>
        </w:rPr>
        <w:t>, iPhone 11 Pro and iPhone 11 Pro Max.</w:t>
      </w:r>
    </w:p>
    <w:p w14:paraId="2A739BCB"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Mac</w:t>
      </w:r>
    </w:p>
    <w:p w14:paraId="2A739BCC"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8"/>
          <w:szCs w:val="18"/>
        </w:rPr>
        <w:t>Mac</w:t>
      </w:r>
      <w:r>
        <w:rPr>
          <w:rFonts w:ascii="Helvetica" w:eastAsia="Helvetica" w:hAnsi="Helvetica" w:cs="Helvetica"/>
          <w:sz w:val="20"/>
          <w:szCs w:val="20"/>
        </w:rPr>
        <w:t>®</w:t>
      </w:r>
      <w:r>
        <w:rPr>
          <w:rFonts w:ascii="Helvetica" w:eastAsia="Helvetica" w:hAnsi="Helvetica" w:cs="Helvetica"/>
          <w:sz w:val="18"/>
          <w:szCs w:val="18"/>
        </w:rPr>
        <w:t xml:space="preserve"> is the Company’s line of personal computers based on its macOS</w:t>
      </w:r>
      <w:r>
        <w:rPr>
          <w:rFonts w:ascii="Helvetica" w:eastAsia="Helvetica" w:hAnsi="Helvetica" w:cs="Helvetica"/>
          <w:sz w:val="20"/>
          <w:szCs w:val="20"/>
        </w:rPr>
        <w:t>®</w:t>
      </w:r>
      <w:r>
        <w:rPr>
          <w:rFonts w:ascii="Helvetica" w:eastAsia="Helvetica" w:hAnsi="Helvetica" w:cs="Helvetica"/>
          <w:sz w:val="18"/>
          <w:szCs w:val="18"/>
        </w:rPr>
        <w:t xml:space="preserve"> operating system. During 2019, the Company released a new version of MacBook Air</w:t>
      </w:r>
      <w:r>
        <w:rPr>
          <w:rFonts w:ascii="Helvetica" w:eastAsia="Helvetica" w:hAnsi="Helvetica" w:cs="Helvetica"/>
          <w:sz w:val="20"/>
          <w:szCs w:val="20"/>
        </w:rPr>
        <w:t>®</w:t>
      </w:r>
      <w:r>
        <w:rPr>
          <w:rFonts w:ascii="Helvetica" w:eastAsia="Helvetica" w:hAnsi="Helvetica" w:cs="Helvetica"/>
          <w:sz w:val="18"/>
          <w:szCs w:val="18"/>
        </w:rPr>
        <w:t xml:space="preserve"> and a new Mac mini</w:t>
      </w:r>
      <w:r>
        <w:rPr>
          <w:rFonts w:ascii="Helvetica" w:eastAsia="Helvetica" w:hAnsi="Helvetica" w:cs="Helvetica"/>
          <w:sz w:val="20"/>
          <w:szCs w:val="20"/>
        </w:rPr>
        <w:t>®</w:t>
      </w:r>
      <w:r>
        <w:rPr>
          <w:rFonts w:ascii="Helvetica" w:eastAsia="Helvetica" w:hAnsi="Helvetica" w:cs="Helvetica"/>
          <w:sz w:val="18"/>
          <w:szCs w:val="18"/>
        </w:rPr>
        <w:t>, and introduced an updated Mac Pro</w:t>
      </w:r>
      <w:r>
        <w:rPr>
          <w:rFonts w:ascii="Helvetica" w:eastAsia="Helvetica" w:hAnsi="Helvetica" w:cs="Helvetica"/>
          <w:sz w:val="20"/>
          <w:szCs w:val="20"/>
        </w:rPr>
        <w:t>®</w:t>
      </w:r>
      <w:r>
        <w:rPr>
          <w:rFonts w:ascii="Helvetica" w:eastAsia="Helvetica" w:hAnsi="Helvetica" w:cs="Helvetica"/>
          <w:sz w:val="18"/>
          <w:szCs w:val="18"/>
        </w:rPr>
        <w:t>, which is expected to be available in the fall of 2019.</w:t>
      </w:r>
    </w:p>
    <w:p w14:paraId="2A739BCD"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iPad</w:t>
      </w:r>
    </w:p>
    <w:p w14:paraId="2A739BCE"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8"/>
          <w:szCs w:val="18"/>
        </w:rPr>
        <w:t>iPad</w:t>
      </w:r>
      <w:r>
        <w:rPr>
          <w:rFonts w:ascii="Helvetica" w:eastAsia="Helvetica" w:hAnsi="Helvetica" w:cs="Helvetica"/>
          <w:sz w:val="20"/>
          <w:szCs w:val="20"/>
        </w:rPr>
        <w:t>®</w:t>
      </w:r>
      <w:r>
        <w:rPr>
          <w:rFonts w:ascii="Helvetica" w:eastAsia="Helvetica" w:hAnsi="Helvetica" w:cs="Helvetica"/>
          <w:sz w:val="18"/>
          <w:szCs w:val="18"/>
        </w:rPr>
        <w:t xml:space="preserve"> is the Company’s line of multi-purpose tablets. iP</w:t>
      </w:r>
      <w:r>
        <w:rPr>
          <w:rFonts w:ascii="Helvetica" w:eastAsia="Helvetica" w:hAnsi="Helvetica" w:cs="Helvetica"/>
          <w:sz w:val="18"/>
          <w:szCs w:val="18"/>
        </w:rPr>
        <w:t>ad is based on the Company’s iPadOS™ operating system, which was introduced during 2019. Also during 2019, the Company released two new versions of iPad Pro</w:t>
      </w:r>
      <w:r>
        <w:rPr>
          <w:rFonts w:ascii="Helvetica" w:eastAsia="Helvetica" w:hAnsi="Helvetica" w:cs="Helvetica"/>
          <w:sz w:val="20"/>
          <w:szCs w:val="20"/>
        </w:rPr>
        <w:t>®</w:t>
      </w:r>
      <w:r>
        <w:rPr>
          <w:rFonts w:ascii="Helvetica" w:eastAsia="Helvetica" w:hAnsi="Helvetica" w:cs="Helvetica"/>
          <w:sz w:val="18"/>
          <w:szCs w:val="18"/>
        </w:rPr>
        <w:t>, an iPad Air</w:t>
      </w:r>
      <w:r>
        <w:rPr>
          <w:rFonts w:ascii="Helvetica" w:eastAsia="Helvetica" w:hAnsi="Helvetica" w:cs="Helvetica"/>
          <w:sz w:val="20"/>
          <w:szCs w:val="20"/>
        </w:rPr>
        <w:t>®</w:t>
      </w:r>
      <w:r>
        <w:rPr>
          <w:rFonts w:ascii="Helvetica" w:eastAsia="Helvetica" w:hAnsi="Helvetica" w:cs="Helvetica"/>
          <w:sz w:val="18"/>
          <w:szCs w:val="18"/>
        </w:rPr>
        <w:t>, an updated iPad mini</w:t>
      </w:r>
      <w:r>
        <w:rPr>
          <w:rFonts w:ascii="Helvetica" w:eastAsia="Helvetica" w:hAnsi="Helvetica" w:cs="Helvetica"/>
          <w:sz w:val="20"/>
          <w:szCs w:val="20"/>
        </w:rPr>
        <w:t>®</w:t>
      </w:r>
      <w:r>
        <w:rPr>
          <w:rFonts w:ascii="Helvetica" w:eastAsia="Helvetica" w:hAnsi="Helvetica" w:cs="Helvetica"/>
          <w:sz w:val="18"/>
          <w:szCs w:val="18"/>
        </w:rPr>
        <w:t xml:space="preserve"> and a new 10.2-inch iPad.</w:t>
      </w:r>
    </w:p>
    <w:p w14:paraId="2A739BCF"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Wearables, Home and Accessories</w:t>
      </w:r>
    </w:p>
    <w:p w14:paraId="2A739BD0"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8"/>
          <w:szCs w:val="18"/>
        </w:rPr>
        <w:t>Wea</w:t>
      </w:r>
      <w:r>
        <w:rPr>
          <w:rFonts w:ascii="Helvetica" w:eastAsia="Helvetica" w:hAnsi="Helvetica" w:cs="Helvetica"/>
          <w:sz w:val="18"/>
          <w:szCs w:val="18"/>
        </w:rPr>
        <w:t>rables, Home and Accessories includes AirPods</w:t>
      </w:r>
      <w:r>
        <w:rPr>
          <w:rFonts w:ascii="Helvetica" w:eastAsia="Helvetica" w:hAnsi="Helvetica" w:cs="Helvetica"/>
          <w:sz w:val="20"/>
          <w:szCs w:val="20"/>
        </w:rPr>
        <w:t>®</w:t>
      </w:r>
      <w:r>
        <w:rPr>
          <w:rFonts w:ascii="Helvetica" w:eastAsia="Helvetica" w:hAnsi="Helvetica" w:cs="Helvetica"/>
          <w:sz w:val="18"/>
          <w:szCs w:val="18"/>
        </w:rPr>
        <w:t>, Apple TV</w:t>
      </w:r>
      <w:r>
        <w:rPr>
          <w:rFonts w:ascii="Helvetica" w:eastAsia="Helvetica" w:hAnsi="Helvetica" w:cs="Helvetica"/>
          <w:sz w:val="20"/>
          <w:szCs w:val="20"/>
        </w:rPr>
        <w:t>®</w:t>
      </w:r>
      <w:r>
        <w:rPr>
          <w:rFonts w:ascii="Helvetica" w:eastAsia="Helvetica" w:hAnsi="Helvetica" w:cs="Helvetica"/>
          <w:sz w:val="18"/>
          <w:szCs w:val="18"/>
        </w:rPr>
        <w:t>, Apple Watch</w:t>
      </w:r>
      <w:r>
        <w:rPr>
          <w:rFonts w:ascii="Helvetica" w:eastAsia="Helvetica" w:hAnsi="Helvetica" w:cs="Helvetica"/>
          <w:sz w:val="20"/>
          <w:szCs w:val="20"/>
        </w:rPr>
        <w:t>®</w:t>
      </w:r>
      <w:r>
        <w:rPr>
          <w:rFonts w:ascii="Helvetica" w:eastAsia="Helvetica" w:hAnsi="Helvetica" w:cs="Helvetica"/>
          <w:sz w:val="18"/>
          <w:szCs w:val="18"/>
        </w:rPr>
        <w:t>, Beats</w:t>
      </w:r>
      <w:r>
        <w:rPr>
          <w:rFonts w:ascii="Helvetica" w:eastAsia="Helvetica" w:hAnsi="Helvetica" w:cs="Helvetica"/>
          <w:sz w:val="20"/>
          <w:szCs w:val="20"/>
        </w:rPr>
        <w:t>®</w:t>
      </w:r>
      <w:r>
        <w:rPr>
          <w:rFonts w:ascii="Helvetica" w:eastAsia="Helvetica" w:hAnsi="Helvetica" w:cs="Helvetica"/>
          <w:sz w:val="18"/>
          <w:szCs w:val="18"/>
        </w:rPr>
        <w:t xml:space="preserve"> products, HomePod™, iPod touch</w:t>
      </w:r>
      <w:r>
        <w:rPr>
          <w:rFonts w:ascii="Helvetica" w:eastAsia="Helvetica" w:hAnsi="Helvetica" w:cs="Helvetica"/>
          <w:sz w:val="20"/>
          <w:szCs w:val="20"/>
        </w:rPr>
        <w:t>®</w:t>
      </w:r>
      <w:r>
        <w:rPr>
          <w:rFonts w:ascii="Helvetica" w:eastAsia="Helvetica" w:hAnsi="Helvetica" w:cs="Helvetica"/>
          <w:sz w:val="18"/>
          <w:szCs w:val="18"/>
        </w:rPr>
        <w:t xml:space="preserve"> and other Apple-branded and third-party accessories. AirPods are the Company’s wireless headphones that interact with Siri. In October 2019, the</w:t>
      </w:r>
      <w:r>
        <w:rPr>
          <w:rFonts w:ascii="Helvetica" w:eastAsia="Helvetica" w:hAnsi="Helvetica" w:cs="Helvetica"/>
          <w:sz w:val="18"/>
          <w:szCs w:val="18"/>
        </w:rPr>
        <w:t xml:space="preserve"> Company introduced AirPods Pro™. Apple Watch is a personal electronic device that combines the watchOS</w:t>
      </w:r>
      <w:r>
        <w:rPr>
          <w:rFonts w:ascii="Helvetica" w:eastAsia="Helvetica" w:hAnsi="Helvetica" w:cs="Helvetica"/>
          <w:sz w:val="20"/>
          <w:szCs w:val="20"/>
        </w:rPr>
        <w:t>®</w:t>
      </w:r>
      <w:r>
        <w:rPr>
          <w:rFonts w:ascii="Helvetica" w:eastAsia="Helvetica" w:hAnsi="Helvetica" w:cs="Helvetica"/>
          <w:sz w:val="18"/>
          <w:szCs w:val="18"/>
        </w:rPr>
        <w:t xml:space="preserve"> user interface and other technologies created specifically for a smaller device. In September 2019, the Company introduced Apple Watch Series 5.</w:t>
      </w:r>
    </w:p>
    <w:p w14:paraId="2A739BD1"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Servic</w:t>
      </w:r>
      <w:r>
        <w:rPr>
          <w:rFonts w:ascii="Helvetica" w:eastAsia="Helvetica" w:hAnsi="Helvetica" w:cs="Helvetica"/>
          <w:b/>
          <w:bCs/>
          <w:sz w:val="18"/>
          <w:szCs w:val="18"/>
        </w:rPr>
        <w:t>es</w:t>
      </w:r>
    </w:p>
    <w:p w14:paraId="2A739BD2"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Digital Content Stores and Streaming Services</w:t>
      </w:r>
    </w:p>
    <w:p w14:paraId="2A739BD3"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8"/>
          <w:szCs w:val="18"/>
        </w:rPr>
        <w:t>The Company operates various platforms that allow customers to discover and download applications and digital content, such as books, music, video, games and podcasts. These platforms include the App Store</w:t>
      </w:r>
      <w:r>
        <w:rPr>
          <w:rFonts w:ascii="Helvetica" w:eastAsia="Helvetica" w:hAnsi="Helvetica" w:cs="Helvetica"/>
          <w:sz w:val="20"/>
          <w:szCs w:val="20"/>
        </w:rPr>
        <w:t>®</w:t>
      </w:r>
      <w:r>
        <w:rPr>
          <w:rFonts w:ascii="Helvetica" w:eastAsia="Helvetica" w:hAnsi="Helvetica" w:cs="Helvetica"/>
          <w:sz w:val="18"/>
          <w:szCs w:val="18"/>
        </w:rPr>
        <w:t>,</w:t>
      </w:r>
      <w:r>
        <w:rPr>
          <w:rFonts w:ascii="Helvetica" w:eastAsia="Helvetica" w:hAnsi="Helvetica" w:cs="Helvetica"/>
          <w:sz w:val="18"/>
          <w:szCs w:val="18"/>
        </w:rPr>
        <w:t xml:space="preserve"> available for iPhone and iPad, the Mac App Store, the TV App Store and the Watch App Store.</w:t>
      </w:r>
    </w:p>
    <w:p w14:paraId="2A739BD4"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8"/>
          <w:szCs w:val="18"/>
        </w:rPr>
        <w:t>The Company also offers subscription-based digital content streaming services, including Apple Music</w:t>
      </w:r>
      <w:r>
        <w:rPr>
          <w:rFonts w:ascii="Helvetica" w:eastAsia="Helvetica" w:hAnsi="Helvetica" w:cs="Helvetica"/>
          <w:sz w:val="20"/>
          <w:szCs w:val="20"/>
        </w:rPr>
        <w:t>®</w:t>
      </w:r>
      <w:r>
        <w:rPr>
          <w:rFonts w:ascii="Helvetica" w:eastAsia="Helvetica" w:hAnsi="Helvetica" w:cs="Helvetica"/>
          <w:sz w:val="18"/>
          <w:szCs w:val="18"/>
        </w:rPr>
        <w:t>, which offers users a curated listening experience with on-de</w:t>
      </w:r>
      <w:r>
        <w:rPr>
          <w:rFonts w:ascii="Helvetica" w:eastAsia="Helvetica" w:hAnsi="Helvetica" w:cs="Helvetica"/>
          <w:sz w:val="18"/>
          <w:szCs w:val="18"/>
        </w:rPr>
        <w:t>mand radio stations, and Apple TV+, which offers exclusive original content, and is expected to be available in November 2019.</w:t>
      </w:r>
    </w:p>
    <w:p w14:paraId="2A739BD5" w14:textId="77777777" w:rsidR="00FA5565" w:rsidRDefault="00FA5565">
      <w:pPr>
        <w:rPr>
          <w:rFonts w:ascii="Times New Roman" w:hAnsi="Times New Roman"/>
          <w:sz w:val="20"/>
          <w:szCs w:val="20"/>
        </w:rPr>
      </w:pPr>
    </w:p>
    <w:p w14:paraId="2A739BD6"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w:t>
      </w:r>
    </w:p>
    <w:p w14:paraId="2A739BD7" w14:textId="77777777" w:rsidR="00FA5565" w:rsidRDefault="00D804D1">
      <w:r>
        <w:rPr>
          <w:rFonts w:ascii="Times New Roman" w:hAnsi="Times New Roman"/>
          <w:sz w:val="16"/>
          <w:szCs w:val="16"/>
        </w:rPr>
        <w:pict w14:anchorId="2A73C09B">
          <v:rect id="_x0000_i1027" style="width:415.3pt;height:1.5pt" o:hralign="center" o:hrstd="t" o:hr="t" fillcolor="#a0a0a0" stroked="f"/>
        </w:pict>
      </w:r>
    </w:p>
    <w:p w14:paraId="2A739BD8" w14:textId="77777777" w:rsidR="00FA5565" w:rsidRDefault="00FA5565">
      <w:pPr>
        <w:rPr>
          <w:rFonts w:ascii="Times New Roman" w:hAnsi="Times New Roman"/>
          <w:sz w:val="20"/>
          <w:szCs w:val="20"/>
        </w:rPr>
      </w:pPr>
    </w:p>
    <w:p w14:paraId="2A739BD9"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AppleCare</w:t>
      </w:r>
    </w:p>
    <w:p w14:paraId="2A739BDA"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8"/>
          <w:szCs w:val="18"/>
        </w:rPr>
        <w:t>AppleCare</w:t>
      </w:r>
      <w:r>
        <w:rPr>
          <w:rFonts w:ascii="Helvetica" w:eastAsia="Helvetica" w:hAnsi="Helvetica" w:cs="Helvetica"/>
          <w:sz w:val="20"/>
          <w:szCs w:val="20"/>
        </w:rPr>
        <w:t>®</w:t>
      </w:r>
      <w:r>
        <w:rPr>
          <w:rFonts w:ascii="Helvetica" w:eastAsia="Helvetica" w:hAnsi="Helvetica" w:cs="Helvetica"/>
          <w:sz w:val="18"/>
          <w:szCs w:val="18"/>
        </w:rPr>
        <w:t xml:space="preserve"> includes AppleCare</w:t>
      </w:r>
      <w:r>
        <w:rPr>
          <w:rFonts w:ascii="Helvetica" w:eastAsia="Helvetica" w:hAnsi="Helvetica" w:cs="Helvetica"/>
          <w:sz w:val="2"/>
          <w:szCs w:val="2"/>
        </w:rPr>
        <w:t> </w:t>
      </w:r>
      <w:r>
        <w:rPr>
          <w:rFonts w:ascii="Helvetica" w:eastAsia="Helvetica" w:hAnsi="Helvetica" w:cs="Helvetica"/>
          <w:sz w:val="18"/>
          <w:szCs w:val="18"/>
        </w:rPr>
        <w:t xml:space="preserve">+ (“AC+”) and the AppleCare Protection Plan, </w:t>
      </w:r>
      <w:r>
        <w:rPr>
          <w:rFonts w:ascii="Helvetica" w:eastAsia="Helvetica" w:hAnsi="Helvetica" w:cs="Helvetica"/>
          <w:sz w:val="18"/>
          <w:szCs w:val="18"/>
        </w:rPr>
        <w:t>which are fee-based services that extend the coverage of phone support eligibility and hardware repairs. AC+ offers additional coverage for instances of accidental damage and is available in certain countries for certain products. Additionally, AC+ with th</w:t>
      </w:r>
      <w:r>
        <w:rPr>
          <w:rFonts w:ascii="Helvetica" w:eastAsia="Helvetica" w:hAnsi="Helvetica" w:cs="Helvetica"/>
          <w:sz w:val="18"/>
          <w:szCs w:val="18"/>
        </w:rPr>
        <w:t>eft and loss protection is available for iPhone in the U.S.</w:t>
      </w:r>
    </w:p>
    <w:p w14:paraId="2A739BDB"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iCloud</w:t>
      </w:r>
    </w:p>
    <w:p w14:paraId="2A739BDC"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8"/>
          <w:szCs w:val="18"/>
        </w:rPr>
        <w:t>iCloud</w:t>
      </w:r>
      <w:r>
        <w:rPr>
          <w:rFonts w:ascii="Helvetica" w:eastAsia="Helvetica" w:hAnsi="Helvetica" w:cs="Helvetica"/>
          <w:sz w:val="20"/>
          <w:szCs w:val="20"/>
        </w:rPr>
        <w:t>®</w:t>
      </w:r>
      <w:r>
        <w:rPr>
          <w:rFonts w:ascii="Helvetica" w:eastAsia="Helvetica" w:hAnsi="Helvetica" w:cs="Helvetica"/>
          <w:sz w:val="18"/>
          <w:szCs w:val="18"/>
        </w:rPr>
        <w:t xml:space="preserve"> is the Company’s cloud service, which stores music, photos, contacts, calendars, mail, documents and more, keeping them up-to-date and available across multiple Apple devices and Wi</w:t>
      </w:r>
      <w:r>
        <w:rPr>
          <w:rFonts w:ascii="Helvetica" w:eastAsia="Helvetica" w:hAnsi="Helvetica" w:cs="Helvetica"/>
          <w:sz w:val="18"/>
          <w:szCs w:val="18"/>
        </w:rPr>
        <w:t>ndows personal computers.</w:t>
      </w:r>
    </w:p>
    <w:p w14:paraId="2A739BDD"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Licensing</w:t>
      </w:r>
    </w:p>
    <w:p w14:paraId="2A739BD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licenses the use of certain of its intellectual property, and provides other related services.</w:t>
      </w:r>
    </w:p>
    <w:p w14:paraId="2A739BDF"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Other Services</w:t>
      </w:r>
    </w:p>
    <w:p w14:paraId="2A739BE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delivers a variety of other services available in certain countries, including Apple A</w:t>
      </w:r>
      <w:r>
        <w:rPr>
          <w:rFonts w:ascii="Helvetica" w:eastAsia="Helvetica" w:hAnsi="Helvetica" w:cs="Helvetica"/>
          <w:sz w:val="18"/>
          <w:szCs w:val="18"/>
        </w:rPr>
        <w:t>rcade™, a game subscription service; Apple Card™, a co-branded credit card; Apple News+, a subscription news and magazine service; and Apple Pay, a cashless payment service.</w:t>
      </w:r>
    </w:p>
    <w:p w14:paraId="2A739BE1"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Markets and Distribution</w:t>
      </w:r>
    </w:p>
    <w:p w14:paraId="2A739BE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customers are primarily in the consumer, sm</w:t>
      </w:r>
      <w:r>
        <w:rPr>
          <w:rFonts w:ascii="Helvetica" w:eastAsia="Helvetica" w:hAnsi="Helvetica" w:cs="Helvetica"/>
          <w:sz w:val="18"/>
          <w:szCs w:val="18"/>
        </w:rPr>
        <w:t>all and mid-sized business, education, enterprise and government markets. The Company sells its products and resells third-party products in most of its major markets directly to consumers, small and mid-sized businesses, and education, enterprise and gove</w:t>
      </w:r>
      <w:r>
        <w:rPr>
          <w:rFonts w:ascii="Helvetica" w:eastAsia="Helvetica" w:hAnsi="Helvetica" w:cs="Helvetica"/>
          <w:sz w:val="18"/>
          <w:szCs w:val="18"/>
        </w:rPr>
        <w:t>rnment customers through its retail and online stores and its direct sales force. The Company also employs a variety of indirect distribution channels, such as third-party cellular network carriers, wholesalers, retailers and resellers. During 2019, the Co</w:t>
      </w:r>
      <w:r>
        <w:rPr>
          <w:rFonts w:ascii="Helvetica" w:eastAsia="Helvetica" w:hAnsi="Helvetica" w:cs="Helvetica"/>
          <w:sz w:val="18"/>
          <w:szCs w:val="18"/>
        </w:rPr>
        <w:t>mpany’s net sales through its direct and indirect distribution channels accounted for 31% and 69%, respectively, of total net sales.</w:t>
      </w:r>
    </w:p>
    <w:p w14:paraId="2A739BE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No single customer accounted for more than 10% of net sales in 2019, 2018 and 2017.</w:t>
      </w:r>
    </w:p>
    <w:p w14:paraId="2A739BE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Competition</w:t>
      </w:r>
    </w:p>
    <w:p w14:paraId="2A739BE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markets for the Company</w:t>
      </w:r>
      <w:r>
        <w:rPr>
          <w:rFonts w:ascii="Helvetica" w:eastAsia="Helvetica" w:hAnsi="Helvetica" w:cs="Helvetica"/>
          <w:sz w:val="18"/>
          <w:szCs w:val="18"/>
        </w:rPr>
        <w:t>’s products and services are highly competitive and the Company is confronted by aggressive competition in all areas of its business. These markets are characterized by frequent product introductions and rapid technological advances that have substantially</w:t>
      </w:r>
      <w:r>
        <w:rPr>
          <w:rFonts w:ascii="Helvetica" w:eastAsia="Helvetica" w:hAnsi="Helvetica" w:cs="Helvetica"/>
          <w:sz w:val="18"/>
          <w:szCs w:val="18"/>
        </w:rPr>
        <w:t xml:space="preserve"> increased the capabilities and use of smartphones, personal computers, tablets and other electronic devices. Many of the Company’s competitors that sell mobile devices and personal computers based on other operating systems seek to compete primarily throu</w:t>
      </w:r>
      <w:r>
        <w:rPr>
          <w:rFonts w:ascii="Helvetica" w:eastAsia="Helvetica" w:hAnsi="Helvetica" w:cs="Helvetica"/>
          <w:sz w:val="18"/>
          <w:szCs w:val="18"/>
        </w:rPr>
        <w:t>gh aggressive pricing and very low cost structures. Principal competitive factors important to the Company include price, product and service features (including security features), relative price and performance, product and service quality and reliabilit</w:t>
      </w:r>
      <w:r>
        <w:rPr>
          <w:rFonts w:ascii="Helvetica" w:eastAsia="Helvetica" w:hAnsi="Helvetica" w:cs="Helvetica"/>
          <w:sz w:val="18"/>
          <w:szCs w:val="18"/>
        </w:rPr>
        <w:t>y, design innovation, a strong third-party software and accessories ecosystem, marketing and distribution capability, service and support, and corporate reputation.</w:t>
      </w:r>
    </w:p>
    <w:p w14:paraId="2A739BE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is focused on expanding its market opportunities related to smartphones, person</w:t>
      </w:r>
      <w:r>
        <w:rPr>
          <w:rFonts w:ascii="Helvetica" w:eastAsia="Helvetica" w:hAnsi="Helvetica" w:cs="Helvetica"/>
          <w:sz w:val="18"/>
          <w:szCs w:val="18"/>
        </w:rPr>
        <w:t>al computers, tablets and other electronic devices. These markets are highly competitive and include many large, well-funded and experienced participants. The Company expects competition in these markets to intensify significantly as competitors imitate fe</w:t>
      </w:r>
      <w:r>
        <w:rPr>
          <w:rFonts w:ascii="Helvetica" w:eastAsia="Helvetica" w:hAnsi="Helvetica" w:cs="Helvetica"/>
          <w:sz w:val="18"/>
          <w:szCs w:val="18"/>
        </w:rPr>
        <w:t>atures of the Company’s products and applications within their products, or collaborate to offer solutions that are more competitive than those they currently offer. These markets are characterized by aggressive price competition, frequent product introduc</w:t>
      </w:r>
      <w:r>
        <w:rPr>
          <w:rFonts w:ascii="Helvetica" w:eastAsia="Helvetica" w:hAnsi="Helvetica" w:cs="Helvetica"/>
          <w:sz w:val="18"/>
          <w:szCs w:val="18"/>
        </w:rPr>
        <w:t>tions, evolving design approaches and technologies, rapid adoption of technological advancements by competitors, and price sensitivity on the part of consumers and businesses.</w:t>
      </w:r>
    </w:p>
    <w:p w14:paraId="2A739BE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services also face substantial competition, including from compani</w:t>
      </w:r>
      <w:r>
        <w:rPr>
          <w:rFonts w:ascii="Helvetica" w:eastAsia="Helvetica" w:hAnsi="Helvetica" w:cs="Helvetica"/>
          <w:sz w:val="18"/>
          <w:szCs w:val="18"/>
        </w:rPr>
        <w:t>es that have significant resources and experience and have established service offerings with large customer bases. The Company competes with business models that provide content to users for free. The Company also competes with illegitimate means to obtai</w:t>
      </w:r>
      <w:r>
        <w:rPr>
          <w:rFonts w:ascii="Helvetica" w:eastAsia="Helvetica" w:hAnsi="Helvetica" w:cs="Helvetica"/>
          <w:sz w:val="18"/>
          <w:szCs w:val="18"/>
        </w:rPr>
        <w:t>n third-party digital content and applications.</w:t>
      </w:r>
    </w:p>
    <w:p w14:paraId="2A739BE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believes it offers superior innovation and integration of the entire solution, including hardware, software and services. Some of the Company’s current and potential competitors have substantial r</w:t>
      </w:r>
      <w:r>
        <w:rPr>
          <w:rFonts w:ascii="Helvetica" w:eastAsia="Helvetica" w:hAnsi="Helvetica" w:cs="Helvetica"/>
          <w:sz w:val="18"/>
          <w:szCs w:val="18"/>
        </w:rPr>
        <w:t>esources and may be able to provide such products and services at little or no profit, or even at a loss, to compete with the Company’s offerings.</w:t>
      </w:r>
    </w:p>
    <w:p w14:paraId="2A739BE9" w14:textId="77777777" w:rsidR="00FA5565" w:rsidRDefault="00FA5565">
      <w:pPr>
        <w:rPr>
          <w:rFonts w:ascii="Times New Roman" w:hAnsi="Times New Roman"/>
          <w:sz w:val="20"/>
          <w:szCs w:val="20"/>
        </w:rPr>
      </w:pPr>
    </w:p>
    <w:p w14:paraId="2A739BEA"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2</w:t>
      </w:r>
    </w:p>
    <w:p w14:paraId="2A739BEB" w14:textId="77777777" w:rsidR="00FA5565" w:rsidRDefault="00D804D1">
      <w:r>
        <w:rPr>
          <w:rFonts w:ascii="Times New Roman" w:hAnsi="Times New Roman"/>
          <w:sz w:val="16"/>
          <w:szCs w:val="16"/>
        </w:rPr>
        <w:pict w14:anchorId="2A73C09C">
          <v:rect id="_x0000_i1028" style="width:415.3pt;height:1.5pt" o:hralign="center" o:hrstd="t" o:hr="t" fillcolor="#a0a0a0" stroked="f"/>
        </w:pict>
      </w:r>
    </w:p>
    <w:p w14:paraId="2A739BEC" w14:textId="77777777" w:rsidR="00FA5565" w:rsidRDefault="00FA5565">
      <w:pPr>
        <w:rPr>
          <w:rFonts w:ascii="Times New Roman" w:hAnsi="Times New Roman"/>
          <w:sz w:val="20"/>
          <w:szCs w:val="20"/>
        </w:rPr>
      </w:pPr>
    </w:p>
    <w:p w14:paraId="2A739BED"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Supply of Components</w:t>
      </w:r>
    </w:p>
    <w:p w14:paraId="2A739BE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Although most components essential to the </w:t>
      </w:r>
      <w:r>
        <w:rPr>
          <w:rFonts w:ascii="Helvetica" w:eastAsia="Helvetica" w:hAnsi="Helvetica" w:cs="Helvetica"/>
          <w:sz w:val="18"/>
          <w:szCs w:val="18"/>
        </w:rPr>
        <w:t>Company’s business are generally available from multiple sources, certain components are currently obtained from single or limited sources. The Company also competes for various components with other participants in the markets for smartphones, personal co</w:t>
      </w:r>
      <w:r>
        <w:rPr>
          <w:rFonts w:ascii="Helvetica" w:eastAsia="Helvetica" w:hAnsi="Helvetica" w:cs="Helvetica"/>
          <w:sz w:val="18"/>
          <w:szCs w:val="18"/>
        </w:rPr>
        <w:t>mputers, tablets and other electronic devices. Therefore, many components used by the Company, including those that are available from multiple sources, are at times subject to industry-wide shortage and significant commodity pricing fluctuations.</w:t>
      </w:r>
    </w:p>
    <w:p w14:paraId="2A739BE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w:t>
      </w:r>
      <w:r>
        <w:rPr>
          <w:rFonts w:ascii="Helvetica" w:eastAsia="Helvetica" w:hAnsi="Helvetica" w:cs="Helvetica"/>
          <w:sz w:val="18"/>
          <w:szCs w:val="18"/>
        </w:rPr>
        <w:t>any uses some custom components that are not commonly used by its competitors, and new products introduced by the Company often utilize custom components available from only one source. When a component or product uses new technologies, initial capacity co</w:t>
      </w:r>
      <w:r>
        <w:rPr>
          <w:rFonts w:ascii="Helvetica" w:eastAsia="Helvetica" w:hAnsi="Helvetica" w:cs="Helvetica"/>
          <w:sz w:val="18"/>
          <w:szCs w:val="18"/>
        </w:rPr>
        <w:t>nstraints may exist until the suppliers’ yields have matured or their manufacturing capacities have increased. The continued availability of these components at acceptable prices, or at all, may be affected if suppliers decide to concentrate on the product</w:t>
      </w:r>
      <w:r>
        <w:rPr>
          <w:rFonts w:ascii="Helvetica" w:eastAsia="Helvetica" w:hAnsi="Helvetica" w:cs="Helvetica"/>
          <w:sz w:val="18"/>
          <w:szCs w:val="18"/>
        </w:rPr>
        <w:t>ion of common components instead of components customized to meet the Company’s requirements.</w:t>
      </w:r>
    </w:p>
    <w:p w14:paraId="2A739BF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entered into agreements for the supply of many components; however, there can be no guarantee that the Company will be able to extend or renew the</w:t>
      </w:r>
      <w:r>
        <w:rPr>
          <w:rFonts w:ascii="Helvetica" w:eastAsia="Helvetica" w:hAnsi="Helvetica" w:cs="Helvetica"/>
          <w:sz w:val="18"/>
          <w:szCs w:val="18"/>
        </w:rPr>
        <w:t>se agreements on similar terms, or at all.</w:t>
      </w:r>
    </w:p>
    <w:p w14:paraId="2A739BF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Substantially all of the Company’s hardware products are manufactured by outsourcing partners that are located primarily in Asia, with some Mac computers manufactured in the U.S. and Ireland.</w:t>
      </w:r>
    </w:p>
    <w:p w14:paraId="2A739BF2"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 xml:space="preserve">Research and </w:t>
      </w:r>
      <w:r>
        <w:rPr>
          <w:rFonts w:ascii="Helvetica" w:eastAsia="Helvetica" w:hAnsi="Helvetica" w:cs="Helvetica"/>
          <w:b/>
          <w:bCs/>
          <w:sz w:val="18"/>
          <w:szCs w:val="18"/>
        </w:rPr>
        <w:t>Development</w:t>
      </w:r>
    </w:p>
    <w:p w14:paraId="2A739BF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Because the industries in which the Company competes are characterized by rapid technological advances, the Company’s ability to compete successfully depends heavily upon its ability to ensure a continual and timely flow of competitive products</w:t>
      </w:r>
      <w:r>
        <w:rPr>
          <w:rFonts w:ascii="Helvetica" w:eastAsia="Helvetica" w:hAnsi="Helvetica" w:cs="Helvetica"/>
          <w:sz w:val="18"/>
          <w:szCs w:val="18"/>
        </w:rPr>
        <w:t>, services and technologies to the marketplace. The Company continues to develop new technologies to enhance existing products and services, and to expand the range of its offerings through research and development (“R&amp;D”), licensing of intellectual proper</w:t>
      </w:r>
      <w:r>
        <w:rPr>
          <w:rFonts w:ascii="Helvetica" w:eastAsia="Helvetica" w:hAnsi="Helvetica" w:cs="Helvetica"/>
          <w:sz w:val="18"/>
          <w:szCs w:val="18"/>
        </w:rPr>
        <w:t>ty and acquisition of third-party businesses and technology.</w:t>
      </w:r>
    </w:p>
    <w:p w14:paraId="2A739BF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Intellectual Property</w:t>
      </w:r>
    </w:p>
    <w:p w14:paraId="2A739BF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currently holds a broad collection of intellectual property rights relating to certain aspects of its hardware devices, accessories, software and services. This </w:t>
      </w:r>
      <w:r>
        <w:rPr>
          <w:rFonts w:ascii="Helvetica" w:eastAsia="Helvetica" w:hAnsi="Helvetica" w:cs="Helvetica"/>
          <w:sz w:val="18"/>
          <w:szCs w:val="18"/>
        </w:rPr>
        <w:t>includes patents, copyrights, trademarks, service marks, trade dress and other forms of intellectual property rights in the U.S. and various foreign countries. Although the Company believes the ownership of such intellectual property rights is an important</w:t>
      </w:r>
      <w:r>
        <w:rPr>
          <w:rFonts w:ascii="Helvetica" w:eastAsia="Helvetica" w:hAnsi="Helvetica" w:cs="Helvetica"/>
          <w:sz w:val="18"/>
          <w:szCs w:val="18"/>
        </w:rPr>
        <w:t xml:space="preserve"> factor in its business and that its success does depend in part on such ownership, the Company relies primarily on the innovative skills, technical competence and marketing abilities of its personnel.</w:t>
      </w:r>
    </w:p>
    <w:p w14:paraId="2A739BF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regularly files patent applications to pro</w:t>
      </w:r>
      <w:r>
        <w:rPr>
          <w:rFonts w:ascii="Helvetica" w:eastAsia="Helvetica" w:hAnsi="Helvetica" w:cs="Helvetica"/>
          <w:sz w:val="18"/>
          <w:szCs w:val="18"/>
        </w:rPr>
        <w:t>tect innovations arising from its research, development and design, and is currently pursuing thousands of patent applications around the world. Over time, the Company has accumulated a large portfolio of issued patents, including utility patents, design p</w:t>
      </w:r>
      <w:r>
        <w:rPr>
          <w:rFonts w:ascii="Helvetica" w:eastAsia="Helvetica" w:hAnsi="Helvetica" w:cs="Helvetica"/>
          <w:sz w:val="18"/>
          <w:szCs w:val="18"/>
        </w:rPr>
        <w:t>atents and others. The Company also holds copyrights relating to certain aspects of its products and services. No single intellectual property right is solely responsible for protecting the Company’s products. The Company believes the duration of its intel</w:t>
      </w:r>
      <w:r>
        <w:rPr>
          <w:rFonts w:ascii="Helvetica" w:eastAsia="Helvetica" w:hAnsi="Helvetica" w:cs="Helvetica"/>
          <w:sz w:val="18"/>
          <w:szCs w:val="18"/>
        </w:rPr>
        <w:t>lectual property rights is adequate relative to the expected lives of its products.</w:t>
      </w:r>
    </w:p>
    <w:p w14:paraId="2A739BF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In addition to Company-owned intellectual property, many of the Company’s products and services are designed to include intellectual property owned by third parties. It may</w:t>
      </w:r>
      <w:r>
        <w:rPr>
          <w:rFonts w:ascii="Helvetica" w:eastAsia="Helvetica" w:hAnsi="Helvetica" w:cs="Helvetica"/>
          <w:sz w:val="18"/>
          <w:szCs w:val="18"/>
        </w:rPr>
        <w:t xml:space="preserve"> be necessary in the future to seek or renew licenses relating to various aspects of the Company’s products, processes and services. While the Company has generally been able to obtain such licenses on commercially reasonable terms in the past, there is no</w:t>
      </w:r>
      <w:r>
        <w:rPr>
          <w:rFonts w:ascii="Helvetica" w:eastAsia="Helvetica" w:hAnsi="Helvetica" w:cs="Helvetica"/>
          <w:sz w:val="18"/>
          <w:szCs w:val="18"/>
        </w:rPr>
        <w:t xml:space="preserve"> guarantee that such licenses could be obtained in the future on reasonable terms or at all.</w:t>
      </w:r>
    </w:p>
    <w:p w14:paraId="2A739BF8"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Business Seasonality and Product Introductions</w:t>
      </w:r>
    </w:p>
    <w:p w14:paraId="2A739BF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historically experienced higher net sales in its first quarter compared to other quarters in its fis</w:t>
      </w:r>
      <w:r>
        <w:rPr>
          <w:rFonts w:ascii="Helvetica" w:eastAsia="Helvetica" w:hAnsi="Helvetica" w:cs="Helvetica"/>
          <w:sz w:val="18"/>
          <w:szCs w:val="18"/>
        </w:rPr>
        <w:t>cal year due in part to seasonal holiday demand. Additionally, new product and service introductions can significantly impact net sales, cost of sales and operating expenses. The timing of product introductions can also impact the Company’s net sales to it</w:t>
      </w:r>
      <w:r>
        <w:rPr>
          <w:rFonts w:ascii="Helvetica" w:eastAsia="Helvetica" w:hAnsi="Helvetica" w:cs="Helvetica"/>
          <w:sz w:val="18"/>
          <w:szCs w:val="18"/>
        </w:rPr>
        <w:t>s indirect distribution channels as these channels are filled with new inventory following a product launch, and channel inventory of an older product often declines as the launch of a newer product approaches. Net sales can also be affected when consumers</w:t>
      </w:r>
      <w:r>
        <w:rPr>
          <w:rFonts w:ascii="Helvetica" w:eastAsia="Helvetica" w:hAnsi="Helvetica" w:cs="Helvetica"/>
          <w:sz w:val="18"/>
          <w:szCs w:val="18"/>
        </w:rPr>
        <w:t xml:space="preserve"> and distributors anticipate a product introduction.</w:t>
      </w:r>
    </w:p>
    <w:p w14:paraId="2A739BFA"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Employees</w:t>
      </w:r>
    </w:p>
    <w:p w14:paraId="2A739BF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As of September 28, 2019, the Company had approximately 137,000 full-time equivalent employees.</w:t>
      </w:r>
    </w:p>
    <w:p w14:paraId="2A739BFC" w14:textId="77777777" w:rsidR="00FA5565" w:rsidRDefault="00FA5565">
      <w:pPr>
        <w:rPr>
          <w:rFonts w:ascii="Times New Roman" w:hAnsi="Times New Roman"/>
          <w:sz w:val="20"/>
          <w:szCs w:val="20"/>
        </w:rPr>
      </w:pPr>
    </w:p>
    <w:p w14:paraId="2A739BFD"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w:t>
      </w:r>
    </w:p>
    <w:p w14:paraId="2A739BFE" w14:textId="77777777" w:rsidR="00FA5565" w:rsidRDefault="00D804D1">
      <w:r>
        <w:rPr>
          <w:rFonts w:ascii="Times New Roman" w:hAnsi="Times New Roman"/>
          <w:sz w:val="16"/>
          <w:szCs w:val="16"/>
        </w:rPr>
        <w:pict w14:anchorId="2A73C09D">
          <v:rect id="_x0000_i1029" style="width:415.3pt;height:1.5pt" o:hralign="center" o:hrstd="t" o:hr="t" fillcolor="#a0a0a0" stroked="f"/>
        </w:pict>
      </w:r>
    </w:p>
    <w:p w14:paraId="2A739BFF" w14:textId="77777777" w:rsidR="00FA5565" w:rsidRDefault="00FA5565">
      <w:pPr>
        <w:rPr>
          <w:rFonts w:ascii="Times New Roman" w:hAnsi="Times New Roman"/>
          <w:sz w:val="20"/>
          <w:szCs w:val="20"/>
        </w:rPr>
      </w:pPr>
    </w:p>
    <w:p w14:paraId="2A739C00"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Available Information</w:t>
      </w:r>
    </w:p>
    <w:p w14:paraId="2A739C0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Annual Reports on Form 10</w:t>
      </w:r>
      <w:r>
        <w:rPr>
          <w:rFonts w:ascii="Helvetica" w:eastAsia="Helvetica" w:hAnsi="Helvetica" w:cs="Helvetica"/>
          <w:sz w:val="18"/>
          <w:szCs w:val="18"/>
        </w:rPr>
        <w:t>-K, Quarterly Reports on Form 10-Q, Current Reports on Form 8-K, and amendments to reports filed pursuant to Sections 13(a) and 15(d) of the Securities Exchange Act of 1934, as amended (the “Exchange Act”), are filed with the Securities and Exchange Commis</w:t>
      </w:r>
      <w:r>
        <w:rPr>
          <w:rFonts w:ascii="Helvetica" w:eastAsia="Helvetica" w:hAnsi="Helvetica" w:cs="Helvetica"/>
          <w:sz w:val="18"/>
          <w:szCs w:val="18"/>
        </w:rPr>
        <w:t>sion (the “SEC”). The Company is subject to the informational requirements of the Exchange Act and files or furnishes reports, proxy statements and other information with the SEC. Such reports and other information filed by the Company with the SEC are ava</w:t>
      </w:r>
      <w:r>
        <w:rPr>
          <w:rFonts w:ascii="Helvetica" w:eastAsia="Helvetica" w:hAnsi="Helvetica" w:cs="Helvetica"/>
          <w:sz w:val="18"/>
          <w:szCs w:val="18"/>
        </w:rPr>
        <w:t xml:space="preserve">ilable free of charge at investor.apple.com/investor-relations/sec-filings/default.aspx when such reports are available on the SEC’s website. The SEC maintains an Internet site that contains reports, proxy and information statements, and other information </w:t>
      </w:r>
      <w:r>
        <w:rPr>
          <w:rFonts w:ascii="Helvetica" w:eastAsia="Helvetica" w:hAnsi="Helvetica" w:cs="Helvetica"/>
          <w:sz w:val="18"/>
          <w:szCs w:val="18"/>
        </w:rPr>
        <w:t>regarding issuers that file electronically with the SEC at www.sec.gov. The Company periodically provides other information for investors on its corporate website, www.apple.com, and its investor relations website, investor.apple.com. This includes press r</w:t>
      </w:r>
      <w:r>
        <w:rPr>
          <w:rFonts w:ascii="Helvetica" w:eastAsia="Helvetica" w:hAnsi="Helvetica" w:cs="Helvetica"/>
          <w:sz w:val="18"/>
          <w:szCs w:val="18"/>
        </w:rPr>
        <w:t>eleases and other information about financial performance, information on corporate governance and details related to the Company’s annual meeting of shareholders. The information contained on the websites referenced in this Form 10-K is not incorporated b</w:t>
      </w:r>
      <w:r>
        <w:rPr>
          <w:rFonts w:ascii="Helvetica" w:eastAsia="Helvetica" w:hAnsi="Helvetica" w:cs="Helvetica"/>
          <w:sz w:val="18"/>
          <w:szCs w:val="18"/>
        </w:rPr>
        <w:t>y reference into this filing. Further, the Company’s references to website URLs are intended to be inactive textual references only.</w:t>
      </w:r>
    </w:p>
    <w:p w14:paraId="2A739C02" w14:textId="77777777" w:rsidR="00FA5565" w:rsidRDefault="00FA5565">
      <w:pPr>
        <w:rPr>
          <w:rFonts w:ascii="Times New Roman" w:hAnsi="Times New Roman"/>
          <w:sz w:val="20"/>
          <w:szCs w:val="20"/>
        </w:rPr>
      </w:pPr>
    </w:p>
    <w:p w14:paraId="2A739C03"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4</w:t>
      </w:r>
    </w:p>
    <w:p w14:paraId="2A739C04" w14:textId="77777777" w:rsidR="00FA5565" w:rsidRDefault="00D804D1">
      <w:r>
        <w:rPr>
          <w:rFonts w:ascii="Times New Roman" w:hAnsi="Times New Roman"/>
          <w:sz w:val="16"/>
          <w:szCs w:val="16"/>
        </w:rPr>
        <w:pict w14:anchorId="2A73C09E">
          <v:rect id="_x0000_i1030" style="width:415.3pt;height:1.5pt" o:hralign="center" o:hrstd="t" o:hr="t" fillcolor="#a0a0a0" stroked="f"/>
        </w:pict>
      </w:r>
    </w:p>
    <w:p w14:paraId="2A739C05" w14:textId="77777777" w:rsidR="00FA5565" w:rsidRDefault="00FA556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1081"/>
      </w:tblGrid>
      <w:tr w:rsidR="00FA5565" w14:paraId="2A739C08" w14:textId="77777777">
        <w:trPr>
          <w:tblCellSpacing w:w="0" w:type="dxa"/>
        </w:trPr>
        <w:tc>
          <w:tcPr>
            <w:tcW w:w="1200" w:type="dxa"/>
            <w:shd w:val="clear" w:color="auto" w:fill="auto"/>
            <w:vAlign w:val="center"/>
          </w:tcPr>
          <w:p w14:paraId="2A739C06" w14:textId="77777777" w:rsidR="00FA5565" w:rsidRDefault="00FA5565">
            <w:pPr>
              <w:rPr>
                <w:rFonts w:ascii="Times New Roman" w:hAnsi="Times New Roman"/>
                <w:sz w:val="20"/>
                <w:szCs w:val="20"/>
              </w:rPr>
            </w:pPr>
          </w:p>
        </w:tc>
        <w:tc>
          <w:tcPr>
            <w:tcW w:w="0" w:type="auto"/>
            <w:shd w:val="clear" w:color="auto" w:fill="auto"/>
            <w:vAlign w:val="center"/>
          </w:tcPr>
          <w:p w14:paraId="2A739C07" w14:textId="77777777" w:rsidR="00FA5565" w:rsidRDefault="00FA5565">
            <w:pPr>
              <w:rPr>
                <w:rFonts w:ascii="Times New Roman" w:hAnsi="Times New Roman"/>
                <w:sz w:val="20"/>
                <w:szCs w:val="20"/>
              </w:rPr>
            </w:pPr>
          </w:p>
        </w:tc>
      </w:tr>
      <w:tr w:rsidR="00FA5565" w14:paraId="2A739C0B" w14:textId="77777777">
        <w:trPr>
          <w:tblCellSpacing w:w="0" w:type="dxa"/>
        </w:trPr>
        <w:tc>
          <w:tcPr>
            <w:tcW w:w="0" w:type="auto"/>
            <w:shd w:val="clear" w:color="auto" w:fill="auto"/>
          </w:tcPr>
          <w:p w14:paraId="2A739C09"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1A.</w:t>
            </w:r>
          </w:p>
        </w:tc>
        <w:tc>
          <w:tcPr>
            <w:tcW w:w="0" w:type="auto"/>
            <w:shd w:val="clear" w:color="auto" w:fill="auto"/>
          </w:tcPr>
          <w:p w14:paraId="2A739C0A"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Risk Factors</w:t>
            </w:r>
          </w:p>
        </w:tc>
      </w:tr>
    </w:tbl>
    <w:p w14:paraId="2A739C0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following discussion of risk factors contains </w:t>
      </w:r>
      <w:r>
        <w:rPr>
          <w:rFonts w:ascii="Helvetica" w:eastAsia="Helvetica" w:hAnsi="Helvetica" w:cs="Helvetica"/>
          <w:sz w:val="18"/>
          <w:szCs w:val="18"/>
        </w:rPr>
        <w:t xml:space="preserve">forward-looking statements. These risk factors may be important to understanding other statements in this Form 10-K. The following information should be read in conjunction with Part II, Item 7, “Management’s Discussion and Analysis of Financial Condition </w:t>
      </w:r>
      <w:r>
        <w:rPr>
          <w:rFonts w:ascii="Helvetica" w:eastAsia="Helvetica" w:hAnsi="Helvetica" w:cs="Helvetica"/>
          <w:sz w:val="18"/>
          <w:szCs w:val="18"/>
        </w:rPr>
        <w:t>and Results of Operations” and the consolidated financial statements and accompanying notes in Part II, Item 8, “Financial Statements and Supplementary Data” of this Form 10-K.</w:t>
      </w:r>
    </w:p>
    <w:p w14:paraId="2A739C0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business, financial condition and operating results of the Company can be a</w:t>
      </w:r>
      <w:r>
        <w:rPr>
          <w:rFonts w:ascii="Helvetica" w:eastAsia="Helvetica" w:hAnsi="Helvetica" w:cs="Helvetica"/>
          <w:sz w:val="18"/>
          <w:szCs w:val="18"/>
        </w:rPr>
        <w:t>ffected by a number of factors, whether currently known or unknown, including but not limited to those described below, any one or more of which could, directly or indirectly, cause the Company’s actual financial condition and operating results to vary mat</w:t>
      </w:r>
      <w:r>
        <w:rPr>
          <w:rFonts w:ascii="Helvetica" w:eastAsia="Helvetica" w:hAnsi="Helvetica" w:cs="Helvetica"/>
          <w:sz w:val="18"/>
          <w:szCs w:val="18"/>
        </w:rPr>
        <w:t>erially from past, or from anticipated future, financial condition and operating results. Any of these factors, in whole or in part, could materially and adversely affect the Company’s business, financial condition, operating results and stock price.</w:t>
      </w:r>
    </w:p>
    <w:p w14:paraId="2A739C0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Becau</w:t>
      </w:r>
      <w:r>
        <w:rPr>
          <w:rFonts w:ascii="Helvetica" w:eastAsia="Helvetica" w:hAnsi="Helvetica" w:cs="Helvetica"/>
          <w:sz w:val="18"/>
          <w:szCs w:val="18"/>
        </w:rPr>
        <w:t>se of the following factors, as well as other factors affecting the Company’s financial condition and operating results, past financial performance should not be considered to be a reliable indicator of future performance, and investors should not use hist</w:t>
      </w:r>
      <w:r>
        <w:rPr>
          <w:rFonts w:ascii="Helvetica" w:eastAsia="Helvetica" w:hAnsi="Helvetica" w:cs="Helvetica"/>
          <w:sz w:val="18"/>
          <w:szCs w:val="18"/>
        </w:rPr>
        <w:t>orical trends to anticipate results or trends in future periods.</w:t>
      </w:r>
    </w:p>
    <w:p w14:paraId="2A739C0F"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Global and regional economic conditions could materially adversely affect the Company’s business, results of operations, financial condition and growth.</w:t>
      </w:r>
    </w:p>
    <w:p w14:paraId="2A739C1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international operatio</w:t>
      </w:r>
      <w:r>
        <w:rPr>
          <w:rFonts w:ascii="Helvetica" w:eastAsia="Helvetica" w:hAnsi="Helvetica" w:cs="Helvetica"/>
          <w:sz w:val="18"/>
          <w:szCs w:val="18"/>
        </w:rPr>
        <w:t>ns with sales outside the U.S. representing a majority of the Company’s total net sales. In addition, a majority of the Company’s supply chain, and its manufacturing and assembly activities, are located outside the U.S. As a result, the Company’s operation</w:t>
      </w:r>
      <w:r>
        <w:rPr>
          <w:rFonts w:ascii="Helvetica" w:eastAsia="Helvetica" w:hAnsi="Helvetica" w:cs="Helvetica"/>
          <w:sz w:val="18"/>
          <w:szCs w:val="18"/>
        </w:rPr>
        <w:t>s and performance depend significantly on global and regional economic conditions.</w:t>
      </w:r>
    </w:p>
    <w:p w14:paraId="2A739C1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Adverse macroeconomic conditions, including inflation, slower growth or recession, new or increased tariffs, changes to fiscal and monetary policy, tighter credit, higher in</w:t>
      </w:r>
      <w:r>
        <w:rPr>
          <w:rFonts w:ascii="Helvetica" w:eastAsia="Helvetica" w:hAnsi="Helvetica" w:cs="Helvetica"/>
          <w:sz w:val="18"/>
          <w:szCs w:val="18"/>
        </w:rPr>
        <w:t>terest rates, high unemployment and currency fluctuations could materially adversely affect demand for the Company’s products and services. In addition, consumer confidence and spending could be adversely affected in response to financial market volatility</w:t>
      </w:r>
      <w:r>
        <w:rPr>
          <w:rFonts w:ascii="Helvetica" w:eastAsia="Helvetica" w:hAnsi="Helvetica" w:cs="Helvetica"/>
          <w:sz w:val="18"/>
          <w:szCs w:val="18"/>
        </w:rPr>
        <w:t xml:space="preserve">, negative financial news, conditions in the real estate and mortgage markets, declines in income or asset values, changes to fuel and other energy costs, labor and healthcare costs and other economic factors. </w:t>
      </w:r>
    </w:p>
    <w:p w14:paraId="2A739C1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In addition to an adverse impact on demand fo</w:t>
      </w:r>
      <w:r>
        <w:rPr>
          <w:rFonts w:ascii="Helvetica" w:eastAsia="Helvetica" w:hAnsi="Helvetica" w:cs="Helvetica"/>
          <w:sz w:val="18"/>
          <w:szCs w:val="18"/>
        </w:rPr>
        <w:t xml:space="preserve">r the Company’s products, uncertainty about, or a decline in, global or regional economic conditions could have a significant impact on the Company’s suppliers, contract manufacturers, logistics providers, distributors, cellular network carriers and other </w:t>
      </w:r>
      <w:r>
        <w:rPr>
          <w:rFonts w:ascii="Helvetica" w:eastAsia="Helvetica" w:hAnsi="Helvetica" w:cs="Helvetica"/>
          <w:sz w:val="18"/>
          <w:szCs w:val="18"/>
        </w:rPr>
        <w:t>channel partners. Potential effects include financial instability; inability to obtain credit to finance operations and purchases of the Company’s products; and insolvency.</w:t>
      </w:r>
    </w:p>
    <w:p w14:paraId="2A739C1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 downturn in the economic environment could also lead to increased credit and coll</w:t>
      </w:r>
      <w:r>
        <w:rPr>
          <w:rFonts w:ascii="Helvetica" w:eastAsia="Helvetica" w:hAnsi="Helvetica" w:cs="Helvetica"/>
          <w:sz w:val="18"/>
          <w:szCs w:val="18"/>
        </w:rPr>
        <w:t>ectibility risk on the Company’s trade receivables; the failure of derivative counterparties and other financial institutions; limitations on the Company’s ability to issue new debt; reduced liquidity; and declines in the fair value of the Company’s financ</w:t>
      </w:r>
      <w:r>
        <w:rPr>
          <w:rFonts w:ascii="Helvetica" w:eastAsia="Helvetica" w:hAnsi="Helvetica" w:cs="Helvetica"/>
          <w:sz w:val="18"/>
          <w:szCs w:val="18"/>
        </w:rPr>
        <w:t>ial instruments. These and other economic factors could materially adversely affect the Company’s business, results of operations, financial condition and growth.</w:t>
      </w:r>
    </w:p>
    <w:p w14:paraId="2A739C1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 xml:space="preserve">Global markets for the Company’s products and services are highly competitive and </w:t>
      </w:r>
      <w:r>
        <w:rPr>
          <w:rFonts w:ascii="Helvetica" w:eastAsia="Helvetica" w:hAnsi="Helvetica" w:cs="Helvetica"/>
          <w:b/>
          <w:bCs/>
          <w:i/>
          <w:iCs/>
          <w:sz w:val="18"/>
          <w:szCs w:val="18"/>
        </w:rPr>
        <w:t>subject to rapid technological change, and the Company may be unable to compete effectively in these markets.</w:t>
      </w:r>
    </w:p>
    <w:p w14:paraId="2A739C1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products and services are offered in highly competitive global markets characterized by aggressive price competition and resulting d</w:t>
      </w:r>
      <w:r>
        <w:rPr>
          <w:rFonts w:ascii="Helvetica" w:eastAsia="Helvetica" w:hAnsi="Helvetica" w:cs="Helvetica"/>
          <w:sz w:val="18"/>
          <w:szCs w:val="18"/>
        </w:rPr>
        <w:t xml:space="preserve">ownward pressure on gross margins, frequent introduction of new products and services, short product life cycles, evolving industry standards, continual improvement in product price/performance characteristics, rapid adoption of technological advancements </w:t>
      </w:r>
      <w:r>
        <w:rPr>
          <w:rFonts w:ascii="Helvetica" w:eastAsia="Helvetica" w:hAnsi="Helvetica" w:cs="Helvetica"/>
          <w:sz w:val="18"/>
          <w:szCs w:val="18"/>
        </w:rPr>
        <w:t>by competitors, and price sensitivity on the part of consumers and businesses.</w:t>
      </w:r>
    </w:p>
    <w:p w14:paraId="2A739C1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ability to compete successfully depends heavily on its ability to ensure a continuing and timely introduction of innovative new products, services and technologies</w:t>
      </w:r>
      <w:r>
        <w:rPr>
          <w:rFonts w:ascii="Helvetica" w:eastAsia="Helvetica" w:hAnsi="Helvetica" w:cs="Helvetica"/>
          <w:sz w:val="18"/>
          <w:szCs w:val="18"/>
        </w:rPr>
        <w:t xml:space="preserve"> to the marketplace. The Company believes it is unique in that it designs and develops nearly the entire solution for its products, including the hardware, operating system, numerous software applications and related services. As a result, the Company must</w:t>
      </w:r>
      <w:r>
        <w:rPr>
          <w:rFonts w:ascii="Helvetica" w:eastAsia="Helvetica" w:hAnsi="Helvetica" w:cs="Helvetica"/>
          <w:sz w:val="18"/>
          <w:szCs w:val="18"/>
        </w:rPr>
        <w:t xml:space="preserve"> make significant investments in R&amp;D. There can be no assurance that these investments will achieve expected returns, and the Company may not be able to develop and market new products and services successfully.</w:t>
      </w:r>
    </w:p>
    <w:p w14:paraId="2A739C1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currently holds a significant nu</w:t>
      </w:r>
      <w:r>
        <w:rPr>
          <w:rFonts w:ascii="Helvetica" w:eastAsia="Helvetica" w:hAnsi="Helvetica" w:cs="Helvetica"/>
          <w:sz w:val="18"/>
          <w:szCs w:val="18"/>
        </w:rPr>
        <w:t>mber of patents, trademarks and copyrights and has registered, and applied to register, numerous patents, trademarks and copyrights. In contrast, many of the Company’s competitors seek to compete primarily through aggressive pricing and very low cost struc</w:t>
      </w:r>
      <w:r>
        <w:rPr>
          <w:rFonts w:ascii="Helvetica" w:eastAsia="Helvetica" w:hAnsi="Helvetica" w:cs="Helvetica"/>
          <w:sz w:val="18"/>
          <w:szCs w:val="18"/>
        </w:rPr>
        <w:t>tures, and emulating the Company’s products and infringing on its intellectual property. If the Company is unable to continue to develop and sell innovative new products with attractive margins or if competitors infringe on the Company’s intellectual prope</w:t>
      </w:r>
      <w:r>
        <w:rPr>
          <w:rFonts w:ascii="Helvetica" w:eastAsia="Helvetica" w:hAnsi="Helvetica" w:cs="Helvetica"/>
          <w:sz w:val="18"/>
          <w:szCs w:val="18"/>
        </w:rPr>
        <w:t>rty, the Company’s ability to maintain a competitive advantage could be adversely affected.</w:t>
      </w:r>
    </w:p>
    <w:p w14:paraId="2A739C18" w14:textId="77777777" w:rsidR="00FA5565" w:rsidRDefault="00FA5565">
      <w:pPr>
        <w:rPr>
          <w:rFonts w:ascii="Times New Roman" w:hAnsi="Times New Roman"/>
          <w:sz w:val="20"/>
          <w:szCs w:val="20"/>
        </w:rPr>
      </w:pPr>
    </w:p>
    <w:p w14:paraId="2A739C19"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5</w:t>
      </w:r>
    </w:p>
    <w:p w14:paraId="2A739C1A" w14:textId="77777777" w:rsidR="00FA5565" w:rsidRDefault="00D804D1">
      <w:r>
        <w:rPr>
          <w:rFonts w:ascii="Times New Roman" w:hAnsi="Times New Roman"/>
          <w:sz w:val="16"/>
          <w:szCs w:val="16"/>
        </w:rPr>
        <w:pict w14:anchorId="2A73C09F">
          <v:rect id="_x0000_i1031" style="width:415.3pt;height:1.5pt" o:hralign="center" o:hrstd="t" o:hr="t" fillcolor="#a0a0a0" stroked="f"/>
        </w:pict>
      </w:r>
    </w:p>
    <w:p w14:paraId="2A739C1B" w14:textId="77777777" w:rsidR="00FA5565" w:rsidRDefault="00FA5565">
      <w:pPr>
        <w:rPr>
          <w:rFonts w:ascii="Times New Roman" w:hAnsi="Times New Roman"/>
          <w:sz w:val="20"/>
          <w:szCs w:val="20"/>
        </w:rPr>
      </w:pPr>
    </w:p>
    <w:p w14:paraId="2A739C1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a minority market share in the global smartphone, personal computer and tablet markets. The Company faces substa</w:t>
      </w:r>
      <w:r>
        <w:rPr>
          <w:rFonts w:ascii="Helvetica" w:eastAsia="Helvetica" w:hAnsi="Helvetica" w:cs="Helvetica"/>
          <w:sz w:val="18"/>
          <w:szCs w:val="18"/>
        </w:rPr>
        <w:t>ntial competition in these markets from companies that have significant technical, marketing, distribution and other resources, as well as established hardware, software and digital content supplier relationships. In addition, some of the Company’s competi</w:t>
      </w:r>
      <w:r>
        <w:rPr>
          <w:rFonts w:ascii="Helvetica" w:eastAsia="Helvetica" w:hAnsi="Helvetica" w:cs="Helvetica"/>
          <w:sz w:val="18"/>
          <w:szCs w:val="18"/>
        </w:rPr>
        <w:t>tors have broader product lines, lower-priced products and a larger installed base of active devices. Competition has been particularly intense as competitors have aggressively cut prices and lowered product margins. Certain competitors may have the resour</w:t>
      </w:r>
      <w:r>
        <w:rPr>
          <w:rFonts w:ascii="Helvetica" w:eastAsia="Helvetica" w:hAnsi="Helvetica" w:cs="Helvetica"/>
          <w:sz w:val="18"/>
          <w:szCs w:val="18"/>
        </w:rPr>
        <w:t>ces, experience or cost structures to provide products at little or no profit or even at a loss.</w:t>
      </w:r>
    </w:p>
    <w:p w14:paraId="2A739C1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Additionally, the Company faces significant competition as competitors imitate the Company’s product features and applications within their products or collabo</w:t>
      </w:r>
      <w:r>
        <w:rPr>
          <w:rFonts w:ascii="Helvetica" w:eastAsia="Helvetica" w:hAnsi="Helvetica" w:cs="Helvetica"/>
          <w:sz w:val="18"/>
          <w:szCs w:val="18"/>
        </w:rPr>
        <w:t>rate to offer solutions that are more competitive than those they currently offer. The Company also expects competition to intensify as competitors imitate the Company’s approach to providing components seamlessly within their offerings or work collaborati</w:t>
      </w:r>
      <w:r>
        <w:rPr>
          <w:rFonts w:ascii="Helvetica" w:eastAsia="Helvetica" w:hAnsi="Helvetica" w:cs="Helvetica"/>
          <w:sz w:val="18"/>
          <w:szCs w:val="18"/>
        </w:rPr>
        <w:t>vely to offer integrated solutions.</w:t>
      </w:r>
    </w:p>
    <w:p w14:paraId="2A739C1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Some of the markets in which the Company competes have from time to time experienced little to no growth or contracted. In addition, an increasing number of Internet-enabled devices that include software applications and</w:t>
      </w:r>
      <w:r>
        <w:rPr>
          <w:rFonts w:ascii="Helvetica" w:eastAsia="Helvetica" w:hAnsi="Helvetica" w:cs="Helvetica"/>
          <w:sz w:val="18"/>
          <w:szCs w:val="18"/>
        </w:rPr>
        <w:t xml:space="preserve"> are smaller, simpler and cheaper than traditional personal computers compete with some of the Company’s existing products.</w:t>
      </w:r>
    </w:p>
    <w:p w14:paraId="2A739C1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services also face substantial competition, including from companies that have significant resources and experience an</w:t>
      </w:r>
      <w:r>
        <w:rPr>
          <w:rFonts w:ascii="Helvetica" w:eastAsia="Helvetica" w:hAnsi="Helvetica" w:cs="Helvetica"/>
          <w:sz w:val="18"/>
          <w:szCs w:val="18"/>
        </w:rPr>
        <w:t>d have established service offerings with large customer bases. The Company competes with business models that provide content to users for free. The Company also competes with illegitimate means to obtain third-party digital content and applications.</w:t>
      </w:r>
    </w:p>
    <w:p w14:paraId="2A739C2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w:t>
      </w:r>
      <w:r>
        <w:rPr>
          <w:rFonts w:ascii="Helvetica" w:eastAsia="Helvetica" w:hAnsi="Helvetica" w:cs="Helvetica"/>
          <w:sz w:val="18"/>
          <w:szCs w:val="18"/>
        </w:rPr>
        <w:t>Company’s financial condition and operating results depend substantially on the Company’s ability to continually improve its products and services to maintain their functional and design advantages. There can be no assurance the Company will be able to con</w:t>
      </w:r>
      <w:r>
        <w:rPr>
          <w:rFonts w:ascii="Helvetica" w:eastAsia="Helvetica" w:hAnsi="Helvetica" w:cs="Helvetica"/>
          <w:sz w:val="18"/>
          <w:szCs w:val="18"/>
        </w:rPr>
        <w:t>tinue to provide products and services that compete effectively.</w:t>
      </w:r>
    </w:p>
    <w:p w14:paraId="2A739C21"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To remain competitive and stimulate customer demand, the Company must successfully manage frequent introductions and transitions of products and services.</w:t>
      </w:r>
    </w:p>
    <w:p w14:paraId="2A739C2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Due to the highly volatile and compe</w:t>
      </w:r>
      <w:r>
        <w:rPr>
          <w:rFonts w:ascii="Helvetica" w:eastAsia="Helvetica" w:hAnsi="Helvetica" w:cs="Helvetica"/>
          <w:sz w:val="18"/>
          <w:szCs w:val="18"/>
        </w:rPr>
        <w:t>titive nature of the industries in which the Company competes, the Company must continually introduce new products, services and technologies, enhance existing products and services, effectively stimulate customer demand for new and upgraded products and s</w:t>
      </w:r>
      <w:r>
        <w:rPr>
          <w:rFonts w:ascii="Helvetica" w:eastAsia="Helvetica" w:hAnsi="Helvetica" w:cs="Helvetica"/>
          <w:sz w:val="18"/>
          <w:szCs w:val="18"/>
        </w:rPr>
        <w:t>ervices, and successfully manage the transition to these new and upgraded products and services. The success of new product and service introductions depends on a number of factors including, but not limited to, timely and successful development, market ac</w:t>
      </w:r>
      <w:r>
        <w:rPr>
          <w:rFonts w:ascii="Helvetica" w:eastAsia="Helvetica" w:hAnsi="Helvetica" w:cs="Helvetica"/>
          <w:sz w:val="18"/>
          <w:szCs w:val="18"/>
        </w:rPr>
        <w:t>ceptance, the Company’s ability to manage the risks associated with new product production ramp-up issues, the availability of application software for new products, the effective management of purchase commitments and inventory levels in line with anticip</w:t>
      </w:r>
      <w:r>
        <w:rPr>
          <w:rFonts w:ascii="Helvetica" w:eastAsia="Helvetica" w:hAnsi="Helvetica" w:cs="Helvetica"/>
          <w:sz w:val="18"/>
          <w:szCs w:val="18"/>
        </w:rPr>
        <w:t>ated product demand, the availability of products in appropriate quantities and at expected costs to meet anticipated demand, and the risk that new products and services may have quality or other defects or deficiencies. Accordingly, the Company cannot det</w:t>
      </w:r>
      <w:r>
        <w:rPr>
          <w:rFonts w:ascii="Helvetica" w:eastAsia="Helvetica" w:hAnsi="Helvetica" w:cs="Helvetica"/>
          <w:sz w:val="18"/>
          <w:szCs w:val="18"/>
        </w:rPr>
        <w:t>ermine in advance the ultimate effect of new product and service introductions and transitions.</w:t>
      </w:r>
    </w:p>
    <w:p w14:paraId="2A739C23"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 depends on the performance of carriers, wholesalers, retailers and other resellers.</w:t>
      </w:r>
    </w:p>
    <w:p w14:paraId="2A739C2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distributes its products through cellular </w:t>
      </w:r>
      <w:r>
        <w:rPr>
          <w:rFonts w:ascii="Helvetica" w:eastAsia="Helvetica" w:hAnsi="Helvetica" w:cs="Helvetica"/>
          <w:sz w:val="18"/>
          <w:szCs w:val="18"/>
        </w:rPr>
        <w:t>network carriers, wholesalers, retailers and resellers, many of whom distribute products from competing manufacturers. The Company also sells its products and resells third-party products in most of its major markets directly to consumers, small and mid-si</w:t>
      </w:r>
      <w:r>
        <w:rPr>
          <w:rFonts w:ascii="Helvetica" w:eastAsia="Helvetica" w:hAnsi="Helvetica" w:cs="Helvetica"/>
          <w:sz w:val="18"/>
          <w:szCs w:val="18"/>
        </w:rPr>
        <w:t>zed businesses, and education, enterprise and government customers through its retail and online stores and its direct sales force.</w:t>
      </w:r>
    </w:p>
    <w:p w14:paraId="2A739C2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Some carriers providing cellular network service for iPhone offer financing, installment payment plans or subsidies for user</w:t>
      </w:r>
      <w:r>
        <w:rPr>
          <w:rFonts w:ascii="Helvetica" w:eastAsia="Helvetica" w:hAnsi="Helvetica" w:cs="Helvetica"/>
          <w:sz w:val="18"/>
          <w:szCs w:val="18"/>
        </w:rPr>
        <w:t>s’ purchases of the device. There is no assurance that such offers will be continued at all or in the same amounts upon renewal of the Company’s agreements with these carriers or in agreements the Company enters into with new carriers.</w:t>
      </w:r>
    </w:p>
    <w:p w14:paraId="2A739C2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inve</w:t>
      </w:r>
      <w:r>
        <w:rPr>
          <w:rFonts w:ascii="Helvetica" w:eastAsia="Helvetica" w:hAnsi="Helvetica" w:cs="Helvetica"/>
          <w:sz w:val="18"/>
          <w:szCs w:val="18"/>
        </w:rPr>
        <w:t>sted and will continue to invest in programs to enhance reseller sales, including staffing selected resellers’ stores with Company employees and contractors, and improving product placement displays. These programs can require a substantial investment whil</w:t>
      </w:r>
      <w:r>
        <w:rPr>
          <w:rFonts w:ascii="Helvetica" w:eastAsia="Helvetica" w:hAnsi="Helvetica" w:cs="Helvetica"/>
          <w:sz w:val="18"/>
          <w:szCs w:val="18"/>
        </w:rPr>
        <w:t>e not assuring return or incremental sales. The financial condition of these resellers could weaken, these resellers could stop distributing the Company’s products, or uncertainty regarding demand for some or all of the Company’s products could cause resel</w:t>
      </w:r>
      <w:r>
        <w:rPr>
          <w:rFonts w:ascii="Helvetica" w:eastAsia="Helvetica" w:hAnsi="Helvetica" w:cs="Helvetica"/>
          <w:sz w:val="18"/>
          <w:szCs w:val="18"/>
        </w:rPr>
        <w:t>lers to reduce their ordering and marketing of the Company’s products.</w:t>
      </w:r>
    </w:p>
    <w:p w14:paraId="2A739C27" w14:textId="77777777" w:rsidR="00FA5565" w:rsidRDefault="00FA5565">
      <w:pPr>
        <w:rPr>
          <w:rFonts w:ascii="Times New Roman" w:hAnsi="Times New Roman"/>
          <w:sz w:val="20"/>
          <w:szCs w:val="20"/>
        </w:rPr>
      </w:pPr>
    </w:p>
    <w:p w14:paraId="2A739C28"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6</w:t>
      </w:r>
    </w:p>
    <w:p w14:paraId="2A739C29" w14:textId="77777777" w:rsidR="00FA5565" w:rsidRDefault="00D804D1">
      <w:r>
        <w:rPr>
          <w:rFonts w:ascii="Times New Roman" w:hAnsi="Times New Roman"/>
          <w:sz w:val="16"/>
          <w:szCs w:val="16"/>
        </w:rPr>
        <w:pict w14:anchorId="2A73C0A0">
          <v:rect id="_x0000_i1032" style="width:415.3pt;height:1.5pt" o:hralign="center" o:hrstd="t" o:hr="t" fillcolor="#a0a0a0" stroked="f"/>
        </w:pict>
      </w:r>
    </w:p>
    <w:p w14:paraId="2A739C2A" w14:textId="77777777" w:rsidR="00FA5565" w:rsidRDefault="00FA5565">
      <w:pPr>
        <w:rPr>
          <w:rFonts w:ascii="Times New Roman" w:hAnsi="Times New Roman"/>
          <w:sz w:val="20"/>
          <w:szCs w:val="20"/>
        </w:rPr>
      </w:pPr>
    </w:p>
    <w:p w14:paraId="2A739C2B"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 is exposed to the risk of write-downs on the value of its inventory and other assets, in addition to purchase commitment cancellation ris</w:t>
      </w:r>
      <w:r>
        <w:rPr>
          <w:rFonts w:ascii="Helvetica" w:eastAsia="Helvetica" w:hAnsi="Helvetica" w:cs="Helvetica"/>
          <w:b/>
          <w:bCs/>
          <w:i/>
          <w:iCs/>
          <w:sz w:val="18"/>
          <w:szCs w:val="18"/>
        </w:rPr>
        <w:t>k.</w:t>
      </w:r>
    </w:p>
    <w:p w14:paraId="2A739C2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records a write-down for product and component inventories that have become obsolete or exceed anticipated demand, or for which cost exceeds net realizable value. The Company also accrues necessary cancellation fee reserves for orders of exc</w:t>
      </w:r>
      <w:r>
        <w:rPr>
          <w:rFonts w:ascii="Helvetica" w:eastAsia="Helvetica" w:hAnsi="Helvetica" w:cs="Helvetica"/>
          <w:sz w:val="18"/>
          <w:szCs w:val="18"/>
        </w:rPr>
        <w:t>ess products and components. The Company reviews long-lived assets, including capital assets held at its suppliers’ facilities and inventory prepayments, for impairment whenever events or circumstances indicate the assets may not be recoverable. If the Com</w:t>
      </w:r>
      <w:r>
        <w:rPr>
          <w:rFonts w:ascii="Helvetica" w:eastAsia="Helvetica" w:hAnsi="Helvetica" w:cs="Helvetica"/>
          <w:sz w:val="18"/>
          <w:szCs w:val="18"/>
        </w:rPr>
        <w:t>pany determines that an impairment has occurred, it records a write-down equal to the amount by which the carrying value of the asset exceeds its fair value. Although the Company believes its inventory, capital assets, inventory prepayments and other asset</w:t>
      </w:r>
      <w:r>
        <w:rPr>
          <w:rFonts w:ascii="Helvetica" w:eastAsia="Helvetica" w:hAnsi="Helvetica" w:cs="Helvetica"/>
          <w:sz w:val="18"/>
          <w:szCs w:val="18"/>
        </w:rPr>
        <w:t>s and purchase commitments are currently recoverable, no assurance can be given that the Company will not incur write-downs, fees, impairments and other charges given the rapid and unpredictable pace of product obsolescence in the industries in which the C</w:t>
      </w:r>
      <w:r>
        <w:rPr>
          <w:rFonts w:ascii="Helvetica" w:eastAsia="Helvetica" w:hAnsi="Helvetica" w:cs="Helvetica"/>
          <w:sz w:val="18"/>
          <w:szCs w:val="18"/>
        </w:rPr>
        <w:t>ompany competes.</w:t>
      </w:r>
    </w:p>
    <w:p w14:paraId="2A739C2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orders components for its products and builds inventory in advance of product announcements and shipments. Manufacturing purchase obligations cover the Company’s forecasted component and manufacturing requirements, typically fo</w:t>
      </w:r>
      <w:r>
        <w:rPr>
          <w:rFonts w:ascii="Helvetica" w:eastAsia="Helvetica" w:hAnsi="Helvetica" w:cs="Helvetica"/>
          <w:sz w:val="18"/>
          <w:szCs w:val="18"/>
        </w:rPr>
        <w:t xml:space="preserve">r periods up to 150 days. Because the Company’s markets are volatile, competitive and subject to rapid technology and price changes, there is a risk the Company will forecast incorrectly and order or produce excess or insufficient amounts of components or </w:t>
      </w:r>
      <w:r>
        <w:rPr>
          <w:rFonts w:ascii="Helvetica" w:eastAsia="Helvetica" w:hAnsi="Helvetica" w:cs="Helvetica"/>
          <w:sz w:val="18"/>
          <w:szCs w:val="18"/>
        </w:rPr>
        <w:t>products, or not fully utilize firm purchase commitments.</w:t>
      </w:r>
    </w:p>
    <w:p w14:paraId="2A739C2E"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Future operating results depend upon the Company’s ability to obtain components in sufficient quantities on commercially reasonable terms.</w:t>
      </w:r>
    </w:p>
    <w:p w14:paraId="2A739C2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Because the Company currently obtains certain components from single or limited sources, the Company is subject to significant supply and pricing risks. Many components, including those that are available from multiple sources, are at times subject to indu</w:t>
      </w:r>
      <w:r>
        <w:rPr>
          <w:rFonts w:ascii="Helvetica" w:eastAsia="Helvetica" w:hAnsi="Helvetica" w:cs="Helvetica"/>
          <w:sz w:val="18"/>
          <w:szCs w:val="18"/>
        </w:rPr>
        <w:t>stry-wide shortages and significant commodity pricing fluctuations that could materially adversely affect the Company’s financial condition and operating results. While the Company has entered into agreements for the supply of many components, there can be</w:t>
      </w:r>
      <w:r>
        <w:rPr>
          <w:rFonts w:ascii="Helvetica" w:eastAsia="Helvetica" w:hAnsi="Helvetica" w:cs="Helvetica"/>
          <w:sz w:val="18"/>
          <w:szCs w:val="18"/>
        </w:rPr>
        <w:t xml:space="preserve"> no assurance that the Company will be able to extend or renew these agreements on similar terms, or at all. Component suppliers may suffer from poor financial conditions, which can lead to business failure for the supplier or consolidation within a partic</w:t>
      </w:r>
      <w:r>
        <w:rPr>
          <w:rFonts w:ascii="Helvetica" w:eastAsia="Helvetica" w:hAnsi="Helvetica" w:cs="Helvetica"/>
          <w:sz w:val="18"/>
          <w:szCs w:val="18"/>
        </w:rPr>
        <w:t xml:space="preserve">ular industry, further limiting the Company’s ability to obtain sufficient quantities of components on commercially reasonable terms. The effects of global or regional economic conditions on the Company’s suppliers, described in </w:t>
      </w:r>
      <w:r>
        <w:rPr>
          <w:rFonts w:ascii="Helvetica" w:eastAsia="Helvetica" w:hAnsi="Helvetica" w:cs="Helvetica"/>
          <w:i/>
          <w:iCs/>
          <w:sz w:val="18"/>
          <w:szCs w:val="18"/>
        </w:rPr>
        <w:t>“</w:t>
      </w:r>
      <w:r>
        <w:rPr>
          <w:rFonts w:ascii="Helvetica" w:eastAsia="Helvetica" w:hAnsi="Helvetica" w:cs="Helvetica"/>
          <w:i/>
          <w:iCs/>
          <w:sz w:val="18"/>
          <w:szCs w:val="18"/>
        </w:rPr>
        <w:t>Global and regional econom</w:t>
      </w:r>
      <w:r>
        <w:rPr>
          <w:rFonts w:ascii="Helvetica" w:eastAsia="Helvetica" w:hAnsi="Helvetica" w:cs="Helvetica"/>
          <w:i/>
          <w:iCs/>
          <w:sz w:val="18"/>
          <w:szCs w:val="18"/>
        </w:rPr>
        <w:t>ic conditions could materially adversely affect the Company’s business, results of operations, financial condition and growth</w:t>
      </w:r>
      <w:r>
        <w:rPr>
          <w:rFonts w:ascii="Helvetica" w:eastAsia="Helvetica" w:hAnsi="Helvetica" w:cs="Helvetica"/>
          <w:i/>
          <w:iCs/>
          <w:sz w:val="18"/>
          <w:szCs w:val="18"/>
        </w:rPr>
        <w:t>,”</w:t>
      </w:r>
      <w:r>
        <w:rPr>
          <w:rFonts w:ascii="Helvetica" w:eastAsia="Helvetica" w:hAnsi="Helvetica" w:cs="Helvetica"/>
          <w:sz w:val="18"/>
          <w:szCs w:val="18"/>
        </w:rPr>
        <w:t xml:space="preserve"> above, also could affect the Company’s ability to obtain components</w:t>
      </w:r>
      <w:r>
        <w:rPr>
          <w:rFonts w:ascii="Helvetica" w:eastAsia="Helvetica" w:hAnsi="Helvetica" w:cs="Helvetica"/>
          <w:i/>
          <w:iCs/>
          <w:sz w:val="18"/>
          <w:szCs w:val="18"/>
        </w:rPr>
        <w:t xml:space="preserve">. </w:t>
      </w:r>
      <w:r>
        <w:rPr>
          <w:rFonts w:ascii="Helvetica" w:eastAsia="Helvetica" w:hAnsi="Helvetica" w:cs="Helvetica"/>
          <w:sz w:val="18"/>
          <w:szCs w:val="18"/>
        </w:rPr>
        <w:t>Therefore, the Company remains subject to significant risks</w:t>
      </w:r>
      <w:r>
        <w:rPr>
          <w:rFonts w:ascii="Helvetica" w:eastAsia="Helvetica" w:hAnsi="Helvetica" w:cs="Helvetica"/>
          <w:sz w:val="18"/>
          <w:szCs w:val="18"/>
        </w:rPr>
        <w:t xml:space="preserve"> of supply shortages and price increases that could materially adversely affect its financial condition and operating results.</w:t>
      </w:r>
    </w:p>
    <w:p w14:paraId="2A739C3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new products often utilize custom components available from only one source. When a component or product uses new t</w:t>
      </w:r>
      <w:r>
        <w:rPr>
          <w:rFonts w:ascii="Helvetica" w:eastAsia="Helvetica" w:hAnsi="Helvetica" w:cs="Helvetica"/>
          <w:sz w:val="18"/>
          <w:szCs w:val="18"/>
        </w:rPr>
        <w:t>echnologies, initial capacity constraints may exist until the suppliers’ yields have matured or their manufacturing capacities have increased. The continued availability of these components at acceptable prices, or at all, can be affected for any number of</w:t>
      </w:r>
      <w:r>
        <w:rPr>
          <w:rFonts w:ascii="Helvetica" w:eastAsia="Helvetica" w:hAnsi="Helvetica" w:cs="Helvetica"/>
          <w:sz w:val="18"/>
          <w:szCs w:val="18"/>
        </w:rPr>
        <w:t xml:space="preserve"> reasons, including if suppliers decide to concentrate on the production of common components instead of components customized to meet the Company’s requirements. If the Company’s supply of components for a new or existing product were delayed or constrain</w:t>
      </w:r>
      <w:r>
        <w:rPr>
          <w:rFonts w:ascii="Helvetica" w:eastAsia="Helvetica" w:hAnsi="Helvetica" w:cs="Helvetica"/>
          <w:sz w:val="18"/>
          <w:szCs w:val="18"/>
        </w:rPr>
        <w:t>ed, or if an outsourcing partner delayed shipments of completed products to the Company, the Company’s financial condition and operating results could be materially adversely affected. The Company’s business and financial performance could also be material</w:t>
      </w:r>
      <w:r>
        <w:rPr>
          <w:rFonts w:ascii="Helvetica" w:eastAsia="Helvetica" w:hAnsi="Helvetica" w:cs="Helvetica"/>
          <w:sz w:val="18"/>
          <w:szCs w:val="18"/>
        </w:rPr>
        <w:t>ly adversely affected depending on the time required to obtain sufficient quantities from the source, or to identify and obtain sufficient quantities from an alternative source.</w:t>
      </w:r>
    </w:p>
    <w:p w14:paraId="2A739C31"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 depends on component and product manufacturing and logistical serv</w:t>
      </w:r>
      <w:r>
        <w:rPr>
          <w:rFonts w:ascii="Helvetica" w:eastAsia="Helvetica" w:hAnsi="Helvetica" w:cs="Helvetica"/>
          <w:b/>
          <w:bCs/>
          <w:i/>
          <w:iCs/>
          <w:sz w:val="18"/>
          <w:szCs w:val="18"/>
        </w:rPr>
        <w:t>ices provided by outsourcing partners, many of which are located outside of the U.S.</w:t>
      </w:r>
    </w:p>
    <w:p w14:paraId="2A739C3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Substantially all of the Company’s manufacturing is performed in whole or in part by outsourcing partners located primarily in Asia. A significant concentration of this ma</w:t>
      </w:r>
      <w:r>
        <w:rPr>
          <w:rFonts w:ascii="Helvetica" w:eastAsia="Helvetica" w:hAnsi="Helvetica" w:cs="Helvetica"/>
          <w:sz w:val="18"/>
          <w:szCs w:val="18"/>
        </w:rPr>
        <w:t>nufacturing is currently performed by a small number of outsourcing partners, often in single locations. The Company has also outsourced much of its transportation and logistics management. While these arrangements can lower operating costs, they also redu</w:t>
      </w:r>
      <w:r>
        <w:rPr>
          <w:rFonts w:ascii="Helvetica" w:eastAsia="Helvetica" w:hAnsi="Helvetica" w:cs="Helvetica"/>
          <w:sz w:val="18"/>
          <w:szCs w:val="18"/>
        </w:rPr>
        <w:t>ce the Company’s direct control over production and distribution. Such diminished control may have an adverse effect on the quality or quantity of products or services, or the Company’s flexibility to respond to changing conditions. Although arrangements w</w:t>
      </w:r>
      <w:r>
        <w:rPr>
          <w:rFonts w:ascii="Helvetica" w:eastAsia="Helvetica" w:hAnsi="Helvetica" w:cs="Helvetica"/>
          <w:sz w:val="18"/>
          <w:szCs w:val="18"/>
        </w:rPr>
        <w:t>ith these partners may contain provisions for product defect expense reimbursement, the Company generally remains responsible to the consumer for warranty and out-of-warranty service in the event of product defects and could experience an unanticipated pro</w:t>
      </w:r>
      <w:r>
        <w:rPr>
          <w:rFonts w:ascii="Helvetica" w:eastAsia="Helvetica" w:hAnsi="Helvetica" w:cs="Helvetica"/>
          <w:sz w:val="18"/>
          <w:szCs w:val="18"/>
        </w:rPr>
        <w:t>duct defect liability. While the Company relies on its partners to adhere to its supplier code of conduct, material violations of the supplier code of conduct could occur.</w:t>
      </w:r>
    </w:p>
    <w:p w14:paraId="2A739C3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relies on single-source outsourcing partners in the U.S., Asia and Europ</w:t>
      </w:r>
      <w:r>
        <w:rPr>
          <w:rFonts w:ascii="Helvetica" w:eastAsia="Helvetica" w:hAnsi="Helvetica" w:cs="Helvetica"/>
          <w:sz w:val="18"/>
          <w:szCs w:val="18"/>
        </w:rPr>
        <w:t>e to supply and manufacture many components, and on outsourcing partners primarily located in Asia, for final assembly of substantially all of the Company’s hardware products. Any failure of these partners to perform can have a negative impact on the Compa</w:t>
      </w:r>
      <w:r>
        <w:rPr>
          <w:rFonts w:ascii="Helvetica" w:eastAsia="Helvetica" w:hAnsi="Helvetica" w:cs="Helvetica"/>
          <w:sz w:val="18"/>
          <w:szCs w:val="18"/>
        </w:rPr>
        <w:t>ny’s cost or supply of components or finished goods. In addition, manufacturing or logistics in these locations or transit to final destinations can be disrupted for a variety of reasons including, but not limited to, natural and man-made disasters, inform</w:t>
      </w:r>
      <w:r>
        <w:rPr>
          <w:rFonts w:ascii="Helvetica" w:eastAsia="Helvetica" w:hAnsi="Helvetica" w:cs="Helvetica"/>
          <w:sz w:val="18"/>
          <w:szCs w:val="18"/>
        </w:rPr>
        <w:t>ation technology system failures, commercial disputes, military actions, economic, business, labor, environmental, public health or political issues, or international trade disputes.</w:t>
      </w:r>
    </w:p>
    <w:p w14:paraId="2A739C34" w14:textId="77777777" w:rsidR="00FA5565" w:rsidRDefault="00FA5565">
      <w:pPr>
        <w:rPr>
          <w:rFonts w:ascii="Times New Roman" w:hAnsi="Times New Roman"/>
          <w:sz w:val="20"/>
          <w:szCs w:val="20"/>
        </w:rPr>
      </w:pPr>
    </w:p>
    <w:p w14:paraId="2A739C35"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7</w:t>
      </w:r>
    </w:p>
    <w:p w14:paraId="2A739C36" w14:textId="77777777" w:rsidR="00FA5565" w:rsidRDefault="00D804D1">
      <w:r>
        <w:rPr>
          <w:rFonts w:ascii="Times New Roman" w:hAnsi="Times New Roman"/>
          <w:sz w:val="16"/>
          <w:szCs w:val="16"/>
        </w:rPr>
        <w:pict w14:anchorId="2A73C0A1">
          <v:rect id="_x0000_i1033" style="width:415.3pt;height:1.5pt" o:hralign="center" o:hrstd="t" o:hr="t" fillcolor="#a0a0a0" stroked="f"/>
        </w:pict>
      </w:r>
    </w:p>
    <w:p w14:paraId="2A739C37" w14:textId="77777777" w:rsidR="00FA5565" w:rsidRDefault="00FA5565">
      <w:pPr>
        <w:rPr>
          <w:rFonts w:ascii="Times New Roman" w:hAnsi="Times New Roman"/>
          <w:sz w:val="20"/>
          <w:szCs w:val="20"/>
        </w:rPr>
      </w:pPr>
    </w:p>
    <w:p w14:paraId="2A739C3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invested in manufactu</w:t>
      </w:r>
      <w:r>
        <w:rPr>
          <w:rFonts w:ascii="Helvetica" w:eastAsia="Helvetica" w:hAnsi="Helvetica" w:cs="Helvetica"/>
          <w:sz w:val="18"/>
          <w:szCs w:val="18"/>
        </w:rPr>
        <w:t>ring process equipment, much of which is held at certain of its outsourcing partners, and has made prepayments to certain of its suppliers associated with long-term supply agreements. While these arrangements help ensure the supply of components and finish</w:t>
      </w:r>
      <w:r>
        <w:rPr>
          <w:rFonts w:ascii="Helvetica" w:eastAsia="Helvetica" w:hAnsi="Helvetica" w:cs="Helvetica"/>
          <w:sz w:val="18"/>
          <w:szCs w:val="18"/>
        </w:rPr>
        <w:t>ed goods, if these outsourcing partners or suppliers experience severe financial problems or other disruptions in their business, such continued supply can be reduced or terminated and the recoverability of manufacturing process equipment or prepayments ca</w:t>
      </w:r>
      <w:r>
        <w:rPr>
          <w:rFonts w:ascii="Helvetica" w:eastAsia="Helvetica" w:hAnsi="Helvetica" w:cs="Helvetica"/>
          <w:sz w:val="18"/>
          <w:szCs w:val="18"/>
        </w:rPr>
        <w:t>n be negatively impacted.</w:t>
      </w:r>
    </w:p>
    <w:p w14:paraId="2A739C3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Company’s products and services may be affected from time to time by design and manufacturing defects that could materially adversely affect the Company’s business and result in harm to the Company’s reputation.</w:t>
      </w:r>
    </w:p>
    <w:p w14:paraId="2A739C3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of</w:t>
      </w:r>
      <w:r>
        <w:rPr>
          <w:rFonts w:ascii="Helvetica" w:eastAsia="Helvetica" w:hAnsi="Helvetica" w:cs="Helvetica"/>
          <w:sz w:val="18"/>
          <w:szCs w:val="18"/>
        </w:rPr>
        <w:t>fers complex hardware and software products and services that can be affected by design and manufacturing defects. Sophisticated operating system software and applications, such as those offered by the Company, often have issues that can unexpectedly inter</w:t>
      </w:r>
      <w:r>
        <w:rPr>
          <w:rFonts w:ascii="Helvetica" w:eastAsia="Helvetica" w:hAnsi="Helvetica" w:cs="Helvetica"/>
          <w:sz w:val="18"/>
          <w:szCs w:val="18"/>
        </w:rPr>
        <w:t xml:space="preserve">fere with the intended operation of hardware or software products. Defects can also exist in components and products the Company purchases from third parties. Component defects could make the Company’s products unsafe and create a risk of environmental or </w:t>
      </w:r>
      <w:r>
        <w:rPr>
          <w:rFonts w:ascii="Helvetica" w:eastAsia="Helvetica" w:hAnsi="Helvetica" w:cs="Helvetica"/>
          <w:sz w:val="18"/>
          <w:szCs w:val="18"/>
        </w:rPr>
        <w:t>property damage and personal injury. These risks may increase as the Company’s products are introduced into specialized applications, including healthcare. In addition, the Company’s service offerings may have quality issues and from time to time experienc</w:t>
      </w:r>
      <w:r>
        <w:rPr>
          <w:rFonts w:ascii="Helvetica" w:eastAsia="Helvetica" w:hAnsi="Helvetica" w:cs="Helvetica"/>
          <w:sz w:val="18"/>
          <w:szCs w:val="18"/>
        </w:rPr>
        <w:t xml:space="preserve">e outages, service slowdowns or errors. As a result, the Company’s services may not perform as anticipated and may not meet customer expectations. There can be no assurance the Company will be able to detect and fix all issues and defects in the hardware, </w:t>
      </w:r>
      <w:r>
        <w:rPr>
          <w:rFonts w:ascii="Helvetica" w:eastAsia="Helvetica" w:hAnsi="Helvetica" w:cs="Helvetica"/>
          <w:sz w:val="18"/>
          <w:szCs w:val="18"/>
        </w:rPr>
        <w:t xml:space="preserve">software and services it offers. Failure to do so could result in widespread technical and performance issues affecting the Company’s products and services. In addition, the Company can be exposed to product liability claims, recalls, product replacements </w:t>
      </w:r>
      <w:r>
        <w:rPr>
          <w:rFonts w:ascii="Helvetica" w:eastAsia="Helvetica" w:hAnsi="Helvetica" w:cs="Helvetica"/>
          <w:sz w:val="18"/>
          <w:szCs w:val="18"/>
        </w:rPr>
        <w:t xml:space="preserve">or modifications, write-offs of inventory, property, plant and equipment, and/or intangible assets, and significant warranty and other expenses, including litigation costs and regulatory fines. Quality problems can also adversely affect the experience for </w:t>
      </w:r>
      <w:r>
        <w:rPr>
          <w:rFonts w:ascii="Helvetica" w:eastAsia="Helvetica" w:hAnsi="Helvetica" w:cs="Helvetica"/>
          <w:sz w:val="18"/>
          <w:szCs w:val="18"/>
        </w:rPr>
        <w:t>users of the Company’s products and services, and result in harm to the Company’s reputation, loss of competitive advantage, poor market acceptance, reduced demand for products and services, delay in new product and service introductions and lost sales.</w:t>
      </w:r>
    </w:p>
    <w:p w14:paraId="2A739C3B"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 relies on access to third-party digital content, which may not be available to the Company on commercially reasonable terms or at all.</w:t>
      </w:r>
    </w:p>
    <w:p w14:paraId="2A739C3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contracts with numerous third parties to offer their digital content to customers. This includes </w:t>
      </w:r>
      <w:r>
        <w:rPr>
          <w:rFonts w:ascii="Helvetica" w:eastAsia="Helvetica" w:hAnsi="Helvetica" w:cs="Helvetica"/>
          <w:sz w:val="18"/>
          <w:szCs w:val="18"/>
        </w:rPr>
        <w:t>the right to sell currently available content. The licensing or other distribution arrangements with these third parties are for relatively short terms and do not guarantee the continuation or renewal of these arrangements on commercially reasonable terms,</w:t>
      </w:r>
      <w:r>
        <w:rPr>
          <w:rFonts w:ascii="Helvetica" w:eastAsia="Helvetica" w:hAnsi="Helvetica" w:cs="Helvetica"/>
          <w:sz w:val="18"/>
          <w:szCs w:val="18"/>
        </w:rPr>
        <w:t xml:space="preserve"> if at all. Some third-party content providers and distributors currently or in the future may offer competing products and services, and can take actions to make it more difficult or impossible for the Company to license or otherwise distribute their cont</w:t>
      </w:r>
      <w:r>
        <w:rPr>
          <w:rFonts w:ascii="Helvetica" w:eastAsia="Helvetica" w:hAnsi="Helvetica" w:cs="Helvetica"/>
          <w:sz w:val="18"/>
          <w:szCs w:val="18"/>
        </w:rPr>
        <w:t xml:space="preserve">ent in the future. Other content owners, providers or distributors may seek to limit the Company’s access to, or increase the cost of, such content. The Company may be unable to continue to offer a wide variety of content at commercially reasonable prices </w:t>
      </w:r>
      <w:r>
        <w:rPr>
          <w:rFonts w:ascii="Helvetica" w:eastAsia="Helvetica" w:hAnsi="Helvetica" w:cs="Helvetica"/>
          <w:sz w:val="18"/>
          <w:szCs w:val="18"/>
        </w:rPr>
        <w:t xml:space="preserve">with acceptable usage rules, or continue to expand its geographic reach. Failure to obtain the right to make third-party digital content available, or to make such content available on commercially reasonable terms, could have a material adverse impact on </w:t>
      </w:r>
      <w:r>
        <w:rPr>
          <w:rFonts w:ascii="Helvetica" w:eastAsia="Helvetica" w:hAnsi="Helvetica" w:cs="Helvetica"/>
          <w:sz w:val="18"/>
          <w:szCs w:val="18"/>
        </w:rPr>
        <w:t>the Company’s financial condition and operating results.</w:t>
      </w:r>
    </w:p>
    <w:p w14:paraId="2A739C3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Some third-party digital content providers require the Company to provide digital rights management and other security solutions. If requirements change, the Company may have to develop or license ne</w:t>
      </w:r>
      <w:r>
        <w:rPr>
          <w:rFonts w:ascii="Helvetica" w:eastAsia="Helvetica" w:hAnsi="Helvetica" w:cs="Helvetica"/>
          <w:sz w:val="18"/>
          <w:szCs w:val="18"/>
        </w:rPr>
        <w:t>w technology to provide these solutions. There is no assurance the Company will be able to develop or license such solutions at a reasonable cost and in a timely manner. In addition, certain countries have passed or may propose and adopt legislation that w</w:t>
      </w:r>
      <w:r>
        <w:rPr>
          <w:rFonts w:ascii="Helvetica" w:eastAsia="Helvetica" w:hAnsi="Helvetica" w:cs="Helvetica"/>
          <w:sz w:val="18"/>
          <w:szCs w:val="18"/>
        </w:rPr>
        <w:t>ould force the Company to license its digital rights management, which could lessen the protection of content and subject it to piracy and also could negatively affect arrangements with the Company’s content providers.</w:t>
      </w:r>
    </w:p>
    <w:p w14:paraId="2A739C3E"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Company’s future performance depe</w:t>
      </w:r>
      <w:r>
        <w:rPr>
          <w:rFonts w:ascii="Helvetica" w:eastAsia="Helvetica" w:hAnsi="Helvetica" w:cs="Helvetica"/>
          <w:b/>
          <w:bCs/>
          <w:i/>
          <w:iCs/>
          <w:sz w:val="18"/>
          <w:szCs w:val="18"/>
        </w:rPr>
        <w:t>nds in part on support from third-party software developers.</w:t>
      </w:r>
    </w:p>
    <w:p w14:paraId="2A739C3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believes decisions by customers to purchase its hardware products depend in part on the availability of third-party software applications and services. There is no assurance that thir</w:t>
      </w:r>
      <w:r>
        <w:rPr>
          <w:rFonts w:ascii="Helvetica" w:eastAsia="Helvetica" w:hAnsi="Helvetica" w:cs="Helvetica"/>
          <w:sz w:val="18"/>
          <w:szCs w:val="18"/>
        </w:rPr>
        <w:t xml:space="preserve">d-party developers will continue to develop and maintain software applications and services for the Company’s products. If third-party software applications and services cease to be developed and maintained for the Company’s products, customers may choose </w:t>
      </w:r>
      <w:r>
        <w:rPr>
          <w:rFonts w:ascii="Helvetica" w:eastAsia="Helvetica" w:hAnsi="Helvetica" w:cs="Helvetica"/>
          <w:sz w:val="18"/>
          <w:szCs w:val="18"/>
        </w:rPr>
        <w:t>not to buy the Company’s products.</w:t>
      </w:r>
    </w:p>
    <w:p w14:paraId="2A739C4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believes the availability of third-party software applications and services for its products depends in part on the developers’ perception and analysis of the relative benefits of developing, maintaining and u</w:t>
      </w:r>
      <w:r>
        <w:rPr>
          <w:rFonts w:ascii="Helvetica" w:eastAsia="Helvetica" w:hAnsi="Helvetica" w:cs="Helvetica"/>
          <w:sz w:val="18"/>
          <w:szCs w:val="18"/>
        </w:rPr>
        <w:t>pgrading such software and services for the Company’s products compared to competitors’ platforms, such as Android for smartphones and tablets and Windows for personal computers. This analysis may be based on factors such as the market position of the Comp</w:t>
      </w:r>
      <w:r>
        <w:rPr>
          <w:rFonts w:ascii="Helvetica" w:eastAsia="Helvetica" w:hAnsi="Helvetica" w:cs="Helvetica"/>
          <w:sz w:val="18"/>
          <w:szCs w:val="18"/>
        </w:rPr>
        <w:t>any and its products, the anticipated revenue that may be generated, expected future growth of product sales, and the costs of developing such applications and services.</w:t>
      </w:r>
    </w:p>
    <w:p w14:paraId="2A739C41" w14:textId="77777777" w:rsidR="00FA5565" w:rsidRDefault="00FA5565">
      <w:pPr>
        <w:rPr>
          <w:rFonts w:ascii="Times New Roman" w:hAnsi="Times New Roman"/>
          <w:sz w:val="20"/>
          <w:szCs w:val="20"/>
        </w:rPr>
      </w:pPr>
    </w:p>
    <w:p w14:paraId="2A739C42"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8</w:t>
      </w:r>
    </w:p>
    <w:p w14:paraId="2A739C43" w14:textId="77777777" w:rsidR="00FA5565" w:rsidRDefault="00D804D1">
      <w:r>
        <w:rPr>
          <w:rFonts w:ascii="Times New Roman" w:hAnsi="Times New Roman"/>
          <w:sz w:val="16"/>
          <w:szCs w:val="16"/>
        </w:rPr>
        <w:pict w14:anchorId="2A73C0A2">
          <v:rect id="_x0000_i1034" style="width:415.3pt;height:1.5pt" o:hralign="center" o:hrstd="t" o:hr="t" fillcolor="#a0a0a0" stroked="f"/>
        </w:pict>
      </w:r>
    </w:p>
    <w:p w14:paraId="2A739C44" w14:textId="77777777" w:rsidR="00FA5565" w:rsidRDefault="00FA5565">
      <w:pPr>
        <w:rPr>
          <w:rFonts w:ascii="Times New Roman" w:hAnsi="Times New Roman"/>
          <w:sz w:val="20"/>
          <w:szCs w:val="20"/>
        </w:rPr>
      </w:pPr>
    </w:p>
    <w:p w14:paraId="2A739C4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minority market share in the global </w:t>
      </w:r>
      <w:r>
        <w:rPr>
          <w:rFonts w:ascii="Helvetica" w:eastAsia="Helvetica" w:hAnsi="Helvetica" w:cs="Helvetica"/>
          <w:sz w:val="18"/>
          <w:szCs w:val="18"/>
        </w:rPr>
        <w:t>smartphone, personal computer and tablet markets could make developers less inclined to develop or upgrade software for the Company’s products and more inclined to devote their resources to developing and upgrading software for competitors’ products with l</w:t>
      </w:r>
      <w:r>
        <w:rPr>
          <w:rFonts w:ascii="Helvetica" w:eastAsia="Helvetica" w:hAnsi="Helvetica" w:cs="Helvetica"/>
          <w:sz w:val="18"/>
          <w:szCs w:val="18"/>
        </w:rPr>
        <w:t>arger market share. If developers focus their efforts on these competing platforms, the availability and quality of applications for the Company’s devices may suffer.</w:t>
      </w:r>
    </w:p>
    <w:p w14:paraId="2A739C4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relies on the continued availability and development of compelling and innova</w:t>
      </w:r>
      <w:r>
        <w:rPr>
          <w:rFonts w:ascii="Helvetica" w:eastAsia="Helvetica" w:hAnsi="Helvetica" w:cs="Helvetica"/>
          <w:sz w:val="18"/>
          <w:szCs w:val="18"/>
        </w:rPr>
        <w:t>tive software applications for its products. The Company’s products and operating systems are subject to rapid technological change, and if third-party developers are unable to or choose not to keep up with this pace of change, third-party applications mig</w:t>
      </w:r>
      <w:r>
        <w:rPr>
          <w:rFonts w:ascii="Helvetica" w:eastAsia="Helvetica" w:hAnsi="Helvetica" w:cs="Helvetica"/>
          <w:sz w:val="18"/>
          <w:szCs w:val="18"/>
        </w:rPr>
        <w:t>ht not take advantage of these changes to deliver improved customer experiences or might not operate correctly and may result in dissatisfied customers.</w:t>
      </w:r>
    </w:p>
    <w:p w14:paraId="2A739C4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sells and delivers third-party applications for its products through the App Store, Mac App</w:t>
      </w:r>
      <w:r>
        <w:rPr>
          <w:rFonts w:ascii="Helvetica" w:eastAsia="Helvetica" w:hAnsi="Helvetica" w:cs="Helvetica"/>
          <w:sz w:val="18"/>
          <w:szCs w:val="18"/>
        </w:rPr>
        <w:t xml:space="preserve"> Store, TV App Store and Watch App Store. The Company retains a commission from sales through these platforms. If developers reduce their use of these platforms to distribute their applications and offer in-app purchases to customers, then the volume of sa</w:t>
      </w:r>
      <w:r>
        <w:rPr>
          <w:rFonts w:ascii="Helvetica" w:eastAsia="Helvetica" w:hAnsi="Helvetica" w:cs="Helvetica"/>
          <w:sz w:val="18"/>
          <w:szCs w:val="18"/>
        </w:rPr>
        <w:t>les, and the commission that the Company earns on those sales, would decrease.</w:t>
      </w:r>
    </w:p>
    <w:p w14:paraId="2A739C48"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 relies on access to third-party intellectual property, which may not be available to the Company on commercially reasonable terms or at all.</w:t>
      </w:r>
    </w:p>
    <w:p w14:paraId="2A739C4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Many of the Company’s pr</w:t>
      </w:r>
      <w:r>
        <w:rPr>
          <w:rFonts w:ascii="Helvetica" w:eastAsia="Helvetica" w:hAnsi="Helvetica" w:cs="Helvetica"/>
          <w:sz w:val="18"/>
          <w:szCs w:val="18"/>
        </w:rPr>
        <w:t>oducts and services are designed to include intellectual property owned by third parties, which requires licenses from those third parties. In addition, because of technological changes in the industries in which the Company currently competes or in the fu</w:t>
      </w:r>
      <w:r>
        <w:rPr>
          <w:rFonts w:ascii="Helvetica" w:eastAsia="Helvetica" w:hAnsi="Helvetica" w:cs="Helvetica"/>
          <w:sz w:val="18"/>
          <w:szCs w:val="18"/>
        </w:rPr>
        <w:t>ture may compete, current extensive patent coverage and the rapid rate of issuance of new patents, the Company’s products and services may unknowingly infringe existing patents or intellectual property rights of others. From time to time, the Company has b</w:t>
      </w:r>
      <w:r>
        <w:rPr>
          <w:rFonts w:ascii="Helvetica" w:eastAsia="Helvetica" w:hAnsi="Helvetica" w:cs="Helvetica"/>
          <w:sz w:val="18"/>
          <w:szCs w:val="18"/>
        </w:rPr>
        <w:t>een notified that it may be infringing certain patents or other intellectual property rights of third parties. Based on experience and industry practice, the Company believes licenses to such third-party intellectual property can generally be obtained on c</w:t>
      </w:r>
      <w:r>
        <w:rPr>
          <w:rFonts w:ascii="Helvetica" w:eastAsia="Helvetica" w:hAnsi="Helvetica" w:cs="Helvetica"/>
          <w:sz w:val="18"/>
          <w:szCs w:val="18"/>
        </w:rPr>
        <w:t>ommercially reasonable terms. There is, however, no assurance that the necessary licenses can be obtained on commercially reasonable terms or at all. Failure to obtain the right to use third-party intellectual property, or to use such intellectual property</w:t>
      </w:r>
      <w:r>
        <w:rPr>
          <w:rFonts w:ascii="Helvetica" w:eastAsia="Helvetica" w:hAnsi="Helvetica" w:cs="Helvetica"/>
          <w:sz w:val="18"/>
          <w:szCs w:val="18"/>
        </w:rPr>
        <w:t xml:space="preserve"> on commercially reasonable terms, could preclude the Company from selling certain products or services, or otherwise have a material adverse impact on the Company’s financial condition and operating results.</w:t>
      </w:r>
    </w:p>
    <w:p w14:paraId="2A739C4A"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 xml:space="preserve">The Company could be impacted by </w:t>
      </w:r>
      <w:r>
        <w:rPr>
          <w:rFonts w:ascii="Helvetica" w:eastAsia="Helvetica" w:hAnsi="Helvetica" w:cs="Helvetica"/>
          <w:b/>
          <w:bCs/>
          <w:i/>
          <w:iCs/>
          <w:sz w:val="18"/>
          <w:szCs w:val="18"/>
        </w:rPr>
        <w:t>unfavorable results of legal proceedings, such as being found to have infringed on intellectual property rights.</w:t>
      </w:r>
    </w:p>
    <w:p w14:paraId="2A739C4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is subject to various legal proceedings and claims that have arisen in the ordinary course of business and have not yet been fully </w:t>
      </w:r>
      <w:r>
        <w:rPr>
          <w:rFonts w:ascii="Helvetica" w:eastAsia="Helvetica" w:hAnsi="Helvetica" w:cs="Helvetica"/>
          <w:sz w:val="18"/>
          <w:szCs w:val="18"/>
        </w:rPr>
        <w:t>resolved, and new claims may arise in the future. In addition, agreements entered into by the Company sometimes include indemnification provisions which can subject the Company to costs and damages in the event of a claim against an indemnified third party</w:t>
      </w:r>
      <w:r>
        <w:rPr>
          <w:rFonts w:ascii="Helvetica" w:eastAsia="Helvetica" w:hAnsi="Helvetica" w:cs="Helvetica"/>
          <w:sz w:val="18"/>
          <w:szCs w:val="18"/>
        </w:rPr>
        <w:t>.</w:t>
      </w:r>
    </w:p>
    <w:p w14:paraId="2A739C4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Claims against the Company based on allegations of patent infringement or other violations of intellectual property rights have generally increased over time and may continue to increase. In particular, the Company has historically faced a significant nu</w:t>
      </w:r>
      <w:r>
        <w:rPr>
          <w:rFonts w:ascii="Helvetica" w:eastAsia="Helvetica" w:hAnsi="Helvetica" w:cs="Helvetica"/>
          <w:sz w:val="18"/>
          <w:szCs w:val="18"/>
        </w:rPr>
        <w:t xml:space="preserve">mber of patent claims relating to its cellular-enabled products, and new claims may arise in the future. For example, technology and other patent-holding companies frequently assert their patents and seek royalties and often enter into litigation based on </w:t>
      </w:r>
      <w:r>
        <w:rPr>
          <w:rFonts w:ascii="Helvetica" w:eastAsia="Helvetica" w:hAnsi="Helvetica" w:cs="Helvetica"/>
          <w:sz w:val="18"/>
          <w:szCs w:val="18"/>
        </w:rPr>
        <w:t>allegations of patent infringement or other violations of intellectual property rights. The Company is vigorously defending infringement actions in courts in several U.S. jurisdictions, as well as internationally in various countries. The plaintiffs in the</w:t>
      </w:r>
      <w:r>
        <w:rPr>
          <w:rFonts w:ascii="Helvetica" w:eastAsia="Helvetica" w:hAnsi="Helvetica" w:cs="Helvetica"/>
          <w:sz w:val="18"/>
          <w:szCs w:val="18"/>
        </w:rPr>
        <w:t>se actions frequently seek injunctions and substantial damages.</w:t>
      </w:r>
    </w:p>
    <w:p w14:paraId="2A739C4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Regardless of the merit of particular claims, litigation can be expensive, time-consuming, disruptive to the Company’s operations and distracting to management. In recognition of these conside</w:t>
      </w:r>
      <w:r>
        <w:rPr>
          <w:rFonts w:ascii="Helvetica" w:eastAsia="Helvetica" w:hAnsi="Helvetica" w:cs="Helvetica"/>
          <w:sz w:val="18"/>
          <w:szCs w:val="18"/>
        </w:rPr>
        <w:t>rations, the Company may enter into licensing agreements or other arrangements to settle litigation and resolve such disputes. No assurance can be given that such agreements can be obtained on acceptable terms or that litigation will not occur. These agree</w:t>
      </w:r>
      <w:r>
        <w:rPr>
          <w:rFonts w:ascii="Helvetica" w:eastAsia="Helvetica" w:hAnsi="Helvetica" w:cs="Helvetica"/>
          <w:sz w:val="18"/>
          <w:szCs w:val="18"/>
        </w:rPr>
        <w:t>ments may also significantly increase the Company’s cost of sales and operating expenses.</w:t>
      </w:r>
    </w:p>
    <w:p w14:paraId="2A739C4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Except as described in Part II, Item 8 of this Form 10-K in the Notes to Consolidated Financial Statements in Note 10, “Commitments and Contingencies” under the headi</w:t>
      </w:r>
      <w:r>
        <w:rPr>
          <w:rFonts w:ascii="Helvetica" w:eastAsia="Helvetica" w:hAnsi="Helvetica" w:cs="Helvetica"/>
          <w:sz w:val="18"/>
          <w:szCs w:val="18"/>
        </w:rPr>
        <w:t xml:space="preserve">ng “Contingencies,” in the opinion of management, there was not at least a reasonable possibility the Company may have incurred a material loss, or a material loss greater than a recorded accrual, concerning loss contingencies for asserted legal and other </w:t>
      </w:r>
      <w:r>
        <w:rPr>
          <w:rFonts w:ascii="Helvetica" w:eastAsia="Helvetica" w:hAnsi="Helvetica" w:cs="Helvetica"/>
          <w:sz w:val="18"/>
          <w:szCs w:val="18"/>
        </w:rPr>
        <w:t>claims, including matters related to infringement of intellectual property rights.</w:t>
      </w:r>
    </w:p>
    <w:p w14:paraId="2A739C4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outcome of litigation is inherently uncertain. If one or more legal matters were resolved against the Company or an indemnified third party in a reporting period for amo</w:t>
      </w:r>
      <w:r>
        <w:rPr>
          <w:rFonts w:ascii="Helvetica" w:eastAsia="Helvetica" w:hAnsi="Helvetica" w:cs="Helvetica"/>
          <w:sz w:val="18"/>
          <w:szCs w:val="18"/>
        </w:rPr>
        <w:t xml:space="preserve">unts above management’s expectations, the Company’s financial condition and operating results for that reporting period could be materially adversely affected. Further, such an outcome could result in significant compensatory, punitive or trebled monetary </w:t>
      </w:r>
      <w:r>
        <w:rPr>
          <w:rFonts w:ascii="Helvetica" w:eastAsia="Helvetica" w:hAnsi="Helvetica" w:cs="Helvetica"/>
          <w:sz w:val="18"/>
          <w:szCs w:val="18"/>
        </w:rPr>
        <w:t>damages, disgorgement of revenue or profits, remedial corporate measures or injunctive relief against the Company that could materially adversely affect its financial condition and operating results.</w:t>
      </w:r>
    </w:p>
    <w:p w14:paraId="2A739C5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While the Company maintains insurance coverage for certa</w:t>
      </w:r>
      <w:r>
        <w:rPr>
          <w:rFonts w:ascii="Helvetica" w:eastAsia="Helvetica" w:hAnsi="Helvetica" w:cs="Helvetica"/>
          <w:sz w:val="18"/>
          <w:szCs w:val="18"/>
        </w:rPr>
        <w:t>in types of claims, such insurance coverage may be insufficient to cover all losses or all types of claims that may arise.</w:t>
      </w:r>
    </w:p>
    <w:p w14:paraId="2A739C51" w14:textId="77777777" w:rsidR="00FA5565" w:rsidRDefault="00FA5565">
      <w:pPr>
        <w:rPr>
          <w:rFonts w:ascii="Times New Roman" w:hAnsi="Times New Roman"/>
          <w:sz w:val="20"/>
          <w:szCs w:val="20"/>
        </w:rPr>
      </w:pPr>
    </w:p>
    <w:p w14:paraId="2A739C52"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9</w:t>
      </w:r>
    </w:p>
    <w:p w14:paraId="2A739C53" w14:textId="77777777" w:rsidR="00FA5565" w:rsidRDefault="00D804D1">
      <w:r>
        <w:rPr>
          <w:rFonts w:ascii="Times New Roman" w:hAnsi="Times New Roman"/>
          <w:sz w:val="16"/>
          <w:szCs w:val="16"/>
        </w:rPr>
        <w:pict w14:anchorId="2A73C0A3">
          <v:rect id="_x0000_i1035" style="width:415.3pt;height:1.5pt" o:hralign="center" o:hrstd="t" o:hr="t" fillcolor="#a0a0a0" stroked="f"/>
        </w:pict>
      </w:r>
    </w:p>
    <w:p w14:paraId="2A739C54" w14:textId="77777777" w:rsidR="00FA5565" w:rsidRDefault="00FA5565">
      <w:pPr>
        <w:rPr>
          <w:rFonts w:ascii="Times New Roman" w:hAnsi="Times New Roman"/>
          <w:sz w:val="20"/>
          <w:szCs w:val="20"/>
        </w:rPr>
      </w:pPr>
    </w:p>
    <w:p w14:paraId="2A739C55"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 xml:space="preserve">The Company is subject to complex and changing laws and regulations worldwide, which exposes the </w:t>
      </w:r>
      <w:r>
        <w:rPr>
          <w:rFonts w:ascii="Helvetica" w:eastAsia="Helvetica" w:hAnsi="Helvetica" w:cs="Helvetica"/>
          <w:b/>
          <w:bCs/>
          <w:i/>
          <w:iCs/>
          <w:sz w:val="18"/>
          <w:szCs w:val="18"/>
        </w:rPr>
        <w:t>Company to potential liabilities, increased costs and other adverse effects on the Company’s business.</w:t>
      </w:r>
    </w:p>
    <w:p w14:paraId="2A739C5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global operations are subject to complex and changing laws and regulations on subjects including, but not limited to: antitrust; privacy, d</w:t>
      </w:r>
      <w:r>
        <w:rPr>
          <w:rFonts w:ascii="Helvetica" w:eastAsia="Helvetica" w:hAnsi="Helvetica" w:cs="Helvetica"/>
          <w:sz w:val="18"/>
          <w:szCs w:val="18"/>
        </w:rPr>
        <w:t>ata security and data localization; consumer protection; advertising, sales, billing and e-commerce; product liability; intellectual property ownership and infringement; digital platforms; Internet, telecommunications, and mobile communications; media, tel</w:t>
      </w:r>
      <w:r>
        <w:rPr>
          <w:rFonts w:ascii="Helvetica" w:eastAsia="Helvetica" w:hAnsi="Helvetica" w:cs="Helvetica"/>
          <w:sz w:val="18"/>
          <w:szCs w:val="18"/>
        </w:rPr>
        <w:t>evision, film and digital content; availability of third-party software applications and services; labor and employment; anti-corruption; import, export and trade; foreign exchange controls and cash repatriation restrictions; anti–money laundering; foreign</w:t>
      </w:r>
      <w:r>
        <w:rPr>
          <w:rFonts w:ascii="Helvetica" w:eastAsia="Helvetica" w:hAnsi="Helvetica" w:cs="Helvetica"/>
          <w:sz w:val="18"/>
          <w:szCs w:val="18"/>
        </w:rPr>
        <w:t xml:space="preserve"> ownership and investment; tax; and environmental, health and safety.</w:t>
      </w:r>
    </w:p>
    <w:p w14:paraId="2A739C5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Compliance with these laws and regulations may be onerous and expensive, increasing the cost of conducting the Company’s global operations. Changes to laws and regulations can adversely </w:t>
      </w:r>
      <w:r>
        <w:rPr>
          <w:rFonts w:ascii="Helvetica" w:eastAsia="Helvetica" w:hAnsi="Helvetica" w:cs="Helvetica"/>
          <w:sz w:val="18"/>
          <w:szCs w:val="18"/>
        </w:rPr>
        <w:t>affect the Company’s business by increasing the Company’s costs, limiting the Company’s ability to offer a product or service to customers, requiring changes to the Company’s business practices or otherwise making the Company’s products and services less a</w:t>
      </w:r>
      <w:r>
        <w:rPr>
          <w:rFonts w:ascii="Helvetica" w:eastAsia="Helvetica" w:hAnsi="Helvetica" w:cs="Helvetica"/>
          <w:sz w:val="18"/>
          <w:szCs w:val="18"/>
        </w:rPr>
        <w:t>ttractive to customers. The Company has implemented policies and procedures designed to ensure compliance with applicable laws and regulations, but there can be no assurance that the Company’s employees, contractors or agents will not violate such laws and</w:t>
      </w:r>
      <w:r>
        <w:rPr>
          <w:rFonts w:ascii="Helvetica" w:eastAsia="Helvetica" w:hAnsi="Helvetica" w:cs="Helvetica"/>
          <w:sz w:val="18"/>
          <w:szCs w:val="18"/>
        </w:rPr>
        <w:t xml:space="preserve"> regulations or the Company’s policies and procedures. If the Company is found to have violated laws and regulations, it could materially adversely affect the Company’s reputation, financial condition and operating results.</w:t>
      </w:r>
    </w:p>
    <w:p w14:paraId="2A739C5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technology industry, includi</w:t>
      </w:r>
      <w:r>
        <w:rPr>
          <w:rFonts w:ascii="Helvetica" w:eastAsia="Helvetica" w:hAnsi="Helvetica" w:cs="Helvetica"/>
          <w:sz w:val="18"/>
          <w:szCs w:val="18"/>
        </w:rPr>
        <w:t>ng, in some instances, the Company, is subject to intense media, political and regulatory scrutiny, which exposes the Company to government investigations, legal actions and penalties. For example, the Company is subject to antitrust investigations in vari</w:t>
      </w:r>
      <w:r>
        <w:rPr>
          <w:rFonts w:ascii="Helvetica" w:eastAsia="Helvetica" w:hAnsi="Helvetica" w:cs="Helvetica"/>
          <w:sz w:val="18"/>
          <w:szCs w:val="18"/>
        </w:rPr>
        <w:t>ous jurisdictions around the world, which can result in legal proceedings and claims against the Company that could, individually or in the aggregate, have a material impact on the Company’s financial condition and operating results. There can be no assura</w:t>
      </w:r>
      <w:r>
        <w:rPr>
          <w:rFonts w:ascii="Helvetica" w:eastAsia="Helvetica" w:hAnsi="Helvetica" w:cs="Helvetica"/>
          <w:sz w:val="18"/>
          <w:szCs w:val="18"/>
        </w:rPr>
        <w:t>nce that the Company’s business will not be materially adversely affected, individually or in the aggregate, by the outcomes of such investigations or changes to laws and regulations in the future.</w:t>
      </w:r>
    </w:p>
    <w:p w14:paraId="2A739C5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Company’s retail stores have required and will continu</w:t>
      </w:r>
      <w:r>
        <w:rPr>
          <w:rFonts w:ascii="Helvetica" w:eastAsia="Helvetica" w:hAnsi="Helvetica" w:cs="Helvetica"/>
          <w:b/>
          <w:bCs/>
          <w:i/>
          <w:iCs/>
          <w:sz w:val="18"/>
          <w:szCs w:val="18"/>
        </w:rPr>
        <w:t>e to require a substantial investment and commitment of resources and are subject to numerous risks and uncertainties.</w:t>
      </w:r>
    </w:p>
    <w:p w14:paraId="2A739C5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retail stores have required substantial investment in equipment and leasehold improvements, information systems, inventory </w:t>
      </w:r>
      <w:r>
        <w:rPr>
          <w:rFonts w:ascii="Helvetica" w:eastAsia="Helvetica" w:hAnsi="Helvetica" w:cs="Helvetica"/>
          <w:sz w:val="18"/>
          <w:szCs w:val="18"/>
        </w:rPr>
        <w:t xml:space="preserve">and personnel. The Company also has entered into substantial lease commitments for retail space. Certain stores have been designed and built to serve as high-profile venues to promote brand awareness. Because of their unique design elements, locations and </w:t>
      </w:r>
      <w:r>
        <w:rPr>
          <w:rFonts w:ascii="Helvetica" w:eastAsia="Helvetica" w:hAnsi="Helvetica" w:cs="Helvetica"/>
          <w:sz w:val="18"/>
          <w:szCs w:val="18"/>
        </w:rPr>
        <w:t>size, these stores require substantially more investment than the Company’s more typical retail stores. Due to the high cost structure associated with the Company’s retail stores, a decline in sales or the closure or poor performance of an individual store</w:t>
      </w:r>
      <w:r>
        <w:rPr>
          <w:rFonts w:ascii="Helvetica" w:eastAsia="Helvetica" w:hAnsi="Helvetica" w:cs="Helvetica"/>
          <w:sz w:val="18"/>
          <w:szCs w:val="18"/>
        </w:rPr>
        <w:t xml:space="preserve"> or multiple stores could result in significant lease termination costs, write-offs of equipment and leasehold improvements and severance costs.</w:t>
      </w:r>
    </w:p>
    <w:p w14:paraId="2A739C5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retail operations are subject to many factors that pose risks and uncertainties and could </w:t>
      </w:r>
      <w:r>
        <w:rPr>
          <w:rFonts w:ascii="Helvetica" w:eastAsia="Helvetica" w:hAnsi="Helvetica" w:cs="Helvetica"/>
          <w:sz w:val="18"/>
          <w:szCs w:val="18"/>
        </w:rPr>
        <w:t>adversely impact the Company’s financial condition and operating results, including macro-economic factors that could have an adverse effect on general retail activity. Other factors include, but are not limited to, the Company’s ability to: manage costs a</w:t>
      </w:r>
      <w:r>
        <w:rPr>
          <w:rFonts w:ascii="Helvetica" w:eastAsia="Helvetica" w:hAnsi="Helvetica" w:cs="Helvetica"/>
          <w:sz w:val="18"/>
          <w:szCs w:val="18"/>
        </w:rPr>
        <w:t xml:space="preserve">ssociated with retail store construction and operation; manage relationships with existing retail partners; manage costs associated with fluctuations in the value of retail inventory; and obtain and renew leases in quality retail locations at a reasonable </w:t>
      </w:r>
      <w:r>
        <w:rPr>
          <w:rFonts w:ascii="Helvetica" w:eastAsia="Helvetica" w:hAnsi="Helvetica" w:cs="Helvetica"/>
          <w:sz w:val="18"/>
          <w:szCs w:val="18"/>
        </w:rPr>
        <w:t>cost.</w:t>
      </w:r>
    </w:p>
    <w:p w14:paraId="2A739C5C"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Investment in new business strategies and acquisitions could disrupt the Company’s ongoing business and present risks not originally contemplated.</w:t>
      </w:r>
    </w:p>
    <w:p w14:paraId="2A739C5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invested, and in the future may invest, in new business strategies or acquisitions. Suc</w:t>
      </w:r>
      <w:r>
        <w:rPr>
          <w:rFonts w:ascii="Helvetica" w:eastAsia="Helvetica" w:hAnsi="Helvetica" w:cs="Helvetica"/>
          <w:sz w:val="18"/>
          <w:szCs w:val="18"/>
        </w:rPr>
        <w:t xml:space="preserve">h endeavors may involve significant risks and uncertainties, including distraction of management from current operations, greater-than-expected liabilities and expenses, inadequate return on capital, and unidentified issues not discovered in the Company’s </w:t>
      </w:r>
      <w:r>
        <w:rPr>
          <w:rFonts w:ascii="Helvetica" w:eastAsia="Helvetica" w:hAnsi="Helvetica" w:cs="Helvetica"/>
          <w:sz w:val="18"/>
          <w:szCs w:val="18"/>
        </w:rPr>
        <w:t>due diligence. These new ventures are inherently risky and may not be successful.</w:t>
      </w:r>
    </w:p>
    <w:p w14:paraId="2A739C5E"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Company’s business and reputation may be impacted by information technology system failures or network disruptions.</w:t>
      </w:r>
    </w:p>
    <w:p w14:paraId="2A739C5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is exposed to information technology syste</w:t>
      </w:r>
      <w:r>
        <w:rPr>
          <w:rFonts w:ascii="Helvetica" w:eastAsia="Helvetica" w:hAnsi="Helvetica" w:cs="Helvetica"/>
          <w:sz w:val="18"/>
          <w:szCs w:val="18"/>
        </w:rPr>
        <w:t>m failures or network disruptions caused by natural disasters, accidents, power disruptions, telecommunications failures, acts of terrorism or war, computer viruses, physical or electronic break-ins, or other events or disruptions. System redundancy and ot</w:t>
      </w:r>
      <w:r>
        <w:rPr>
          <w:rFonts w:ascii="Helvetica" w:eastAsia="Helvetica" w:hAnsi="Helvetica" w:cs="Helvetica"/>
          <w:sz w:val="18"/>
          <w:szCs w:val="18"/>
        </w:rPr>
        <w:t>her continuity measures may be ineffective or inadequate, and the Company’s business continuity and disaster recovery planning may not be sufficient for all eventualities. Such failures or disruptions can adversely impact the Company’s business by, among o</w:t>
      </w:r>
      <w:r>
        <w:rPr>
          <w:rFonts w:ascii="Helvetica" w:eastAsia="Helvetica" w:hAnsi="Helvetica" w:cs="Helvetica"/>
          <w:sz w:val="18"/>
          <w:szCs w:val="18"/>
        </w:rPr>
        <w:t>ther things, preventing access to the Company’s online services, interfering with customer transactions or impeding the manufacturing and shipping of the Company’s products. These events could materially adversely affect the Company’s reputation, financial</w:t>
      </w:r>
      <w:r>
        <w:rPr>
          <w:rFonts w:ascii="Helvetica" w:eastAsia="Helvetica" w:hAnsi="Helvetica" w:cs="Helvetica"/>
          <w:sz w:val="18"/>
          <w:szCs w:val="18"/>
        </w:rPr>
        <w:t xml:space="preserve"> condition and operating results.</w:t>
      </w:r>
    </w:p>
    <w:p w14:paraId="2A739C60" w14:textId="77777777" w:rsidR="00FA5565" w:rsidRDefault="00FA5565">
      <w:pPr>
        <w:rPr>
          <w:rFonts w:ascii="Times New Roman" w:hAnsi="Times New Roman"/>
          <w:sz w:val="20"/>
          <w:szCs w:val="20"/>
        </w:rPr>
      </w:pPr>
    </w:p>
    <w:p w14:paraId="2A739C61"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10</w:t>
      </w:r>
    </w:p>
    <w:p w14:paraId="2A739C62" w14:textId="77777777" w:rsidR="00FA5565" w:rsidRDefault="00D804D1">
      <w:r>
        <w:rPr>
          <w:rFonts w:ascii="Times New Roman" w:hAnsi="Times New Roman"/>
          <w:sz w:val="16"/>
          <w:szCs w:val="16"/>
        </w:rPr>
        <w:pict w14:anchorId="2A73C0A4">
          <v:rect id="_x0000_i1036" style="width:415.3pt;height:1.5pt" o:hralign="center" o:hrstd="t" o:hr="t" fillcolor="#a0a0a0" stroked="f"/>
        </w:pict>
      </w:r>
    </w:p>
    <w:p w14:paraId="2A739C63" w14:textId="77777777" w:rsidR="00FA5565" w:rsidRDefault="00FA5565">
      <w:pPr>
        <w:rPr>
          <w:rFonts w:ascii="Times New Roman" w:hAnsi="Times New Roman"/>
          <w:sz w:val="20"/>
          <w:szCs w:val="20"/>
        </w:rPr>
      </w:pPr>
    </w:p>
    <w:p w14:paraId="2A739C6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There may be losses or unauthorized access to or releases of confidential information, including personally identifiable information, that could subject the Company to significant reput</w:t>
      </w:r>
      <w:r>
        <w:rPr>
          <w:rFonts w:ascii="Helvetica" w:eastAsia="Helvetica" w:hAnsi="Helvetica" w:cs="Helvetica"/>
          <w:b/>
          <w:bCs/>
          <w:i/>
          <w:iCs/>
          <w:sz w:val="18"/>
          <w:szCs w:val="18"/>
        </w:rPr>
        <w:t>ational, financial, legal and operational consequences.</w:t>
      </w:r>
    </w:p>
    <w:p w14:paraId="2A739C6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business requires it to use and store confidential information including, among other things, personally identifiable information (“PII”) with respect to the Company’s customers and </w:t>
      </w:r>
      <w:r>
        <w:rPr>
          <w:rFonts w:ascii="Helvetica" w:eastAsia="Helvetica" w:hAnsi="Helvetica" w:cs="Helvetica"/>
          <w:sz w:val="18"/>
          <w:szCs w:val="18"/>
        </w:rPr>
        <w:t>employees. The Company devotes significant resources to network and data security, including through the use of encryption and other security measures intended to protect its systems and data. But these measures cannot provide absolute security, and losses</w:t>
      </w:r>
      <w:r>
        <w:rPr>
          <w:rFonts w:ascii="Helvetica" w:eastAsia="Helvetica" w:hAnsi="Helvetica" w:cs="Helvetica"/>
          <w:sz w:val="18"/>
          <w:szCs w:val="18"/>
        </w:rPr>
        <w:t xml:space="preserve"> or unauthorized access to or releases of confidential information occur and could materially adversely affect the Company’s reputation, financial condition and operating results.</w:t>
      </w:r>
    </w:p>
    <w:p w14:paraId="2A739C6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business also requires it to share confidential information wi</w:t>
      </w:r>
      <w:r>
        <w:rPr>
          <w:rFonts w:ascii="Helvetica" w:eastAsia="Helvetica" w:hAnsi="Helvetica" w:cs="Helvetica"/>
          <w:sz w:val="18"/>
          <w:szCs w:val="18"/>
        </w:rPr>
        <w:t>th suppliers and other third parties. Although the Company takes steps to secure confidential information that is provided to third parties, such measures are not always effective and losses or unauthorized access to or releases of confidential information</w:t>
      </w:r>
      <w:r>
        <w:rPr>
          <w:rFonts w:ascii="Helvetica" w:eastAsia="Helvetica" w:hAnsi="Helvetica" w:cs="Helvetica"/>
          <w:sz w:val="18"/>
          <w:szCs w:val="18"/>
        </w:rPr>
        <w:t xml:space="preserve"> occur and could materially adversely affect the Company’s reputation, financial condition and operating results.</w:t>
      </w:r>
    </w:p>
    <w:p w14:paraId="2A739C6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For example, the Company may experience a security breach impacting the Company’s information technology systems that compromises the confiden</w:t>
      </w:r>
      <w:r>
        <w:rPr>
          <w:rFonts w:ascii="Helvetica" w:eastAsia="Helvetica" w:hAnsi="Helvetica" w:cs="Helvetica"/>
          <w:sz w:val="18"/>
          <w:szCs w:val="18"/>
        </w:rPr>
        <w:t>tiality, integrity or availability of confidential information. Such an incident could, among other things, impair the Company’s ability to attract and retain customers for its products and services, impact the Company’s stock price, materially damage supp</w:t>
      </w:r>
      <w:r>
        <w:rPr>
          <w:rFonts w:ascii="Helvetica" w:eastAsia="Helvetica" w:hAnsi="Helvetica" w:cs="Helvetica"/>
          <w:sz w:val="18"/>
          <w:szCs w:val="18"/>
        </w:rPr>
        <w:t>lier relationships, and expose the Company to litigation or government investigations, which could result in penalties, fines or judgments against the Company.</w:t>
      </w:r>
    </w:p>
    <w:p w14:paraId="2A739C6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Although malicious attacks perpetrated to gain access to confidential information, including PII</w:t>
      </w:r>
      <w:r>
        <w:rPr>
          <w:rFonts w:ascii="Helvetica" w:eastAsia="Helvetica" w:hAnsi="Helvetica" w:cs="Helvetica"/>
          <w:sz w:val="18"/>
          <w:szCs w:val="18"/>
        </w:rPr>
        <w:t>, affect many companies across various industries, the Company is at a relatively greater risk of being targeted because of its high profile and the value of the confidential information it creates, owns, manages, stores and processes.</w:t>
      </w:r>
    </w:p>
    <w:p w14:paraId="2A739C6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impl</w:t>
      </w:r>
      <w:r>
        <w:rPr>
          <w:rFonts w:ascii="Helvetica" w:eastAsia="Helvetica" w:hAnsi="Helvetica" w:cs="Helvetica"/>
          <w:sz w:val="18"/>
          <w:szCs w:val="18"/>
        </w:rPr>
        <w:t>emented systems and processes intended to secure its information technology systems and prevent unauthorized access to or loss of sensitive data, including through the use of encryption and authentication technologies. As with all companies, these security</w:t>
      </w:r>
      <w:r>
        <w:rPr>
          <w:rFonts w:ascii="Helvetica" w:eastAsia="Helvetica" w:hAnsi="Helvetica" w:cs="Helvetica"/>
          <w:sz w:val="18"/>
          <w:szCs w:val="18"/>
        </w:rPr>
        <w:t xml:space="preserve"> measures may not be sufficient for all eventualities and may be vulnerable to hacking, employee error, malfeasance, system error, faulty password management or other irregularities. For example, third parties fraudulently induce employees or customers int</w:t>
      </w:r>
      <w:r>
        <w:rPr>
          <w:rFonts w:ascii="Helvetica" w:eastAsia="Helvetica" w:hAnsi="Helvetica" w:cs="Helvetica"/>
          <w:sz w:val="18"/>
          <w:szCs w:val="18"/>
        </w:rPr>
        <w:t>o disclosing user names, passwords or other sensitive information, which may, in turn, be used to access the Company’s information technology systems. To help protect customers and the Company, the Company monitors its services and systems for unusual acti</w:t>
      </w:r>
      <w:r>
        <w:rPr>
          <w:rFonts w:ascii="Helvetica" w:eastAsia="Helvetica" w:hAnsi="Helvetica" w:cs="Helvetica"/>
          <w:sz w:val="18"/>
          <w:szCs w:val="18"/>
        </w:rPr>
        <w:t>vity and may freeze accounts under suspicious circumstances, which, among other things, may result in the delay or loss of customer orders or impede customer access to the Company’s products and services.</w:t>
      </w:r>
    </w:p>
    <w:p w14:paraId="2A739C6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In addition to the risks relating to general confid</w:t>
      </w:r>
      <w:r>
        <w:rPr>
          <w:rFonts w:ascii="Helvetica" w:eastAsia="Helvetica" w:hAnsi="Helvetica" w:cs="Helvetica"/>
          <w:sz w:val="18"/>
          <w:szCs w:val="18"/>
        </w:rPr>
        <w:t>ential information described above, the Company is also subject to specific obligations relating to health data and payment card data. Health data is subject to additional privacy, security and breach notification requirements, and the Company can be subje</w:t>
      </w:r>
      <w:r>
        <w:rPr>
          <w:rFonts w:ascii="Helvetica" w:eastAsia="Helvetica" w:hAnsi="Helvetica" w:cs="Helvetica"/>
          <w:sz w:val="18"/>
          <w:szCs w:val="18"/>
        </w:rPr>
        <w:t>ct to audit by governmental authorities regarding the Company’s compliance with these obligations. If the Company fails to adequately comply with these rules and requirements, or if health data is handled in a manner not permitted by law or under the Compa</w:t>
      </w:r>
      <w:r>
        <w:rPr>
          <w:rFonts w:ascii="Helvetica" w:eastAsia="Helvetica" w:hAnsi="Helvetica" w:cs="Helvetica"/>
          <w:sz w:val="18"/>
          <w:szCs w:val="18"/>
        </w:rPr>
        <w:t>ny’s agreements with healthcare institutions, the Company could be subject to litigation or government investigations, may be liable for associated investigatory expenses, and could also incur significant fees or fines.</w:t>
      </w:r>
    </w:p>
    <w:p w14:paraId="2A739C6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Under payment card rules and obligat</w:t>
      </w:r>
      <w:r>
        <w:rPr>
          <w:rFonts w:ascii="Helvetica" w:eastAsia="Helvetica" w:hAnsi="Helvetica" w:cs="Helvetica"/>
          <w:sz w:val="18"/>
          <w:szCs w:val="18"/>
        </w:rPr>
        <w:t>ions, if cardholder information is potentially compromised, the Company could be liable for associated investigatory expenses and could also incur significant fees or fines if the Company fails to follow payment card industry data security standards. The C</w:t>
      </w:r>
      <w:r>
        <w:rPr>
          <w:rFonts w:ascii="Helvetica" w:eastAsia="Helvetica" w:hAnsi="Helvetica" w:cs="Helvetica"/>
          <w:sz w:val="18"/>
          <w:szCs w:val="18"/>
        </w:rPr>
        <w:t>ompany could also experience a significant increase in payment card transaction costs or lose the ability to process payment cards if it fails to follow payment card industry data security standards, which would materially adversely affect the Company’s re</w:t>
      </w:r>
      <w:r>
        <w:rPr>
          <w:rFonts w:ascii="Helvetica" w:eastAsia="Helvetica" w:hAnsi="Helvetica" w:cs="Helvetica"/>
          <w:sz w:val="18"/>
          <w:szCs w:val="18"/>
        </w:rPr>
        <w:t>putation, financial condition and operating results.</w:t>
      </w:r>
    </w:p>
    <w:p w14:paraId="2A739C6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While the Company maintains insurance coverage that is intended to address certain aspects of data security risks, such insurance coverage may be insufficient to cover all losses or all types of claims t</w:t>
      </w:r>
      <w:r>
        <w:rPr>
          <w:rFonts w:ascii="Helvetica" w:eastAsia="Helvetica" w:hAnsi="Helvetica" w:cs="Helvetica"/>
          <w:sz w:val="18"/>
          <w:szCs w:val="18"/>
        </w:rPr>
        <w:t>hat may arise.</w:t>
      </w:r>
    </w:p>
    <w:p w14:paraId="2A739C6D"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Company’s business is subject to a variety of U.S. and international laws, rules, policies and other obligations regarding data protection.</w:t>
      </w:r>
    </w:p>
    <w:p w14:paraId="2A739C6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is subject to federal, state and international laws relating to the collection, use, </w:t>
      </w:r>
      <w:r>
        <w:rPr>
          <w:rFonts w:ascii="Helvetica" w:eastAsia="Helvetica" w:hAnsi="Helvetica" w:cs="Helvetica"/>
          <w:sz w:val="18"/>
          <w:szCs w:val="18"/>
        </w:rPr>
        <w:t>retention, security and transfer of PII. In many cases, these laws apply not only to third-party transactions, but also may restrict transfers of PII among the Company and its international subsidiaries. Several jurisdictions have passed laws in this area,</w:t>
      </w:r>
      <w:r>
        <w:rPr>
          <w:rFonts w:ascii="Helvetica" w:eastAsia="Helvetica" w:hAnsi="Helvetica" w:cs="Helvetica"/>
          <w:sz w:val="18"/>
          <w:szCs w:val="18"/>
        </w:rPr>
        <w:t xml:space="preserve"> and other jurisdictions are considering imposing additional restrictions. These laws continue to develop and may be inconsistent from jurisdiction to jurisdiction. Complying with emerging and changing international requirements may cause the Company to in</w:t>
      </w:r>
      <w:r>
        <w:rPr>
          <w:rFonts w:ascii="Helvetica" w:eastAsia="Helvetica" w:hAnsi="Helvetica" w:cs="Helvetica"/>
          <w:sz w:val="18"/>
          <w:szCs w:val="18"/>
        </w:rPr>
        <w:t>cur substantial costs or require the Company to change its business practices. Noncompliance could result in significant penalties or legal liability.</w:t>
      </w:r>
    </w:p>
    <w:p w14:paraId="2A739C6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makes statements about its use and disclosure of PII through its privacy policy, information </w:t>
      </w:r>
      <w:r>
        <w:rPr>
          <w:rFonts w:ascii="Helvetica" w:eastAsia="Helvetica" w:hAnsi="Helvetica" w:cs="Helvetica"/>
          <w:sz w:val="18"/>
          <w:szCs w:val="18"/>
        </w:rPr>
        <w:t>provided on its website and press statements. Any failure by the Company to comply with these public statements or with other federal, state or international privacy-related or data protection laws and regulations could result in proceedings against the Co</w:t>
      </w:r>
      <w:r>
        <w:rPr>
          <w:rFonts w:ascii="Helvetica" w:eastAsia="Helvetica" w:hAnsi="Helvetica" w:cs="Helvetica"/>
          <w:sz w:val="18"/>
          <w:szCs w:val="18"/>
        </w:rPr>
        <w:t>mpany by governmental entities or others. In addition to reputational impacts, penalties could include ongoing audit requirements and significant legal liability.</w:t>
      </w:r>
    </w:p>
    <w:p w14:paraId="2A739C70" w14:textId="77777777" w:rsidR="00FA5565" w:rsidRDefault="00FA5565">
      <w:pPr>
        <w:rPr>
          <w:rFonts w:ascii="Times New Roman" w:hAnsi="Times New Roman"/>
          <w:sz w:val="20"/>
          <w:szCs w:val="20"/>
        </w:rPr>
      </w:pPr>
    </w:p>
    <w:p w14:paraId="2A739C71"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11</w:t>
      </w:r>
    </w:p>
    <w:p w14:paraId="2A739C72" w14:textId="77777777" w:rsidR="00FA5565" w:rsidRDefault="00D804D1">
      <w:r>
        <w:rPr>
          <w:rFonts w:ascii="Times New Roman" w:hAnsi="Times New Roman"/>
          <w:sz w:val="16"/>
          <w:szCs w:val="16"/>
        </w:rPr>
        <w:pict w14:anchorId="2A73C0A5">
          <v:rect id="_x0000_i1037" style="width:415.3pt;height:1.5pt" o:hralign="center" o:hrstd="t" o:hr="t" fillcolor="#a0a0a0" stroked="f"/>
        </w:pict>
      </w:r>
    </w:p>
    <w:p w14:paraId="2A739C73" w14:textId="77777777" w:rsidR="00FA5565" w:rsidRDefault="00FA5565">
      <w:pPr>
        <w:rPr>
          <w:rFonts w:ascii="Times New Roman" w:hAnsi="Times New Roman"/>
          <w:sz w:val="20"/>
          <w:szCs w:val="20"/>
        </w:rPr>
      </w:pPr>
    </w:p>
    <w:p w14:paraId="2A739C7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Company’s success depends largely on the continued s</w:t>
      </w:r>
      <w:r>
        <w:rPr>
          <w:rFonts w:ascii="Helvetica" w:eastAsia="Helvetica" w:hAnsi="Helvetica" w:cs="Helvetica"/>
          <w:b/>
          <w:bCs/>
          <w:i/>
          <w:iCs/>
          <w:sz w:val="18"/>
          <w:szCs w:val="18"/>
        </w:rPr>
        <w:t>ervice and availability of key personnel.</w:t>
      </w:r>
    </w:p>
    <w:p w14:paraId="2A739C7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Much of the Company’s future success depends on the continued availability and service of key personnel, including its Chief Executive Officer, executive team and other highly skilled employees. Experienced personn</w:t>
      </w:r>
      <w:r>
        <w:rPr>
          <w:rFonts w:ascii="Helvetica" w:eastAsia="Helvetica" w:hAnsi="Helvetica" w:cs="Helvetica"/>
          <w:sz w:val="18"/>
          <w:szCs w:val="18"/>
        </w:rPr>
        <w:t>el in the technology industry are in high demand and competition for their talents is intense, especially in Silicon Valley, where most of the Company’s key personnel are located.</w:t>
      </w:r>
    </w:p>
    <w:p w14:paraId="2A739C76"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Company’s business can be impacted by political events, international tr</w:t>
      </w:r>
      <w:r>
        <w:rPr>
          <w:rFonts w:ascii="Helvetica" w:eastAsia="Helvetica" w:hAnsi="Helvetica" w:cs="Helvetica"/>
          <w:b/>
          <w:bCs/>
          <w:i/>
          <w:iCs/>
          <w:sz w:val="18"/>
          <w:szCs w:val="18"/>
        </w:rPr>
        <w:t>ade disputes, war, terrorism, natural disasters, public health issues, industrial accidents and other business interruptions.</w:t>
      </w:r>
    </w:p>
    <w:p w14:paraId="2A739C7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Political events, international trade disputes, war, terrorism, natural disasters, public health issues, industrial accidents and </w:t>
      </w:r>
      <w:r>
        <w:rPr>
          <w:rFonts w:ascii="Helvetica" w:eastAsia="Helvetica" w:hAnsi="Helvetica" w:cs="Helvetica"/>
          <w:sz w:val="18"/>
          <w:szCs w:val="18"/>
        </w:rPr>
        <w:t>other business interruptions could harm or disrupt international commerce and the global economy, and could have a material adverse effect on the Company and its customers, suppliers, contract manufacturers, logistics providers, distributors, cellular netw</w:t>
      </w:r>
      <w:r>
        <w:rPr>
          <w:rFonts w:ascii="Helvetica" w:eastAsia="Helvetica" w:hAnsi="Helvetica" w:cs="Helvetica"/>
          <w:sz w:val="18"/>
          <w:szCs w:val="18"/>
        </w:rPr>
        <w:t>ork carriers and other channel partners.</w:t>
      </w:r>
    </w:p>
    <w:p w14:paraId="2A739C7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International trade disputes can result in tariffs and other measures that can adversely affect the Company’s business. For example, trade tensions have led to a series of tariffs imposed by the U.S. on imports from</w:t>
      </w:r>
      <w:r>
        <w:rPr>
          <w:rFonts w:ascii="Helvetica" w:eastAsia="Helvetica" w:hAnsi="Helvetica" w:cs="Helvetica"/>
          <w:sz w:val="18"/>
          <w:szCs w:val="18"/>
        </w:rPr>
        <w:t xml:space="preserve"> China. Tariffs increase the cost of the Company’s products and the components and raw materials that go into making them. These increased costs adversely impact the gross margin that the Company earns on its products. Tariffs can also make the Company’s p</w:t>
      </w:r>
      <w:r>
        <w:rPr>
          <w:rFonts w:ascii="Helvetica" w:eastAsia="Helvetica" w:hAnsi="Helvetica" w:cs="Helvetica"/>
          <w:sz w:val="18"/>
          <w:szCs w:val="18"/>
        </w:rPr>
        <w:t>roducts more expensive for customers, which could make the Company’s products less competitive and reduce consumer demand. Countries may also adopt other measures that could limit the Company’s ability to offer its products and services. Political uncertai</w:t>
      </w:r>
      <w:r>
        <w:rPr>
          <w:rFonts w:ascii="Helvetica" w:eastAsia="Helvetica" w:hAnsi="Helvetica" w:cs="Helvetica"/>
          <w:sz w:val="18"/>
          <w:szCs w:val="18"/>
        </w:rPr>
        <w:t>nty surrounding international trade disputes and measures could also have a negative effect on consumer confidence and spending, which could adversely affect the Company’s business.</w:t>
      </w:r>
    </w:p>
    <w:p w14:paraId="2A739C7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Many of the Company’s operations and facilities, as well as critical busin</w:t>
      </w:r>
      <w:r>
        <w:rPr>
          <w:rFonts w:ascii="Helvetica" w:eastAsia="Helvetica" w:hAnsi="Helvetica" w:cs="Helvetica"/>
          <w:sz w:val="18"/>
          <w:szCs w:val="18"/>
        </w:rPr>
        <w:t xml:space="preserve">ess operations of the Company’s suppliers and contract manufacturers, are in locations that are prone to earthquakes and other natural disasters. In addition, such operations and facilities are subject to the risk of interruption by fire, power shortages, </w:t>
      </w:r>
      <w:r>
        <w:rPr>
          <w:rFonts w:ascii="Helvetica" w:eastAsia="Helvetica" w:hAnsi="Helvetica" w:cs="Helvetica"/>
          <w:sz w:val="18"/>
          <w:szCs w:val="18"/>
        </w:rPr>
        <w:t>nuclear power plant accidents and other industrial accidents, terrorist attacks and other hostile acts, labor disputes, public health issues and other events beyond the Company’s control. Global climate change could result in certain types of natural disas</w:t>
      </w:r>
      <w:r>
        <w:rPr>
          <w:rFonts w:ascii="Helvetica" w:eastAsia="Helvetica" w:hAnsi="Helvetica" w:cs="Helvetica"/>
          <w:sz w:val="18"/>
          <w:szCs w:val="18"/>
        </w:rPr>
        <w:t xml:space="preserve">ters occurring more frequently or with more intense effects. Such events could make it difficult or impossible for the Company to manufacture and deliver products to its customers, create delays and inefficiencies in the Company’s supply and manufacturing </w:t>
      </w:r>
      <w:r>
        <w:rPr>
          <w:rFonts w:ascii="Helvetica" w:eastAsia="Helvetica" w:hAnsi="Helvetica" w:cs="Helvetica"/>
          <w:sz w:val="18"/>
          <w:szCs w:val="18"/>
        </w:rPr>
        <w:t>chain, and result in slowdowns and outages to the Company’s service offerings. Following an interruption to its business, the Company could require substantial recovery time, experience significant expenditures to resume operations, and lose significant sa</w:t>
      </w:r>
      <w:r>
        <w:rPr>
          <w:rFonts w:ascii="Helvetica" w:eastAsia="Helvetica" w:hAnsi="Helvetica" w:cs="Helvetica"/>
          <w:sz w:val="18"/>
          <w:szCs w:val="18"/>
        </w:rPr>
        <w:t>les. Because the Company relies on single or limited sources for the supply and manufacture of many critical components, a business interruption affecting such sources would exacerbate any negative consequences to the Company.</w:t>
      </w:r>
    </w:p>
    <w:p w14:paraId="2A739C7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operations are </w:t>
      </w:r>
      <w:r>
        <w:rPr>
          <w:rFonts w:ascii="Helvetica" w:eastAsia="Helvetica" w:hAnsi="Helvetica" w:cs="Helvetica"/>
          <w:sz w:val="18"/>
          <w:szCs w:val="18"/>
        </w:rPr>
        <w:t>also subject to the risks of industrial accidents at its suppliers and contract manufacturers. While the Company’s suppliers are required to maintain safe working environments and operations, an industrial accident could occur and could result in disruptio</w:t>
      </w:r>
      <w:r>
        <w:rPr>
          <w:rFonts w:ascii="Helvetica" w:eastAsia="Helvetica" w:hAnsi="Helvetica" w:cs="Helvetica"/>
          <w:sz w:val="18"/>
          <w:szCs w:val="18"/>
        </w:rPr>
        <w:t>n to the Company’s business and harm to the Company’s reputation. Should major public health issues, including pandemics, arise, the Company could be adversely affected by more stringent employee travel restrictions, additional limitations in freight servi</w:t>
      </w:r>
      <w:r>
        <w:rPr>
          <w:rFonts w:ascii="Helvetica" w:eastAsia="Helvetica" w:hAnsi="Helvetica" w:cs="Helvetica"/>
          <w:sz w:val="18"/>
          <w:szCs w:val="18"/>
        </w:rPr>
        <w:t>ces, governmental actions limiting the movement of products between regions, delays in production ramps of new products, and disruptions in the operations of the Company’s suppliers and contract manufacturers.</w:t>
      </w:r>
    </w:p>
    <w:p w14:paraId="2A739C7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While the Company maintains insurance coverage</w:t>
      </w:r>
      <w:r>
        <w:rPr>
          <w:rFonts w:ascii="Helvetica" w:eastAsia="Helvetica" w:hAnsi="Helvetica" w:cs="Helvetica"/>
          <w:sz w:val="18"/>
          <w:szCs w:val="18"/>
        </w:rPr>
        <w:t xml:space="preserve"> for certain types of losses, such insurance coverage may be insufficient to cover all losses that may arise.</w:t>
      </w:r>
    </w:p>
    <w:p w14:paraId="2A739C7C"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 expects its quarterly net sales and operating results to fluctuate.</w:t>
      </w:r>
    </w:p>
    <w:p w14:paraId="2A739C7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profit margins vary across its products, </w:t>
      </w:r>
      <w:r>
        <w:rPr>
          <w:rFonts w:ascii="Helvetica" w:eastAsia="Helvetica" w:hAnsi="Helvetica" w:cs="Helvetica"/>
          <w:sz w:val="18"/>
          <w:szCs w:val="18"/>
        </w:rPr>
        <w:t xml:space="preserve">services, geographic segments and distribution channels. For example, gross margins on the Company’s hardware products vary across product lines and can change over time. The Company’s gross margins are subject to volatility and downward pressure due to a </w:t>
      </w:r>
      <w:r>
        <w:rPr>
          <w:rFonts w:ascii="Helvetica" w:eastAsia="Helvetica" w:hAnsi="Helvetica" w:cs="Helvetica"/>
          <w:sz w:val="18"/>
          <w:szCs w:val="18"/>
        </w:rPr>
        <w:t>variety of factors, including: continued industry-wide global product pricing pressures and product pricing actions that the Company may take in response to such pressures; increased competition; the Company’s ability to effectively stimulate demand for ce</w:t>
      </w:r>
      <w:r>
        <w:rPr>
          <w:rFonts w:ascii="Helvetica" w:eastAsia="Helvetica" w:hAnsi="Helvetica" w:cs="Helvetica"/>
          <w:sz w:val="18"/>
          <w:szCs w:val="18"/>
        </w:rPr>
        <w:t>rtain of its products and services; compressed product life cycles; potential increases in the cost of components, outside manufacturing services, and acquiring and delivering content for the Company’s services; the Company’s ability to manage product qual</w:t>
      </w:r>
      <w:r>
        <w:rPr>
          <w:rFonts w:ascii="Helvetica" w:eastAsia="Helvetica" w:hAnsi="Helvetica" w:cs="Helvetica"/>
          <w:sz w:val="18"/>
          <w:szCs w:val="18"/>
        </w:rPr>
        <w:t>ity and warranty costs effectively; shifts in the mix of products and services, or in the geographic, currency or channel mix; fluctuations in foreign exchange rates; and the introduction of new products or services, including new products or services with</w:t>
      </w:r>
      <w:r>
        <w:rPr>
          <w:rFonts w:ascii="Helvetica" w:eastAsia="Helvetica" w:hAnsi="Helvetica" w:cs="Helvetica"/>
          <w:sz w:val="18"/>
          <w:szCs w:val="18"/>
        </w:rPr>
        <w:t xml:space="preserve"> higher cost structures. These and other factors could have a materially adverse impact on the Company’s financial condition and operating results.</w:t>
      </w:r>
    </w:p>
    <w:p w14:paraId="2A739C7E" w14:textId="77777777" w:rsidR="00FA5565" w:rsidRDefault="00FA5565">
      <w:pPr>
        <w:rPr>
          <w:rFonts w:ascii="Times New Roman" w:hAnsi="Times New Roman"/>
          <w:sz w:val="20"/>
          <w:szCs w:val="20"/>
        </w:rPr>
      </w:pPr>
    </w:p>
    <w:p w14:paraId="2A739C7F"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12</w:t>
      </w:r>
    </w:p>
    <w:p w14:paraId="2A739C80" w14:textId="77777777" w:rsidR="00FA5565" w:rsidRDefault="00D804D1">
      <w:r>
        <w:rPr>
          <w:rFonts w:ascii="Times New Roman" w:hAnsi="Times New Roman"/>
          <w:sz w:val="16"/>
          <w:szCs w:val="16"/>
        </w:rPr>
        <w:pict w14:anchorId="2A73C0A6">
          <v:rect id="_x0000_i1038" style="width:415.3pt;height:1.5pt" o:hralign="center" o:hrstd="t" o:hr="t" fillcolor="#a0a0a0" stroked="f"/>
        </w:pict>
      </w:r>
    </w:p>
    <w:p w14:paraId="2A739C81" w14:textId="77777777" w:rsidR="00FA5565" w:rsidRDefault="00FA5565">
      <w:pPr>
        <w:rPr>
          <w:rFonts w:ascii="Times New Roman" w:hAnsi="Times New Roman"/>
          <w:sz w:val="20"/>
          <w:szCs w:val="20"/>
        </w:rPr>
      </w:pPr>
    </w:p>
    <w:p w14:paraId="2A739C8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has historically experienced higher net sales in its </w:t>
      </w:r>
      <w:r>
        <w:rPr>
          <w:rFonts w:ascii="Helvetica" w:eastAsia="Helvetica" w:hAnsi="Helvetica" w:cs="Helvetica"/>
          <w:sz w:val="18"/>
          <w:szCs w:val="18"/>
        </w:rPr>
        <w:t>first quarter compared to other quarters in its fiscal year due in part to seasonal holiday demand. Additionally, new product and service introductions can significantly impact net sales, cost of sales and operating expenses. Further, the Company generates</w:t>
      </w:r>
      <w:r>
        <w:rPr>
          <w:rFonts w:ascii="Helvetica" w:eastAsia="Helvetica" w:hAnsi="Helvetica" w:cs="Helvetica"/>
          <w:sz w:val="18"/>
          <w:szCs w:val="18"/>
        </w:rPr>
        <w:t xml:space="preserve"> a significant portion of its net sales from a single product and a decline in demand for that product could significantly impact quarterly net sales. The Company could also be subject to unexpected developments, such as lower-than-anticipated demand for t</w:t>
      </w:r>
      <w:r>
        <w:rPr>
          <w:rFonts w:ascii="Helvetica" w:eastAsia="Helvetica" w:hAnsi="Helvetica" w:cs="Helvetica"/>
          <w:sz w:val="18"/>
          <w:szCs w:val="18"/>
        </w:rPr>
        <w:t>he Company’s products or services, issues with new product or service introductions, information technology system failures or network disruptions, or failure of one of the Company’s logistics, components supply, or manufacturing partners.</w:t>
      </w:r>
    </w:p>
    <w:p w14:paraId="2A739C83"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Company’s st</w:t>
      </w:r>
      <w:r>
        <w:rPr>
          <w:rFonts w:ascii="Helvetica" w:eastAsia="Helvetica" w:hAnsi="Helvetica" w:cs="Helvetica"/>
          <w:b/>
          <w:bCs/>
          <w:i/>
          <w:iCs/>
          <w:sz w:val="18"/>
          <w:szCs w:val="18"/>
        </w:rPr>
        <w:t>ock price is subject to volatility.</w:t>
      </w:r>
    </w:p>
    <w:p w14:paraId="2A739C8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stock price has experienced substantial price volatility in the past and may continue to do so in the future. Additionally, the Company, the technology industry and the stock market as a whole have experien</w:t>
      </w:r>
      <w:r>
        <w:rPr>
          <w:rFonts w:ascii="Helvetica" w:eastAsia="Helvetica" w:hAnsi="Helvetica" w:cs="Helvetica"/>
          <w:sz w:val="18"/>
          <w:szCs w:val="18"/>
        </w:rPr>
        <w:t>ced extreme stock price and volume fluctuations that have affected stock prices in ways that may have been unrelated to these companies’ operating performance. Price volatility over a given period may cause the average price at which the Company repurchase</w:t>
      </w:r>
      <w:r>
        <w:rPr>
          <w:rFonts w:ascii="Helvetica" w:eastAsia="Helvetica" w:hAnsi="Helvetica" w:cs="Helvetica"/>
          <w:sz w:val="18"/>
          <w:szCs w:val="18"/>
        </w:rPr>
        <w:t>s its stock to exceed the stock’s price at a given point in time. The Company believes its stock price should reflect expectations of future growth and profitability. The Company also believes its stock price should reflect expectations that its cash divid</w:t>
      </w:r>
      <w:r>
        <w:rPr>
          <w:rFonts w:ascii="Helvetica" w:eastAsia="Helvetica" w:hAnsi="Helvetica" w:cs="Helvetica"/>
          <w:sz w:val="18"/>
          <w:szCs w:val="18"/>
        </w:rPr>
        <w:t>end will continue at current levels or grow, and that its current share repurchase program will be fully consummated. Future dividends are subject to declaration by the Company’s Board of Directors, and the Company’s share repurchase program does not oblig</w:t>
      </w:r>
      <w:r>
        <w:rPr>
          <w:rFonts w:ascii="Helvetica" w:eastAsia="Helvetica" w:hAnsi="Helvetica" w:cs="Helvetica"/>
          <w:sz w:val="18"/>
          <w:szCs w:val="18"/>
        </w:rPr>
        <w:t>ate it to acquire any specific number of shares. If the Company fails to meet expectations related to future growth, profitability, dividends, share repurchases or other market expectations, its stock price may decline significantly, which could have a mat</w:t>
      </w:r>
      <w:r>
        <w:rPr>
          <w:rFonts w:ascii="Helvetica" w:eastAsia="Helvetica" w:hAnsi="Helvetica" w:cs="Helvetica"/>
          <w:sz w:val="18"/>
          <w:szCs w:val="18"/>
        </w:rPr>
        <w:t>erial adverse impact on investor confidence and employee retention.</w:t>
      </w:r>
    </w:p>
    <w:p w14:paraId="2A739C85"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Company’s financial performance is subject to risks associated with changes in the value of the U.S. dollar relative to local currencies.</w:t>
      </w:r>
    </w:p>
    <w:p w14:paraId="2A739C8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primary exposure to movements in</w:t>
      </w:r>
      <w:r>
        <w:rPr>
          <w:rFonts w:ascii="Helvetica" w:eastAsia="Helvetica" w:hAnsi="Helvetica" w:cs="Helvetica"/>
          <w:sz w:val="18"/>
          <w:szCs w:val="18"/>
        </w:rPr>
        <w:t xml:space="preserve"> foreign currency exchange rates relates to non–U.S. dollar–denominated sales, cost of sales and operating expenses worldwide. Gross margins on the Company’s products in foreign countries and on products that include components obtained from foreign suppli</w:t>
      </w:r>
      <w:r>
        <w:rPr>
          <w:rFonts w:ascii="Helvetica" w:eastAsia="Helvetica" w:hAnsi="Helvetica" w:cs="Helvetica"/>
          <w:sz w:val="18"/>
          <w:szCs w:val="18"/>
        </w:rPr>
        <w:t>ers could be materially adversely affected by foreign currency exchange rate fluctuations.</w:t>
      </w:r>
    </w:p>
    <w:p w14:paraId="2A739C8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weakening of foreign currencies relative to the U.S. dollar adversely affects the U.S. dollar value of the Company’s foreign currency–denominated sales and earni</w:t>
      </w:r>
      <w:r>
        <w:rPr>
          <w:rFonts w:ascii="Helvetica" w:eastAsia="Helvetica" w:hAnsi="Helvetica" w:cs="Helvetica"/>
          <w:sz w:val="18"/>
          <w:szCs w:val="18"/>
        </w:rPr>
        <w:t>ngs, and generally leads the Company to raise international pricing, potentially reducing demand for the Company’s products. In some circumstances, for competitive or other reasons, the Company may decide not to raise international pricing to offset the U.</w:t>
      </w:r>
      <w:r>
        <w:rPr>
          <w:rFonts w:ascii="Helvetica" w:eastAsia="Helvetica" w:hAnsi="Helvetica" w:cs="Helvetica"/>
          <w:sz w:val="18"/>
          <w:szCs w:val="18"/>
        </w:rPr>
        <w:t>S. dollar’s strengthening, which would adversely affect the U.S. dollar value of the gross margins the Company earns on foreign currency–denominated sales.</w:t>
      </w:r>
    </w:p>
    <w:p w14:paraId="2A739C8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Conversely, a strengthening of foreign currencies relative to the U.S. dollar, while generally benef</w:t>
      </w:r>
      <w:r>
        <w:rPr>
          <w:rFonts w:ascii="Helvetica" w:eastAsia="Helvetica" w:hAnsi="Helvetica" w:cs="Helvetica"/>
          <w:sz w:val="18"/>
          <w:szCs w:val="18"/>
        </w:rPr>
        <w:t>icial to the Company’s foreign currency–denominated sales and earnings, could cause the Company to reduce international pricing and incur losses on its foreign currency derivative instruments, thereby limiting the benefit. Additionally, strengthening of fo</w:t>
      </w:r>
      <w:r>
        <w:rPr>
          <w:rFonts w:ascii="Helvetica" w:eastAsia="Helvetica" w:hAnsi="Helvetica" w:cs="Helvetica"/>
          <w:sz w:val="18"/>
          <w:szCs w:val="18"/>
        </w:rPr>
        <w:t>reign currencies may increase the Company’s cost of product components denominated in those currencies, thus adversely affecting gross margins.</w:t>
      </w:r>
    </w:p>
    <w:p w14:paraId="2A739C8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uses derivative instruments, such as foreign currency forward and option contracts, to hedge certain</w:t>
      </w:r>
      <w:r>
        <w:rPr>
          <w:rFonts w:ascii="Helvetica" w:eastAsia="Helvetica" w:hAnsi="Helvetica" w:cs="Helvetica"/>
          <w:sz w:val="18"/>
          <w:szCs w:val="18"/>
        </w:rPr>
        <w:t xml:space="preserve"> exposures to fluctuations in foreign currency exchange rates. The use of such hedging activities may not be effective to offset any, or more than a portion, of the adverse financial effects of unfavorable movements in foreign exchange rates over the limit</w:t>
      </w:r>
      <w:r>
        <w:rPr>
          <w:rFonts w:ascii="Helvetica" w:eastAsia="Helvetica" w:hAnsi="Helvetica" w:cs="Helvetica"/>
          <w:sz w:val="18"/>
          <w:szCs w:val="18"/>
        </w:rPr>
        <w:t>ed time the hedges are in place.</w:t>
      </w:r>
    </w:p>
    <w:p w14:paraId="2A739C8A"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 is exposed to credit risk and fluctuations in the values of its investment portfolio.</w:t>
      </w:r>
    </w:p>
    <w:p w14:paraId="2A739C8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investments can be negatively affected by liquidity, credit deterioration, financial results, market and econom</w:t>
      </w:r>
      <w:r>
        <w:rPr>
          <w:rFonts w:ascii="Helvetica" w:eastAsia="Helvetica" w:hAnsi="Helvetica" w:cs="Helvetica"/>
          <w:sz w:val="18"/>
          <w:szCs w:val="18"/>
        </w:rPr>
        <w:t>ic conditions, political risk, sovereign risk, interest rate fluctuations or other factors. As a result, the value and liquidity of the Company’s cash, cash equivalents, and marketable and non-marketable securities may fluctuate substantially. Therefore, a</w:t>
      </w:r>
      <w:r>
        <w:rPr>
          <w:rFonts w:ascii="Helvetica" w:eastAsia="Helvetica" w:hAnsi="Helvetica" w:cs="Helvetica"/>
          <w:sz w:val="18"/>
          <w:szCs w:val="18"/>
        </w:rPr>
        <w:t>lthough the Company has not realized any significant losses on its cash, cash equivalents, and marketable and non-marketable securities, future fluctuations in their value could result in significant losses and could have a material adverse impact on the C</w:t>
      </w:r>
      <w:r>
        <w:rPr>
          <w:rFonts w:ascii="Helvetica" w:eastAsia="Helvetica" w:hAnsi="Helvetica" w:cs="Helvetica"/>
          <w:sz w:val="18"/>
          <w:szCs w:val="18"/>
        </w:rPr>
        <w:t>ompany’s financial condition and operating results.</w:t>
      </w:r>
    </w:p>
    <w:p w14:paraId="2A739C8C" w14:textId="77777777" w:rsidR="00FA5565" w:rsidRDefault="00FA5565">
      <w:pPr>
        <w:rPr>
          <w:rFonts w:ascii="Times New Roman" w:hAnsi="Times New Roman"/>
          <w:sz w:val="20"/>
          <w:szCs w:val="20"/>
        </w:rPr>
      </w:pPr>
    </w:p>
    <w:p w14:paraId="2A739C8D"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13</w:t>
      </w:r>
    </w:p>
    <w:p w14:paraId="2A739C8E" w14:textId="77777777" w:rsidR="00FA5565" w:rsidRDefault="00D804D1">
      <w:r>
        <w:rPr>
          <w:rFonts w:ascii="Times New Roman" w:hAnsi="Times New Roman"/>
          <w:sz w:val="16"/>
          <w:szCs w:val="16"/>
        </w:rPr>
        <w:pict w14:anchorId="2A73C0A7">
          <v:rect id="_x0000_i1039" style="width:415.3pt;height:1.5pt" o:hralign="center" o:hrstd="t" o:hr="t" fillcolor="#a0a0a0" stroked="f"/>
        </w:pict>
      </w:r>
    </w:p>
    <w:p w14:paraId="2A739C8F" w14:textId="77777777" w:rsidR="00FA5565" w:rsidRDefault="00FA5565">
      <w:pPr>
        <w:rPr>
          <w:rFonts w:ascii="Times New Roman" w:hAnsi="Times New Roman"/>
          <w:sz w:val="20"/>
          <w:szCs w:val="20"/>
        </w:rPr>
      </w:pPr>
    </w:p>
    <w:p w14:paraId="2A739C90"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 is exposed to credit risk on its trade accounts receivable, vendor non-trade receivables and prepayments related to long-term supply agreements, and this r</w:t>
      </w:r>
      <w:r>
        <w:rPr>
          <w:rFonts w:ascii="Helvetica" w:eastAsia="Helvetica" w:hAnsi="Helvetica" w:cs="Helvetica"/>
          <w:b/>
          <w:bCs/>
          <w:i/>
          <w:iCs/>
          <w:sz w:val="18"/>
          <w:szCs w:val="18"/>
        </w:rPr>
        <w:t>isk is heightened during periods when economic conditions worsen.</w:t>
      </w:r>
    </w:p>
    <w:p w14:paraId="2A739C9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distributes its products through third-party cellular network carriers, wholesalers, retailers and resellers. The Company also sells its products directly to small and mid-sized </w:t>
      </w:r>
      <w:r>
        <w:rPr>
          <w:rFonts w:ascii="Helvetica" w:eastAsia="Helvetica" w:hAnsi="Helvetica" w:cs="Helvetica"/>
          <w:sz w:val="18"/>
          <w:szCs w:val="18"/>
        </w:rPr>
        <w:t>businesses and education, enterprise and government customers. A substantial majority of the Company’s outstanding trade receivables are not covered by collateral, third-party bank support or financing arrangements, or credit insurance. The Company’s expos</w:t>
      </w:r>
      <w:r>
        <w:rPr>
          <w:rFonts w:ascii="Helvetica" w:eastAsia="Helvetica" w:hAnsi="Helvetica" w:cs="Helvetica"/>
          <w:sz w:val="18"/>
          <w:szCs w:val="18"/>
        </w:rPr>
        <w:t>ure to credit and collectibility risk on its trade receivables is higher in certain international markets and its ability to mitigate such risks may be limited. The Company also has unsecured vendor non-trade receivables resulting from purchases of compone</w:t>
      </w:r>
      <w:r>
        <w:rPr>
          <w:rFonts w:ascii="Helvetica" w:eastAsia="Helvetica" w:hAnsi="Helvetica" w:cs="Helvetica"/>
          <w:sz w:val="18"/>
          <w:szCs w:val="18"/>
        </w:rPr>
        <w:t>nts by outsourcing partners and other vendors that manufacture sub-assemblies or assemble final products for the Company. In addition, the Company has made prepayments associated with long-term supply agreements to secure supply of inventory components. As</w:t>
      </w:r>
      <w:r>
        <w:rPr>
          <w:rFonts w:ascii="Helvetica" w:eastAsia="Helvetica" w:hAnsi="Helvetica" w:cs="Helvetica"/>
          <w:sz w:val="18"/>
          <w:szCs w:val="18"/>
        </w:rPr>
        <w:t xml:space="preserve"> of September 28, 2019, a significant portion of the Company’s trade receivables was concentrated within cellular network carriers, and its vendor non-trade receivables and prepayments related to long-term supply agreements were concentrated among a few in</w:t>
      </w:r>
      <w:r>
        <w:rPr>
          <w:rFonts w:ascii="Helvetica" w:eastAsia="Helvetica" w:hAnsi="Helvetica" w:cs="Helvetica"/>
          <w:sz w:val="18"/>
          <w:szCs w:val="18"/>
        </w:rPr>
        <w:t>dividual vendors located primarily in Asia. While the Company has procedures to monitor and limit exposure to credit risk on its trade and vendor non-trade receivables, as well as long-term prepayments, there can be no assurance such procedures will effect</w:t>
      </w:r>
      <w:r>
        <w:rPr>
          <w:rFonts w:ascii="Helvetica" w:eastAsia="Helvetica" w:hAnsi="Helvetica" w:cs="Helvetica"/>
          <w:sz w:val="18"/>
          <w:szCs w:val="18"/>
        </w:rPr>
        <w:t>ively limit its credit risk and avoid losses.</w:t>
      </w:r>
    </w:p>
    <w:p w14:paraId="2A739C92"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The Company could be subject to changes in its tax rates, the adoption of new U.S. or international tax legislation or exposure to additional tax liabilities.</w:t>
      </w:r>
    </w:p>
    <w:p w14:paraId="2A739C9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is subject to taxes in the U.S. and num</w:t>
      </w:r>
      <w:r>
        <w:rPr>
          <w:rFonts w:ascii="Helvetica" w:eastAsia="Helvetica" w:hAnsi="Helvetica" w:cs="Helvetica"/>
          <w:sz w:val="18"/>
          <w:szCs w:val="18"/>
        </w:rPr>
        <w:t>erous foreign jurisdictions, including Ireland, where a number of the Company’s subsidiaries are organized. Due to economic and political conditions, tax rates in various jurisdictions may be subject to significant change. The Company’s effective tax rates</w:t>
      </w:r>
      <w:r>
        <w:rPr>
          <w:rFonts w:ascii="Helvetica" w:eastAsia="Helvetica" w:hAnsi="Helvetica" w:cs="Helvetica"/>
          <w:sz w:val="18"/>
          <w:szCs w:val="18"/>
        </w:rPr>
        <w:t xml:space="preserve"> could be affected by changes in the mix of earnings in countries with differing statutory tax rates, changes in the valuation of deferred tax assets and liabilities, or changes in tax laws or their interpretation, including in the U.S. and Ireland.</w:t>
      </w:r>
    </w:p>
    <w:p w14:paraId="2A739C9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w:t>
      </w:r>
      <w:r>
        <w:rPr>
          <w:rFonts w:ascii="Helvetica" w:eastAsia="Helvetica" w:hAnsi="Helvetica" w:cs="Helvetica"/>
          <w:sz w:val="18"/>
          <w:szCs w:val="18"/>
        </w:rPr>
        <w:t>mpany is also subject to the examination of its tax returns and other tax matters by the U.S. Internal Revenue Service and other tax authorities and governmental bodies. The Company regularly assesses the likelihood of an adverse outcome resulting from the</w:t>
      </w:r>
      <w:r>
        <w:rPr>
          <w:rFonts w:ascii="Helvetica" w:eastAsia="Helvetica" w:hAnsi="Helvetica" w:cs="Helvetica"/>
          <w:sz w:val="18"/>
          <w:szCs w:val="18"/>
        </w:rPr>
        <w:t>se examinations to determine the adequacy of its provision for taxes. There can be no assurance as to the outcome of these examinations. If the Company’s effective tax rates were to increase, particularly in the U.S. or Ireland, or if the ultimate determin</w:t>
      </w:r>
      <w:r>
        <w:rPr>
          <w:rFonts w:ascii="Helvetica" w:eastAsia="Helvetica" w:hAnsi="Helvetica" w:cs="Helvetica"/>
          <w:sz w:val="18"/>
          <w:szCs w:val="18"/>
        </w:rPr>
        <w:t>ation of the Company’s taxes owed is for an amount in excess of amounts previously accrued, the Company’s financial condition and operating results could be materially adversely affected.</w:t>
      </w:r>
    </w:p>
    <w:tbl>
      <w:tblPr>
        <w:tblW w:w="0" w:type="auto"/>
        <w:tblCellSpacing w:w="0" w:type="dxa"/>
        <w:tblCellMar>
          <w:left w:w="0" w:type="dxa"/>
          <w:right w:w="0" w:type="dxa"/>
        </w:tblCellMar>
        <w:tblLook w:val="04A0" w:firstRow="1" w:lastRow="0" w:firstColumn="1" w:lastColumn="0" w:noHBand="0" w:noVBand="1"/>
      </w:tblPr>
      <w:tblGrid>
        <w:gridCol w:w="1200"/>
        <w:gridCol w:w="2411"/>
      </w:tblGrid>
      <w:tr w:rsidR="00FA5565" w14:paraId="2A739C97" w14:textId="77777777">
        <w:trPr>
          <w:tblCellSpacing w:w="0" w:type="dxa"/>
        </w:trPr>
        <w:tc>
          <w:tcPr>
            <w:tcW w:w="1200" w:type="dxa"/>
            <w:shd w:val="clear" w:color="auto" w:fill="auto"/>
            <w:vAlign w:val="center"/>
          </w:tcPr>
          <w:p w14:paraId="2A739C95" w14:textId="77777777" w:rsidR="00FA5565" w:rsidRDefault="00FA5565">
            <w:pPr>
              <w:rPr>
                <w:rFonts w:ascii="Times New Roman" w:hAnsi="Times New Roman"/>
                <w:sz w:val="20"/>
                <w:szCs w:val="20"/>
              </w:rPr>
            </w:pPr>
          </w:p>
        </w:tc>
        <w:tc>
          <w:tcPr>
            <w:tcW w:w="0" w:type="auto"/>
            <w:shd w:val="clear" w:color="auto" w:fill="auto"/>
            <w:vAlign w:val="center"/>
          </w:tcPr>
          <w:p w14:paraId="2A739C96" w14:textId="77777777" w:rsidR="00FA5565" w:rsidRDefault="00FA5565">
            <w:pPr>
              <w:rPr>
                <w:rFonts w:ascii="Times New Roman" w:hAnsi="Times New Roman"/>
                <w:sz w:val="20"/>
                <w:szCs w:val="20"/>
              </w:rPr>
            </w:pPr>
          </w:p>
        </w:tc>
      </w:tr>
      <w:tr w:rsidR="00FA5565" w14:paraId="2A739C9A" w14:textId="77777777">
        <w:trPr>
          <w:tblCellSpacing w:w="0" w:type="dxa"/>
        </w:trPr>
        <w:tc>
          <w:tcPr>
            <w:tcW w:w="0" w:type="auto"/>
            <w:shd w:val="clear" w:color="auto" w:fill="auto"/>
          </w:tcPr>
          <w:p w14:paraId="2A739C98"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1B.</w:t>
            </w:r>
          </w:p>
        </w:tc>
        <w:tc>
          <w:tcPr>
            <w:tcW w:w="0" w:type="auto"/>
            <w:shd w:val="clear" w:color="auto" w:fill="auto"/>
          </w:tcPr>
          <w:p w14:paraId="2A739C99"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Unresolved Staff Comments</w:t>
            </w:r>
          </w:p>
        </w:tc>
      </w:tr>
    </w:tbl>
    <w:p w14:paraId="2A739C9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None.</w:t>
      </w:r>
    </w:p>
    <w:tbl>
      <w:tblPr>
        <w:tblW w:w="0" w:type="auto"/>
        <w:tblCellSpacing w:w="0" w:type="dxa"/>
        <w:tblCellMar>
          <w:left w:w="0" w:type="dxa"/>
          <w:right w:w="0" w:type="dxa"/>
        </w:tblCellMar>
        <w:tblLook w:val="04A0" w:firstRow="1" w:lastRow="0" w:firstColumn="1" w:lastColumn="0" w:noHBand="0" w:noVBand="1"/>
      </w:tblPr>
      <w:tblGrid>
        <w:gridCol w:w="1200"/>
        <w:gridCol w:w="891"/>
      </w:tblGrid>
      <w:tr w:rsidR="00FA5565" w14:paraId="2A739C9E" w14:textId="77777777">
        <w:trPr>
          <w:tblCellSpacing w:w="0" w:type="dxa"/>
        </w:trPr>
        <w:tc>
          <w:tcPr>
            <w:tcW w:w="1200" w:type="dxa"/>
            <w:shd w:val="clear" w:color="auto" w:fill="auto"/>
            <w:vAlign w:val="center"/>
          </w:tcPr>
          <w:p w14:paraId="2A739C9C" w14:textId="77777777" w:rsidR="00FA5565" w:rsidRDefault="00FA5565">
            <w:pPr>
              <w:rPr>
                <w:rFonts w:ascii="Times New Roman" w:hAnsi="Times New Roman"/>
                <w:sz w:val="20"/>
                <w:szCs w:val="20"/>
              </w:rPr>
            </w:pPr>
          </w:p>
        </w:tc>
        <w:tc>
          <w:tcPr>
            <w:tcW w:w="0" w:type="auto"/>
            <w:shd w:val="clear" w:color="auto" w:fill="auto"/>
            <w:vAlign w:val="center"/>
          </w:tcPr>
          <w:p w14:paraId="2A739C9D" w14:textId="77777777" w:rsidR="00FA5565" w:rsidRDefault="00FA5565">
            <w:pPr>
              <w:rPr>
                <w:rFonts w:ascii="Times New Roman" w:hAnsi="Times New Roman"/>
                <w:sz w:val="20"/>
                <w:szCs w:val="20"/>
              </w:rPr>
            </w:pPr>
          </w:p>
        </w:tc>
      </w:tr>
      <w:tr w:rsidR="00FA5565" w14:paraId="2A739CA1" w14:textId="77777777">
        <w:trPr>
          <w:tblCellSpacing w:w="0" w:type="dxa"/>
        </w:trPr>
        <w:tc>
          <w:tcPr>
            <w:tcW w:w="0" w:type="auto"/>
            <w:shd w:val="clear" w:color="auto" w:fill="auto"/>
          </w:tcPr>
          <w:p w14:paraId="2A739C9F"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2.</w:t>
            </w:r>
          </w:p>
        </w:tc>
        <w:tc>
          <w:tcPr>
            <w:tcW w:w="0" w:type="auto"/>
            <w:shd w:val="clear" w:color="auto" w:fill="auto"/>
          </w:tcPr>
          <w:p w14:paraId="2A739CA0"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Properties</w:t>
            </w:r>
          </w:p>
        </w:tc>
      </w:tr>
    </w:tbl>
    <w:p w14:paraId="2A739CA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headquarters are located in Cupertino, California. As of September 28, 2019, the Company owned or leased facilities and land for corporate functions, R&amp;D, data centers, retail and other purposes at locations throughout the U.S. an</w:t>
      </w:r>
      <w:r>
        <w:rPr>
          <w:rFonts w:ascii="Helvetica" w:eastAsia="Helvetica" w:hAnsi="Helvetica" w:cs="Helvetica"/>
          <w:sz w:val="18"/>
          <w:szCs w:val="18"/>
        </w:rPr>
        <w:t>d in various places outside the U.S. The Company believes its existing facilities and equipment, which are used by all reportable segments, are in good operating condition and are suitable for the conduct of its business.</w:t>
      </w:r>
    </w:p>
    <w:tbl>
      <w:tblPr>
        <w:tblW w:w="0" w:type="auto"/>
        <w:tblCellSpacing w:w="0" w:type="dxa"/>
        <w:tblCellMar>
          <w:left w:w="0" w:type="dxa"/>
          <w:right w:w="0" w:type="dxa"/>
        </w:tblCellMar>
        <w:tblLook w:val="04A0" w:firstRow="1" w:lastRow="0" w:firstColumn="1" w:lastColumn="0" w:noHBand="0" w:noVBand="1"/>
      </w:tblPr>
      <w:tblGrid>
        <w:gridCol w:w="1200"/>
        <w:gridCol w:w="1601"/>
      </w:tblGrid>
      <w:tr w:rsidR="00FA5565" w14:paraId="2A739CA5" w14:textId="77777777">
        <w:trPr>
          <w:tblCellSpacing w:w="0" w:type="dxa"/>
        </w:trPr>
        <w:tc>
          <w:tcPr>
            <w:tcW w:w="1200" w:type="dxa"/>
            <w:shd w:val="clear" w:color="auto" w:fill="auto"/>
            <w:vAlign w:val="center"/>
          </w:tcPr>
          <w:p w14:paraId="2A739CA3" w14:textId="77777777" w:rsidR="00FA5565" w:rsidRDefault="00FA5565">
            <w:pPr>
              <w:rPr>
                <w:rFonts w:ascii="Times New Roman" w:hAnsi="Times New Roman"/>
                <w:sz w:val="20"/>
                <w:szCs w:val="20"/>
              </w:rPr>
            </w:pPr>
          </w:p>
        </w:tc>
        <w:tc>
          <w:tcPr>
            <w:tcW w:w="0" w:type="auto"/>
            <w:shd w:val="clear" w:color="auto" w:fill="auto"/>
            <w:vAlign w:val="center"/>
          </w:tcPr>
          <w:p w14:paraId="2A739CA4" w14:textId="77777777" w:rsidR="00FA5565" w:rsidRDefault="00FA5565">
            <w:pPr>
              <w:rPr>
                <w:rFonts w:ascii="Times New Roman" w:hAnsi="Times New Roman"/>
                <w:sz w:val="20"/>
                <w:szCs w:val="20"/>
              </w:rPr>
            </w:pPr>
          </w:p>
        </w:tc>
      </w:tr>
      <w:tr w:rsidR="00FA5565" w14:paraId="2A739CA8" w14:textId="77777777">
        <w:trPr>
          <w:tblCellSpacing w:w="0" w:type="dxa"/>
        </w:trPr>
        <w:tc>
          <w:tcPr>
            <w:tcW w:w="0" w:type="auto"/>
            <w:shd w:val="clear" w:color="auto" w:fill="auto"/>
          </w:tcPr>
          <w:p w14:paraId="2A739CA6"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3.</w:t>
            </w:r>
          </w:p>
        </w:tc>
        <w:tc>
          <w:tcPr>
            <w:tcW w:w="0" w:type="auto"/>
            <w:shd w:val="clear" w:color="auto" w:fill="auto"/>
          </w:tcPr>
          <w:p w14:paraId="2A739CA7"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 xml:space="preserve">Legal </w:t>
            </w:r>
            <w:r>
              <w:rPr>
                <w:rFonts w:ascii="Helvetica" w:eastAsia="Helvetica" w:hAnsi="Helvetica" w:cs="Helvetica"/>
                <w:b/>
                <w:bCs/>
                <w:sz w:val="18"/>
                <w:szCs w:val="18"/>
              </w:rPr>
              <w:t>Proceedings</w:t>
            </w:r>
          </w:p>
        </w:tc>
      </w:tr>
    </w:tbl>
    <w:p w14:paraId="2A739CA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is subject to legal proceedings and claims that have not been fully resolved and that have arisen in the ordinary course of business. Except as described in Part II, Item 8 of this Form 10-K in the Notes to Consolidated Financial S</w:t>
      </w:r>
      <w:r>
        <w:rPr>
          <w:rFonts w:ascii="Helvetica" w:eastAsia="Helvetica" w:hAnsi="Helvetica" w:cs="Helvetica"/>
          <w:sz w:val="18"/>
          <w:szCs w:val="18"/>
        </w:rPr>
        <w:t>tatements in Note 10, “Commitments and Contingencies” under the heading “Contingencies,” in the opinion of management, there was not at least a reasonable possibility the Company may have incurred a material loss, or a material loss greater than a recorded</w:t>
      </w:r>
      <w:r>
        <w:rPr>
          <w:rFonts w:ascii="Helvetica" w:eastAsia="Helvetica" w:hAnsi="Helvetica" w:cs="Helvetica"/>
          <w:sz w:val="18"/>
          <w:szCs w:val="18"/>
        </w:rPr>
        <w:t xml:space="preserve"> accrual, concerning loss contingencies for asserted legal and other claims.</w:t>
      </w:r>
    </w:p>
    <w:p w14:paraId="2A739CA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outcome of litigation is inherently uncertain. If one or more legal matters were resolved against the Company in a reporting period for amounts above management’s expectations</w:t>
      </w:r>
      <w:r>
        <w:rPr>
          <w:rFonts w:ascii="Helvetica" w:eastAsia="Helvetica" w:hAnsi="Helvetica" w:cs="Helvetica"/>
          <w:sz w:val="18"/>
          <w:szCs w:val="18"/>
        </w:rPr>
        <w:t xml:space="preserve">, the Company’s financial condition and operating results for that reporting period could be materially adversely affected. Refer to the risk factor </w:t>
      </w:r>
      <w:r>
        <w:rPr>
          <w:rFonts w:ascii="Helvetica" w:eastAsia="Helvetica" w:hAnsi="Helvetica" w:cs="Helvetica"/>
          <w:i/>
          <w:iCs/>
          <w:sz w:val="18"/>
          <w:szCs w:val="18"/>
        </w:rPr>
        <w:t>“</w:t>
      </w:r>
      <w:r>
        <w:rPr>
          <w:rFonts w:ascii="Helvetica" w:eastAsia="Helvetica" w:hAnsi="Helvetica" w:cs="Helvetica"/>
          <w:i/>
          <w:iCs/>
          <w:sz w:val="18"/>
          <w:szCs w:val="18"/>
        </w:rPr>
        <w:t>The Company could be impacted by unfavorable results of legal proceedings, such as being found to have inf</w:t>
      </w:r>
      <w:r>
        <w:rPr>
          <w:rFonts w:ascii="Helvetica" w:eastAsia="Helvetica" w:hAnsi="Helvetica" w:cs="Helvetica"/>
          <w:i/>
          <w:iCs/>
          <w:sz w:val="18"/>
          <w:szCs w:val="18"/>
        </w:rPr>
        <w:t>ringed on intellectual property rights</w:t>
      </w:r>
      <w:r>
        <w:rPr>
          <w:rFonts w:ascii="Helvetica" w:eastAsia="Helvetica" w:hAnsi="Helvetica" w:cs="Helvetica"/>
          <w:i/>
          <w:iCs/>
          <w:sz w:val="18"/>
          <w:szCs w:val="18"/>
        </w:rPr>
        <w:t>”</w:t>
      </w:r>
      <w:r>
        <w:rPr>
          <w:rFonts w:ascii="Helvetica" w:eastAsia="Helvetica" w:hAnsi="Helvetica" w:cs="Helvetica"/>
          <w:sz w:val="18"/>
          <w:szCs w:val="18"/>
        </w:rPr>
        <w:t xml:space="preserve"> in Part I, Item 1A of this Form 10-K under the heading “Risk Factors.” The Company settled certain matters during the fourth quarter of 2019 that did not individually or in the aggregate have a material impact on the</w:t>
      </w:r>
      <w:r>
        <w:rPr>
          <w:rFonts w:ascii="Helvetica" w:eastAsia="Helvetica" w:hAnsi="Helvetica" w:cs="Helvetica"/>
          <w:sz w:val="18"/>
          <w:szCs w:val="18"/>
        </w:rPr>
        <w:t xml:space="preserve"> Company’s financial condition or operating results.</w:t>
      </w:r>
    </w:p>
    <w:tbl>
      <w:tblPr>
        <w:tblW w:w="0" w:type="auto"/>
        <w:tblCellSpacing w:w="0" w:type="dxa"/>
        <w:tblCellMar>
          <w:left w:w="0" w:type="dxa"/>
          <w:right w:w="0" w:type="dxa"/>
        </w:tblCellMar>
        <w:tblLook w:val="04A0" w:firstRow="1" w:lastRow="0" w:firstColumn="1" w:lastColumn="0" w:noHBand="0" w:noVBand="1"/>
      </w:tblPr>
      <w:tblGrid>
        <w:gridCol w:w="1200"/>
        <w:gridCol w:w="2071"/>
      </w:tblGrid>
      <w:tr w:rsidR="00FA5565" w14:paraId="2A739CAD" w14:textId="77777777">
        <w:trPr>
          <w:tblCellSpacing w:w="0" w:type="dxa"/>
        </w:trPr>
        <w:tc>
          <w:tcPr>
            <w:tcW w:w="1200" w:type="dxa"/>
            <w:shd w:val="clear" w:color="auto" w:fill="auto"/>
            <w:vAlign w:val="center"/>
          </w:tcPr>
          <w:p w14:paraId="2A739CAB" w14:textId="77777777" w:rsidR="00FA5565" w:rsidRDefault="00FA5565">
            <w:pPr>
              <w:rPr>
                <w:rFonts w:ascii="Times New Roman" w:hAnsi="Times New Roman"/>
                <w:sz w:val="20"/>
                <w:szCs w:val="20"/>
              </w:rPr>
            </w:pPr>
          </w:p>
        </w:tc>
        <w:tc>
          <w:tcPr>
            <w:tcW w:w="0" w:type="auto"/>
            <w:shd w:val="clear" w:color="auto" w:fill="auto"/>
            <w:vAlign w:val="center"/>
          </w:tcPr>
          <w:p w14:paraId="2A739CAC" w14:textId="77777777" w:rsidR="00FA5565" w:rsidRDefault="00FA5565">
            <w:pPr>
              <w:rPr>
                <w:rFonts w:ascii="Times New Roman" w:hAnsi="Times New Roman"/>
                <w:sz w:val="20"/>
                <w:szCs w:val="20"/>
              </w:rPr>
            </w:pPr>
          </w:p>
        </w:tc>
      </w:tr>
      <w:tr w:rsidR="00FA5565" w14:paraId="2A739CB0" w14:textId="77777777">
        <w:trPr>
          <w:tblCellSpacing w:w="0" w:type="dxa"/>
        </w:trPr>
        <w:tc>
          <w:tcPr>
            <w:tcW w:w="0" w:type="auto"/>
            <w:shd w:val="clear" w:color="auto" w:fill="auto"/>
          </w:tcPr>
          <w:p w14:paraId="2A739CAE"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4.</w:t>
            </w:r>
          </w:p>
        </w:tc>
        <w:tc>
          <w:tcPr>
            <w:tcW w:w="0" w:type="auto"/>
            <w:shd w:val="clear" w:color="auto" w:fill="auto"/>
          </w:tcPr>
          <w:p w14:paraId="2A739CAF"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Mine Safety Disclosures</w:t>
            </w:r>
          </w:p>
        </w:tc>
      </w:tr>
    </w:tbl>
    <w:p w14:paraId="2A739CB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Not applicable.</w:t>
      </w:r>
    </w:p>
    <w:p w14:paraId="2A739CB2" w14:textId="77777777" w:rsidR="00FA5565" w:rsidRDefault="00FA5565">
      <w:pPr>
        <w:rPr>
          <w:rFonts w:ascii="Times New Roman" w:hAnsi="Times New Roman"/>
          <w:sz w:val="20"/>
          <w:szCs w:val="20"/>
        </w:rPr>
      </w:pPr>
    </w:p>
    <w:p w14:paraId="2A739CB3"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14</w:t>
      </w:r>
    </w:p>
    <w:p w14:paraId="2A739CB4" w14:textId="77777777" w:rsidR="00FA5565" w:rsidRDefault="00D804D1">
      <w:r>
        <w:rPr>
          <w:rFonts w:ascii="Times New Roman" w:hAnsi="Times New Roman"/>
          <w:sz w:val="16"/>
          <w:szCs w:val="16"/>
        </w:rPr>
        <w:pict w14:anchorId="2A73C0A8">
          <v:rect id="_x0000_i1040" style="width:415.3pt;height:1.5pt" o:hralign="center" o:hrstd="t" o:hr="t" fillcolor="#a0a0a0" stroked="f"/>
        </w:pict>
      </w:r>
    </w:p>
    <w:p w14:paraId="2A739CB5" w14:textId="77777777" w:rsidR="00FA5565" w:rsidRDefault="00FA5565">
      <w:pPr>
        <w:rPr>
          <w:rFonts w:ascii="Times New Roman" w:hAnsi="Times New Roman"/>
          <w:sz w:val="20"/>
          <w:szCs w:val="20"/>
        </w:rPr>
      </w:pPr>
    </w:p>
    <w:p w14:paraId="2A739CB6"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PART II</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FA5565" w14:paraId="2A739CB9" w14:textId="77777777">
        <w:trPr>
          <w:tblCellSpacing w:w="0" w:type="dxa"/>
        </w:trPr>
        <w:tc>
          <w:tcPr>
            <w:tcW w:w="1200" w:type="dxa"/>
            <w:shd w:val="clear" w:color="auto" w:fill="auto"/>
            <w:vAlign w:val="center"/>
          </w:tcPr>
          <w:p w14:paraId="2A739CB7" w14:textId="77777777" w:rsidR="00FA5565" w:rsidRDefault="00FA5565">
            <w:pPr>
              <w:rPr>
                <w:rFonts w:ascii="Times New Roman" w:hAnsi="Times New Roman"/>
                <w:sz w:val="20"/>
                <w:szCs w:val="20"/>
              </w:rPr>
            </w:pPr>
          </w:p>
        </w:tc>
        <w:tc>
          <w:tcPr>
            <w:tcW w:w="0" w:type="auto"/>
            <w:shd w:val="clear" w:color="auto" w:fill="auto"/>
            <w:vAlign w:val="center"/>
          </w:tcPr>
          <w:p w14:paraId="2A739CB8" w14:textId="77777777" w:rsidR="00FA5565" w:rsidRDefault="00FA5565">
            <w:pPr>
              <w:rPr>
                <w:rFonts w:ascii="Times New Roman" w:hAnsi="Times New Roman"/>
                <w:sz w:val="20"/>
                <w:szCs w:val="20"/>
              </w:rPr>
            </w:pPr>
          </w:p>
        </w:tc>
      </w:tr>
      <w:tr w:rsidR="00FA5565" w14:paraId="2A739CBC" w14:textId="77777777">
        <w:trPr>
          <w:tblCellSpacing w:w="0" w:type="dxa"/>
        </w:trPr>
        <w:tc>
          <w:tcPr>
            <w:tcW w:w="0" w:type="auto"/>
            <w:shd w:val="clear" w:color="auto" w:fill="auto"/>
          </w:tcPr>
          <w:p w14:paraId="2A739CBA"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5.</w:t>
            </w:r>
          </w:p>
        </w:tc>
        <w:tc>
          <w:tcPr>
            <w:tcW w:w="0" w:type="auto"/>
            <w:shd w:val="clear" w:color="auto" w:fill="auto"/>
          </w:tcPr>
          <w:p w14:paraId="2A739CBB"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 xml:space="preserve">Market for Registrant’s Common Equity, Related Stockholder Matters and Issuer </w:t>
            </w:r>
            <w:r>
              <w:rPr>
                <w:rFonts w:ascii="Helvetica" w:eastAsia="Helvetica" w:hAnsi="Helvetica" w:cs="Helvetica"/>
                <w:b/>
                <w:bCs/>
                <w:sz w:val="18"/>
                <w:szCs w:val="18"/>
              </w:rPr>
              <w:t>Purchases of Equity Securities</w:t>
            </w:r>
          </w:p>
        </w:tc>
      </w:tr>
    </w:tbl>
    <w:p w14:paraId="2A739CB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common stock is traded on The Nasdaq Stock Market LLC under the symbol AAPL.</w:t>
      </w:r>
    </w:p>
    <w:p w14:paraId="2A739CBE"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Holders</w:t>
      </w:r>
    </w:p>
    <w:p w14:paraId="2A739CB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As of October 18, 2019, there were 23,233 shareholders of record.</w:t>
      </w:r>
    </w:p>
    <w:p w14:paraId="2A739CC0"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Purchases of Equity Securities by the Issuer and Affiliated</w:t>
      </w:r>
      <w:r>
        <w:rPr>
          <w:rFonts w:ascii="Helvetica" w:eastAsia="Helvetica" w:hAnsi="Helvetica" w:cs="Helvetica"/>
          <w:b/>
          <w:bCs/>
          <w:sz w:val="18"/>
          <w:szCs w:val="18"/>
        </w:rPr>
        <w:t xml:space="preserve"> Purchasers</w:t>
      </w:r>
    </w:p>
    <w:p w14:paraId="2A739CC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Share repurchase activity during the three months ended September 28, 2019 was as follows (in millions, except number of shares, which are reflected in thousands, and per share amounts):</w:t>
      </w:r>
    </w:p>
    <w:tbl>
      <w:tblPr>
        <w:tblW w:w="5000" w:type="pct"/>
        <w:tblCellMar>
          <w:left w:w="0" w:type="dxa"/>
          <w:right w:w="0" w:type="dxa"/>
        </w:tblCellMar>
        <w:tblLook w:val="04A0" w:firstRow="1" w:lastRow="0" w:firstColumn="1" w:lastColumn="0" w:noHBand="0" w:noVBand="1"/>
      </w:tblPr>
      <w:tblGrid>
        <w:gridCol w:w="3392"/>
        <w:gridCol w:w="130"/>
        <w:gridCol w:w="984"/>
        <w:gridCol w:w="70"/>
        <w:gridCol w:w="237"/>
        <w:gridCol w:w="130"/>
        <w:gridCol w:w="569"/>
        <w:gridCol w:w="79"/>
        <w:gridCol w:w="229"/>
        <w:gridCol w:w="985"/>
        <w:gridCol w:w="73"/>
        <w:gridCol w:w="237"/>
        <w:gridCol w:w="130"/>
        <w:gridCol w:w="986"/>
        <w:gridCol w:w="75"/>
      </w:tblGrid>
      <w:tr w:rsidR="00FA5565" w14:paraId="2A739CC3" w14:textId="77777777">
        <w:tc>
          <w:tcPr>
            <w:tcW w:w="0" w:type="auto"/>
            <w:gridSpan w:val="15"/>
            <w:shd w:val="clear" w:color="auto" w:fill="auto"/>
            <w:vAlign w:val="center"/>
          </w:tcPr>
          <w:p w14:paraId="2A739CC2" w14:textId="77777777" w:rsidR="00FA5565" w:rsidRDefault="00FA5565">
            <w:pPr>
              <w:rPr>
                <w:rFonts w:ascii="Times New Roman" w:hAnsi="Times New Roman"/>
                <w:sz w:val="20"/>
                <w:szCs w:val="20"/>
              </w:rPr>
            </w:pPr>
          </w:p>
        </w:tc>
      </w:tr>
      <w:tr w:rsidR="00FA5565" w14:paraId="2A739CD3" w14:textId="77777777">
        <w:tc>
          <w:tcPr>
            <w:tcW w:w="2050" w:type="pct"/>
            <w:shd w:val="clear" w:color="auto" w:fill="auto"/>
            <w:vAlign w:val="center"/>
          </w:tcPr>
          <w:p w14:paraId="2A739CC4" w14:textId="77777777" w:rsidR="00FA5565" w:rsidRDefault="00FA5565">
            <w:pPr>
              <w:rPr>
                <w:rFonts w:ascii="Times New Roman" w:hAnsi="Times New Roman"/>
                <w:sz w:val="20"/>
                <w:szCs w:val="20"/>
              </w:rPr>
            </w:pPr>
          </w:p>
        </w:tc>
        <w:tc>
          <w:tcPr>
            <w:tcW w:w="50" w:type="pct"/>
            <w:shd w:val="clear" w:color="auto" w:fill="auto"/>
            <w:vAlign w:val="center"/>
          </w:tcPr>
          <w:p w14:paraId="2A739CC5" w14:textId="77777777" w:rsidR="00FA5565" w:rsidRDefault="00FA5565">
            <w:pPr>
              <w:rPr>
                <w:rFonts w:ascii="Times New Roman" w:hAnsi="Times New Roman"/>
                <w:sz w:val="20"/>
                <w:szCs w:val="20"/>
              </w:rPr>
            </w:pPr>
          </w:p>
        </w:tc>
        <w:tc>
          <w:tcPr>
            <w:tcW w:w="600" w:type="pct"/>
            <w:shd w:val="clear" w:color="auto" w:fill="auto"/>
            <w:vAlign w:val="center"/>
          </w:tcPr>
          <w:p w14:paraId="2A739CC6" w14:textId="77777777" w:rsidR="00FA5565" w:rsidRDefault="00FA5565">
            <w:pPr>
              <w:rPr>
                <w:rFonts w:ascii="Times New Roman" w:hAnsi="Times New Roman"/>
                <w:sz w:val="20"/>
                <w:szCs w:val="20"/>
              </w:rPr>
            </w:pPr>
          </w:p>
        </w:tc>
        <w:tc>
          <w:tcPr>
            <w:tcW w:w="50" w:type="pct"/>
            <w:shd w:val="clear" w:color="auto" w:fill="auto"/>
            <w:vAlign w:val="center"/>
          </w:tcPr>
          <w:p w14:paraId="2A739CC7" w14:textId="77777777" w:rsidR="00FA5565" w:rsidRDefault="00FA5565">
            <w:pPr>
              <w:rPr>
                <w:rFonts w:ascii="Times New Roman" w:hAnsi="Times New Roman"/>
                <w:sz w:val="20"/>
                <w:szCs w:val="20"/>
              </w:rPr>
            </w:pPr>
          </w:p>
        </w:tc>
        <w:tc>
          <w:tcPr>
            <w:tcW w:w="150" w:type="pct"/>
            <w:shd w:val="clear" w:color="auto" w:fill="auto"/>
            <w:vAlign w:val="center"/>
          </w:tcPr>
          <w:p w14:paraId="2A739CC8" w14:textId="77777777" w:rsidR="00FA5565" w:rsidRDefault="00FA5565">
            <w:pPr>
              <w:rPr>
                <w:rFonts w:ascii="Times New Roman" w:hAnsi="Times New Roman"/>
                <w:sz w:val="20"/>
                <w:szCs w:val="20"/>
              </w:rPr>
            </w:pPr>
          </w:p>
        </w:tc>
        <w:tc>
          <w:tcPr>
            <w:tcW w:w="50" w:type="pct"/>
            <w:shd w:val="clear" w:color="auto" w:fill="auto"/>
            <w:vAlign w:val="center"/>
          </w:tcPr>
          <w:p w14:paraId="2A739CC9" w14:textId="77777777" w:rsidR="00FA5565" w:rsidRDefault="00FA5565">
            <w:pPr>
              <w:rPr>
                <w:rFonts w:ascii="Times New Roman" w:hAnsi="Times New Roman"/>
                <w:sz w:val="20"/>
                <w:szCs w:val="20"/>
              </w:rPr>
            </w:pPr>
          </w:p>
        </w:tc>
        <w:tc>
          <w:tcPr>
            <w:tcW w:w="350" w:type="pct"/>
            <w:shd w:val="clear" w:color="auto" w:fill="auto"/>
            <w:vAlign w:val="center"/>
          </w:tcPr>
          <w:p w14:paraId="2A739CCA" w14:textId="77777777" w:rsidR="00FA5565" w:rsidRDefault="00FA5565">
            <w:pPr>
              <w:rPr>
                <w:rFonts w:ascii="Times New Roman" w:hAnsi="Times New Roman"/>
                <w:sz w:val="20"/>
                <w:szCs w:val="20"/>
              </w:rPr>
            </w:pPr>
          </w:p>
        </w:tc>
        <w:tc>
          <w:tcPr>
            <w:tcW w:w="50" w:type="pct"/>
            <w:shd w:val="clear" w:color="auto" w:fill="auto"/>
            <w:vAlign w:val="center"/>
          </w:tcPr>
          <w:p w14:paraId="2A739CCB" w14:textId="77777777" w:rsidR="00FA5565" w:rsidRDefault="00FA5565">
            <w:pPr>
              <w:rPr>
                <w:rFonts w:ascii="Times New Roman" w:hAnsi="Times New Roman"/>
                <w:sz w:val="20"/>
                <w:szCs w:val="20"/>
              </w:rPr>
            </w:pPr>
          </w:p>
        </w:tc>
        <w:tc>
          <w:tcPr>
            <w:tcW w:w="150" w:type="pct"/>
            <w:shd w:val="clear" w:color="auto" w:fill="auto"/>
            <w:vAlign w:val="center"/>
          </w:tcPr>
          <w:p w14:paraId="2A739CCC" w14:textId="77777777" w:rsidR="00FA5565" w:rsidRDefault="00FA5565">
            <w:pPr>
              <w:rPr>
                <w:rFonts w:ascii="Times New Roman" w:hAnsi="Times New Roman"/>
                <w:sz w:val="20"/>
                <w:szCs w:val="20"/>
              </w:rPr>
            </w:pPr>
          </w:p>
        </w:tc>
        <w:tc>
          <w:tcPr>
            <w:tcW w:w="600" w:type="pct"/>
            <w:shd w:val="clear" w:color="auto" w:fill="auto"/>
            <w:vAlign w:val="center"/>
          </w:tcPr>
          <w:p w14:paraId="2A739CCD" w14:textId="77777777" w:rsidR="00FA5565" w:rsidRDefault="00FA5565">
            <w:pPr>
              <w:rPr>
                <w:rFonts w:ascii="Times New Roman" w:hAnsi="Times New Roman"/>
                <w:sz w:val="20"/>
                <w:szCs w:val="20"/>
              </w:rPr>
            </w:pPr>
          </w:p>
        </w:tc>
        <w:tc>
          <w:tcPr>
            <w:tcW w:w="50" w:type="pct"/>
            <w:shd w:val="clear" w:color="auto" w:fill="auto"/>
            <w:vAlign w:val="center"/>
          </w:tcPr>
          <w:p w14:paraId="2A739CCE" w14:textId="77777777" w:rsidR="00FA5565" w:rsidRDefault="00FA5565">
            <w:pPr>
              <w:rPr>
                <w:rFonts w:ascii="Times New Roman" w:hAnsi="Times New Roman"/>
                <w:sz w:val="20"/>
                <w:szCs w:val="20"/>
              </w:rPr>
            </w:pPr>
          </w:p>
        </w:tc>
        <w:tc>
          <w:tcPr>
            <w:tcW w:w="150" w:type="pct"/>
            <w:shd w:val="clear" w:color="auto" w:fill="auto"/>
            <w:vAlign w:val="center"/>
          </w:tcPr>
          <w:p w14:paraId="2A739CCF" w14:textId="77777777" w:rsidR="00FA5565" w:rsidRDefault="00FA5565">
            <w:pPr>
              <w:rPr>
                <w:rFonts w:ascii="Times New Roman" w:hAnsi="Times New Roman"/>
                <w:sz w:val="20"/>
                <w:szCs w:val="20"/>
              </w:rPr>
            </w:pPr>
          </w:p>
        </w:tc>
        <w:tc>
          <w:tcPr>
            <w:tcW w:w="50" w:type="pct"/>
            <w:shd w:val="clear" w:color="auto" w:fill="auto"/>
            <w:vAlign w:val="center"/>
          </w:tcPr>
          <w:p w14:paraId="2A739CD0" w14:textId="77777777" w:rsidR="00FA5565" w:rsidRDefault="00FA5565">
            <w:pPr>
              <w:rPr>
                <w:rFonts w:ascii="Times New Roman" w:hAnsi="Times New Roman"/>
                <w:sz w:val="20"/>
                <w:szCs w:val="20"/>
              </w:rPr>
            </w:pPr>
          </w:p>
        </w:tc>
        <w:tc>
          <w:tcPr>
            <w:tcW w:w="600" w:type="pct"/>
            <w:shd w:val="clear" w:color="auto" w:fill="auto"/>
            <w:vAlign w:val="center"/>
          </w:tcPr>
          <w:p w14:paraId="2A739CD1" w14:textId="77777777" w:rsidR="00FA5565" w:rsidRDefault="00FA5565">
            <w:pPr>
              <w:rPr>
                <w:rFonts w:ascii="Times New Roman" w:hAnsi="Times New Roman"/>
                <w:sz w:val="20"/>
                <w:szCs w:val="20"/>
              </w:rPr>
            </w:pPr>
          </w:p>
        </w:tc>
        <w:tc>
          <w:tcPr>
            <w:tcW w:w="50" w:type="pct"/>
            <w:shd w:val="clear" w:color="auto" w:fill="auto"/>
            <w:vAlign w:val="center"/>
          </w:tcPr>
          <w:p w14:paraId="2A739CD2" w14:textId="77777777" w:rsidR="00FA5565" w:rsidRDefault="00FA5565">
            <w:pPr>
              <w:rPr>
                <w:rFonts w:ascii="Times New Roman" w:hAnsi="Times New Roman"/>
                <w:sz w:val="20"/>
                <w:szCs w:val="20"/>
              </w:rPr>
            </w:pPr>
          </w:p>
        </w:tc>
      </w:tr>
      <w:tr w:rsidR="00FA5565" w14:paraId="2A739CE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2A739CD4"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Periods</w:t>
            </w:r>
          </w:p>
        </w:tc>
        <w:tc>
          <w:tcPr>
            <w:tcW w:w="0" w:type="auto"/>
            <w:shd w:val="clear" w:color="auto" w:fill="auto"/>
            <w:tcMar>
              <w:top w:w="40" w:type="dxa"/>
              <w:left w:w="40" w:type="dxa"/>
              <w:bottom w:w="40" w:type="dxa"/>
              <w:right w:w="40" w:type="dxa"/>
            </w:tcMar>
            <w:vAlign w:val="bottom"/>
          </w:tcPr>
          <w:p w14:paraId="2A739CD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9CD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Total Number</w:t>
            </w:r>
          </w:p>
          <w:p w14:paraId="2A739CD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of Shares </w:t>
            </w:r>
            <w:r>
              <w:rPr>
                <w:rFonts w:ascii="Helvetica" w:eastAsia="Helvetica" w:hAnsi="Helvetica" w:cs="Helvetica"/>
                <w:b/>
                <w:bCs/>
                <w:sz w:val="16"/>
                <w:szCs w:val="16"/>
              </w:rPr>
              <w:t>Purchased</w:t>
            </w:r>
          </w:p>
        </w:tc>
        <w:tc>
          <w:tcPr>
            <w:tcW w:w="0" w:type="auto"/>
            <w:shd w:val="clear" w:color="auto" w:fill="auto"/>
            <w:tcMar>
              <w:top w:w="40" w:type="dxa"/>
              <w:left w:w="40" w:type="dxa"/>
              <w:bottom w:w="40" w:type="dxa"/>
              <w:right w:w="40" w:type="dxa"/>
            </w:tcMar>
            <w:vAlign w:val="bottom"/>
          </w:tcPr>
          <w:p w14:paraId="2A739CD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CD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Average Price</w:t>
            </w:r>
            <w:r>
              <w:rPr>
                <w:rFonts w:ascii="Helvetica" w:eastAsia="Helvetica" w:hAnsi="Helvetica" w:cs="Helvetica"/>
                <w:b/>
                <w:bCs/>
                <w:sz w:val="16"/>
                <w:szCs w:val="16"/>
              </w:rPr>
              <w:br/>
              <w:t>Paid Per Share</w:t>
            </w:r>
          </w:p>
        </w:tc>
        <w:tc>
          <w:tcPr>
            <w:tcW w:w="0" w:type="auto"/>
            <w:shd w:val="clear" w:color="auto" w:fill="auto"/>
            <w:tcMar>
              <w:top w:w="40" w:type="dxa"/>
              <w:left w:w="40" w:type="dxa"/>
              <w:bottom w:w="40" w:type="dxa"/>
              <w:right w:w="40" w:type="dxa"/>
            </w:tcMar>
            <w:vAlign w:val="bottom"/>
          </w:tcPr>
          <w:p w14:paraId="2A739CD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9CD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Total Number of Shares</w:t>
            </w:r>
          </w:p>
          <w:p w14:paraId="2A739CD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Purchased as Part of Publicly</w:t>
            </w:r>
          </w:p>
          <w:p w14:paraId="2A739CD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Announced Plans or Programs</w:t>
            </w:r>
          </w:p>
        </w:tc>
        <w:tc>
          <w:tcPr>
            <w:tcW w:w="0" w:type="auto"/>
            <w:shd w:val="clear" w:color="auto" w:fill="auto"/>
            <w:tcMar>
              <w:top w:w="40" w:type="dxa"/>
              <w:left w:w="40" w:type="dxa"/>
              <w:bottom w:w="40" w:type="dxa"/>
              <w:right w:w="40" w:type="dxa"/>
            </w:tcMar>
            <w:vAlign w:val="bottom"/>
          </w:tcPr>
          <w:p w14:paraId="2A739CD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CD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Approximate Dollar Value of</w:t>
            </w:r>
          </w:p>
          <w:p w14:paraId="2A739CE0"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Shares That May Yet Be Purchased</w:t>
            </w:r>
          </w:p>
          <w:p w14:paraId="2A739CE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Under the Plans or Programs (1)</w:t>
            </w:r>
          </w:p>
        </w:tc>
      </w:tr>
      <w:tr w:rsidR="00FA5565" w14:paraId="2A739CEC" w14:textId="77777777">
        <w:tc>
          <w:tcPr>
            <w:tcW w:w="0" w:type="auto"/>
            <w:shd w:val="clear" w:color="auto" w:fill="auto"/>
            <w:tcMar>
              <w:top w:w="40" w:type="dxa"/>
              <w:left w:w="40" w:type="dxa"/>
              <w:bottom w:w="40" w:type="dxa"/>
              <w:right w:w="40" w:type="dxa"/>
            </w:tcMar>
          </w:tcPr>
          <w:p w14:paraId="2A739CE3"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 xml:space="preserve">June 30, 2019 to August 3, </w:t>
            </w:r>
            <w:r>
              <w:rPr>
                <w:rFonts w:ascii="Helvetica" w:eastAsia="Helvetica" w:hAnsi="Helvetica" w:cs="Helvetica"/>
                <w:sz w:val="16"/>
                <w:szCs w:val="16"/>
              </w:rPr>
              <w:t>2019:</w:t>
            </w:r>
          </w:p>
        </w:tc>
        <w:tc>
          <w:tcPr>
            <w:tcW w:w="0" w:type="auto"/>
            <w:shd w:val="clear" w:color="auto" w:fill="auto"/>
            <w:tcMar>
              <w:top w:w="40" w:type="dxa"/>
              <w:left w:w="40" w:type="dxa"/>
              <w:bottom w:w="40" w:type="dxa"/>
              <w:right w:w="40" w:type="dxa"/>
            </w:tcMar>
            <w:vAlign w:val="bottom"/>
          </w:tcPr>
          <w:p w14:paraId="2A739CE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9CE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CE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CE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CE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9CE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C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CE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CFA" w14:textId="77777777">
        <w:tc>
          <w:tcPr>
            <w:tcW w:w="0" w:type="auto"/>
            <w:shd w:val="clear" w:color="auto" w:fill="EFEFEF"/>
            <w:tcMar>
              <w:top w:w="40" w:type="dxa"/>
              <w:left w:w="560" w:type="dxa"/>
              <w:bottom w:w="40" w:type="dxa"/>
              <w:right w:w="40" w:type="dxa"/>
            </w:tcMar>
          </w:tcPr>
          <w:p w14:paraId="2A739CED" w14:textId="77777777" w:rsidR="00FA5565" w:rsidRDefault="00D804D1">
            <w:pPr>
              <w:textAlignment w:val="top"/>
              <w:rPr>
                <w:rFonts w:ascii="Times New Roman" w:hAnsi="Times New Roman"/>
                <w:sz w:val="16"/>
                <w:szCs w:val="16"/>
              </w:rPr>
            </w:pPr>
            <w:r>
              <w:rPr>
                <w:rFonts w:ascii="Helvetica" w:eastAsia="Helvetica" w:hAnsi="Helvetica" w:cs="Helvetica"/>
                <w:sz w:val="16"/>
                <w:szCs w:val="16"/>
              </w:rPr>
              <w:t>Open market and privately negotiated purchases</w:t>
            </w:r>
          </w:p>
        </w:tc>
        <w:tc>
          <w:tcPr>
            <w:tcW w:w="0" w:type="auto"/>
            <w:shd w:val="clear" w:color="auto" w:fill="EFEFEF"/>
            <w:tcMar>
              <w:top w:w="40" w:type="dxa"/>
              <w:left w:w="40" w:type="dxa"/>
              <w:bottom w:w="40" w:type="dxa"/>
              <w:right w:w="40" w:type="dxa"/>
            </w:tcMar>
            <w:vAlign w:val="bottom"/>
          </w:tcPr>
          <w:p w14:paraId="2A739CE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CE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23,860</w:t>
            </w:r>
          </w:p>
        </w:tc>
        <w:tc>
          <w:tcPr>
            <w:tcW w:w="0" w:type="auto"/>
            <w:shd w:val="clear" w:color="auto" w:fill="EFEFEF"/>
            <w:vAlign w:val="bottom"/>
          </w:tcPr>
          <w:p w14:paraId="2A739CF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C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CF2"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bottom w:w="40" w:type="dxa"/>
            </w:tcMar>
            <w:vAlign w:val="bottom"/>
          </w:tcPr>
          <w:p w14:paraId="2A739CF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205.36</w:t>
            </w:r>
          </w:p>
        </w:tc>
        <w:tc>
          <w:tcPr>
            <w:tcW w:w="0" w:type="auto"/>
            <w:shd w:val="clear" w:color="auto" w:fill="EFEFEF"/>
            <w:vAlign w:val="bottom"/>
          </w:tcPr>
          <w:p w14:paraId="2A739CF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CF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CF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23,860</w:t>
            </w:r>
          </w:p>
        </w:tc>
        <w:tc>
          <w:tcPr>
            <w:tcW w:w="0" w:type="auto"/>
            <w:shd w:val="clear" w:color="auto" w:fill="EFEFEF"/>
            <w:vAlign w:val="bottom"/>
          </w:tcPr>
          <w:p w14:paraId="2A739CF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CF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CF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D04" w14:textId="77777777">
        <w:tc>
          <w:tcPr>
            <w:tcW w:w="0" w:type="auto"/>
            <w:shd w:val="clear" w:color="auto" w:fill="auto"/>
            <w:tcMar>
              <w:top w:w="40" w:type="dxa"/>
              <w:left w:w="40" w:type="dxa"/>
              <w:bottom w:w="40" w:type="dxa"/>
              <w:right w:w="40" w:type="dxa"/>
            </w:tcMar>
            <w:vAlign w:val="bottom"/>
          </w:tcPr>
          <w:p w14:paraId="2A739C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CF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9C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CF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CF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D0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9D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D0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D0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D0E" w14:textId="77777777">
        <w:tc>
          <w:tcPr>
            <w:tcW w:w="0" w:type="auto"/>
            <w:shd w:val="clear" w:color="auto" w:fill="EFEFEF"/>
            <w:tcMar>
              <w:top w:w="40" w:type="dxa"/>
              <w:left w:w="40" w:type="dxa"/>
              <w:bottom w:w="40" w:type="dxa"/>
              <w:right w:w="40" w:type="dxa"/>
            </w:tcMar>
          </w:tcPr>
          <w:p w14:paraId="2A739D05"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August 4, 2019 to August 31, 2019:</w:t>
            </w:r>
          </w:p>
        </w:tc>
        <w:tc>
          <w:tcPr>
            <w:tcW w:w="0" w:type="auto"/>
            <w:shd w:val="clear" w:color="auto" w:fill="EFEFEF"/>
            <w:tcMar>
              <w:top w:w="40" w:type="dxa"/>
              <w:left w:w="40" w:type="dxa"/>
              <w:bottom w:w="40" w:type="dxa"/>
              <w:right w:w="40" w:type="dxa"/>
            </w:tcMar>
            <w:vAlign w:val="bottom"/>
          </w:tcPr>
          <w:p w14:paraId="2A739D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9D0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D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D0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D0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9D0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D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D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D1B" w14:textId="77777777">
        <w:tc>
          <w:tcPr>
            <w:tcW w:w="0" w:type="auto"/>
            <w:shd w:val="clear" w:color="auto" w:fill="auto"/>
            <w:tcMar>
              <w:top w:w="40" w:type="dxa"/>
              <w:left w:w="560" w:type="dxa"/>
              <w:bottom w:w="40" w:type="dxa"/>
              <w:right w:w="40" w:type="dxa"/>
            </w:tcMar>
          </w:tcPr>
          <w:p w14:paraId="2A739D0F" w14:textId="77777777" w:rsidR="00FA5565" w:rsidRDefault="00D804D1">
            <w:pPr>
              <w:textAlignment w:val="top"/>
              <w:rPr>
                <w:rFonts w:ascii="Times New Roman" w:hAnsi="Times New Roman"/>
                <w:sz w:val="16"/>
                <w:szCs w:val="16"/>
              </w:rPr>
            </w:pPr>
            <w:r>
              <w:rPr>
                <w:rFonts w:ascii="Helvetica" w:eastAsia="Helvetica" w:hAnsi="Helvetica" w:cs="Helvetica"/>
                <w:sz w:val="16"/>
                <w:szCs w:val="16"/>
              </w:rPr>
              <w:t>February 2019 ASR</w:t>
            </w:r>
          </w:p>
        </w:tc>
        <w:tc>
          <w:tcPr>
            <w:tcW w:w="0" w:type="auto"/>
            <w:shd w:val="clear" w:color="auto" w:fill="auto"/>
            <w:tcMar>
              <w:top w:w="40" w:type="dxa"/>
              <w:left w:w="40" w:type="dxa"/>
              <w:bottom w:w="40" w:type="dxa"/>
              <w:right w:w="40" w:type="dxa"/>
            </w:tcMar>
            <w:vAlign w:val="bottom"/>
          </w:tcPr>
          <w:p w14:paraId="2A739D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1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6,886</w:t>
            </w:r>
          </w:p>
        </w:tc>
        <w:tc>
          <w:tcPr>
            <w:tcW w:w="0" w:type="auto"/>
            <w:shd w:val="clear" w:color="auto" w:fill="auto"/>
            <w:vAlign w:val="bottom"/>
          </w:tcPr>
          <w:p w14:paraId="2A739D1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1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9D1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 </w:t>
            </w:r>
          </w:p>
        </w:tc>
        <w:tc>
          <w:tcPr>
            <w:tcW w:w="0" w:type="auto"/>
            <w:shd w:val="clear" w:color="auto" w:fill="auto"/>
            <w:vAlign w:val="bottom"/>
          </w:tcPr>
          <w:p w14:paraId="2A739D1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1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6,886</w:t>
            </w:r>
          </w:p>
        </w:tc>
        <w:tc>
          <w:tcPr>
            <w:tcW w:w="0" w:type="auto"/>
            <w:shd w:val="clear" w:color="auto" w:fill="auto"/>
            <w:vAlign w:val="bottom"/>
          </w:tcPr>
          <w:p w14:paraId="2A739D1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D1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D29" w14:textId="77777777">
        <w:tc>
          <w:tcPr>
            <w:tcW w:w="0" w:type="auto"/>
            <w:shd w:val="clear" w:color="auto" w:fill="EFEFEF"/>
            <w:tcMar>
              <w:top w:w="40" w:type="dxa"/>
              <w:left w:w="560" w:type="dxa"/>
              <w:bottom w:w="40" w:type="dxa"/>
              <w:right w:w="40" w:type="dxa"/>
            </w:tcMar>
          </w:tcPr>
          <w:p w14:paraId="2A739D1C" w14:textId="77777777" w:rsidR="00FA5565" w:rsidRDefault="00D804D1">
            <w:pPr>
              <w:textAlignment w:val="top"/>
              <w:rPr>
                <w:rFonts w:ascii="Times New Roman" w:hAnsi="Times New Roman"/>
                <w:sz w:val="16"/>
                <w:szCs w:val="16"/>
              </w:rPr>
            </w:pPr>
            <w:r>
              <w:rPr>
                <w:rFonts w:ascii="Helvetica" w:eastAsia="Helvetica" w:hAnsi="Helvetica" w:cs="Helvetica"/>
                <w:sz w:val="16"/>
                <w:szCs w:val="16"/>
              </w:rPr>
              <w:t xml:space="preserve">Open market and </w:t>
            </w:r>
            <w:r>
              <w:rPr>
                <w:rFonts w:ascii="Helvetica" w:eastAsia="Helvetica" w:hAnsi="Helvetica" w:cs="Helvetica"/>
                <w:sz w:val="16"/>
                <w:szCs w:val="16"/>
              </w:rPr>
              <w:t>privately negotiated purchases</w:t>
            </w:r>
          </w:p>
        </w:tc>
        <w:tc>
          <w:tcPr>
            <w:tcW w:w="0" w:type="auto"/>
            <w:shd w:val="clear" w:color="auto" w:fill="EFEFEF"/>
            <w:tcMar>
              <w:top w:w="40" w:type="dxa"/>
              <w:left w:w="40" w:type="dxa"/>
              <w:bottom w:w="40" w:type="dxa"/>
              <w:right w:w="40" w:type="dxa"/>
            </w:tcMar>
            <w:vAlign w:val="bottom"/>
          </w:tcPr>
          <w:p w14:paraId="2A739D1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1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34,705</w:t>
            </w:r>
          </w:p>
        </w:tc>
        <w:tc>
          <w:tcPr>
            <w:tcW w:w="0" w:type="auto"/>
            <w:shd w:val="clear" w:color="auto" w:fill="EFEFEF"/>
            <w:vAlign w:val="bottom"/>
          </w:tcPr>
          <w:p w14:paraId="2A739D1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21"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bottom w:w="40" w:type="dxa"/>
            </w:tcMar>
            <w:vAlign w:val="bottom"/>
          </w:tcPr>
          <w:p w14:paraId="2A739D2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204.59</w:t>
            </w:r>
          </w:p>
        </w:tc>
        <w:tc>
          <w:tcPr>
            <w:tcW w:w="0" w:type="auto"/>
            <w:shd w:val="clear" w:color="auto" w:fill="EFEFEF"/>
            <w:vAlign w:val="bottom"/>
          </w:tcPr>
          <w:p w14:paraId="2A739D2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2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34,705</w:t>
            </w:r>
          </w:p>
        </w:tc>
        <w:tc>
          <w:tcPr>
            <w:tcW w:w="0" w:type="auto"/>
            <w:shd w:val="clear" w:color="auto" w:fill="EFEFEF"/>
            <w:vAlign w:val="bottom"/>
          </w:tcPr>
          <w:p w14:paraId="2A739D2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2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D2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D33" w14:textId="77777777">
        <w:tc>
          <w:tcPr>
            <w:tcW w:w="0" w:type="auto"/>
            <w:shd w:val="clear" w:color="auto" w:fill="auto"/>
            <w:tcMar>
              <w:top w:w="40" w:type="dxa"/>
              <w:left w:w="40" w:type="dxa"/>
              <w:bottom w:w="40" w:type="dxa"/>
              <w:right w:w="40" w:type="dxa"/>
            </w:tcMar>
            <w:vAlign w:val="bottom"/>
          </w:tcPr>
          <w:p w14:paraId="2A739D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D2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9D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D2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D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D2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9D3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D3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D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D3D" w14:textId="77777777">
        <w:tc>
          <w:tcPr>
            <w:tcW w:w="0" w:type="auto"/>
            <w:shd w:val="clear" w:color="auto" w:fill="EFEFEF"/>
            <w:tcMar>
              <w:top w:w="40" w:type="dxa"/>
              <w:left w:w="40" w:type="dxa"/>
              <w:bottom w:w="40" w:type="dxa"/>
              <w:right w:w="40" w:type="dxa"/>
            </w:tcMar>
          </w:tcPr>
          <w:p w14:paraId="2A739D34"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September 1, 2019 to September 28, 2019:</w:t>
            </w:r>
          </w:p>
        </w:tc>
        <w:tc>
          <w:tcPr>
            <w:tcW w:w="0" w:type="auto"/>
            <w:shd w:val="clear" w:color="auto" w:fill="EFEFEF"/>
            <w:tcMar>
              <w:top w:w="40" w:type="dxa"/>
              <w:left w:w="40" w:type="dxa"/>
              <w:bottom w:w="40" w:type="dxa"/>
              <w:right w:w="40" w:type="dxa"/>
            </w:tcMar>
            <w:vAlign w:val="bottom"/>
          </w:tcPr>
          <w:p w14:paraId="2A739D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9D3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D3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D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D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9D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D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D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D4B" w14:textId="77777777">
        <w:tc>
          <w:tcPr>
            <w:tcW w:w="0" w:type="auto"/>
            <w:shd w:val="clear" w:color="auto" w:fill="auto"/>
            <w:tcMar>
              <w:top w:w="40" w:type="dxa"/>
              <w:left w:w="560" w:type="dxa"/>
              <w:bottom w:w="40" w:type="dxa"/>
              <w:right w:w="40" w:type="dxa"/>
            </w:tcMar>
          </w:tcPr>
          <w:p w14:paraId="2A739D3E" w14:textId="77777777" w:rsidR="00FA5565" w:rsidRDefault="00D804D1">
            <w:pPr>
              <w:textAlignment w:val="top"/>
              <w:rPr>
                <w:rFonts w:ascii="Times New Roman" w:hAnsi="Times New Roman"/>
                <w:sz w:val="16"/>
                <w:szCs w:val="16"/>
              </w:rPr>
            </w:pPr>
            <w:r>
              <w:rPr>
                <w:rFonts w:ascii="Helvetica" w:eastAsia="Helvetica" w:hAnsi="Helvetica" w:cs="Helvetica"/>
                <w:sz w:val="16"/>
                <w:szCs w:val="16"/>
              </w:rPr>
              <w:t>Open market and privately negotiated purchases</w:t>
            </w:r>
          </w:p>
        </w:tc>
        <w:tc>
          <w:tcPr>
            <w:tcW w:w="0" w:type="auto"/>
            <w:shd w:val="clear" w:color="auto" w:fill="auto"/>
            <w:tcMar>
              <w:top w:w="40" w:type="dxa"/>
              <w:left w:w="40" w:type="dxa"/>
              <w:bottom w:w="40" w:type="dxa"/>
              <w:right w:w="40" w:type="dxa"/>
            </w:tcMar>
            <w:vAlign w:val="bottom"/>
          </w:tcPr>
          <w:p w14:paraId="2A739D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4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27,178</w:t>
            </w:r>
          </w:p>
        </w:tc>
        <w:tc>
          <w:tcPr>
            <w:tcW w:w="0" w:type="auto"/>
            <w:shd w:val="clear" w:color="auto" w:fill="auto"/>
            <w:vAlign w:val="bottom"/>
          </w:tcPr>
          <w:p w14:paraId="2A739D4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4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43"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bottom w:w="40" w:type="dxa"/>
            </w:tcMar>
            <w:vAlign w:val="bottom"/>
          </w:tcPr>
          <w:p w14:paraId="2A739D4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217.17</w:t>
            </w:r>
          </w:p>
        </w:tc>
        <w:tc>
          <w:tcPr>
            <w:tcW w:w="0" w:type="auto"/>
            <w:shd w:val="clear" w:color="auto" w:fill="auto"/>
            <w:vAlign w:val="bottom"/>
          </w:tcPr>
          <w:p w14:paraId="2A739D4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4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27,178</w:t>
            </w:r>
          </w:p>
        </w:tc>
        <w:tc>
          <w:tcPr>
            <w:tcW w:w="0" w:type="auto"/>
            <w:shd w:val="clear" w:color="auto" w:fill="auto"/>
            <w:vAlign w:val="bottom"/>
          </w:tcPr>
          <w:p w14:paraId="2A739D4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D4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D58" w14:textId="77777777">
        <w:tc>
          <w:tcPr>
            <w:tcW w:w="0" w:type="auto"/>
            <w:shd w:val="clear" w:color="auto" w:fill="EFEFEF"/>
            <w:tcMar>
              <w:top w:w="40" w:type="dxa"/>
              <w:left w:w="1040" w:type="dxa"/>
              <w:bottom w:w="40" w:type="dxa"/>
              <w:right w:w="40" w:type="dxa"/>
            </w:tcMar>
          </w:tcPr>
          <w:p w14:paraId="2A739D4C" w14:textId="77777777" w:rsidR="00FA5565" w:rsidRDefault="00D804D1">
            <w:pPr>
              <w:textAlignment w:val="top"/>
              <w:rPr>
                <w:rFonts w:ascii="Times New Roman" w:hAnsi="Times New Roman"/>
                <w:sz w:val="16"/>
                <w:szCs w:val="16"/>
              </w:rPr>
            </w:pPr>
            <w:r>
              <w:rPr>
                <w:rFonts w:ascii="Helvetica" w:eastAsia="Helvetica" w:hAnsi="Helvetica" w:cs="Helvetica"/>
                <w:sz w:val="16"/>
                <w:szCs w:val="16"/>
              </w:rPr>
              <w:t>Total</w:t>
            </w:r>
          </w:p>
        </w:tc>
        <w:tc>
          <w:tcPr>
            <w:tcW w:w="0" w:type="auto"/>
            <w:shd w:val="clear" w:color="auto" w:fill="EFEFEF"/>
            <w:tcMar>
              <w:top w:w="40" w:type="dxa"/>
              <w:left w:w="40" w:type="dxa"/>
              <w:bottom w:w="40" w:type="dxa"/>
              <w:right w:w="40" w:type="dxa"/>
            </w:tcMar>
            <w:vAlign w:val="bottom"/>
          </w:tcPr>
          <w:p w14:paraId="2A739D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9D4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92,629</w:t>
            </w:r>
          </w:p>
        </w:tc>
        <w:tc>
          <w:tcPr>
            <w:tcW w:w="0" w:type="auto"/>
            <w:tcBorders>
              <w:top w:val="single" w:sz="8" w:space="0" w:color="000000"/>
              <w:bottom w:val="double" w:sz="6" w:space="0" w:color="000000"/>
            </w:tcBorders>
            <w:shd w:val="clear" w:color="auto" w:fill="EFEFEF"/>
            <w:vAlign w:val="bottom"/>
          </w:tcPr>
          <w:p w14:paraId="2A739D4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5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D5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D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9D5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D5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9D55"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EFEFEF"/>
            <w:tcMar>
              <w:top w:w="40" w:type="dxa"/>
              <w:bottom w:w="40" w:type="dxa"/>
            </w:tcMar>
            <w:vAlign w:val="bottom"/>
          </w:tcPr>
          <w:p w14:paraId="2A739D5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78,869</w:t>
            </w:r>
          </w:p>
        </w:tc>
        <w:tc>
          <w:tcPr>
            <w:tcW w:w="0" w:type="auto"/>
            <w:tcBorders>
              <w:bottom w:val="double" w:sz="6" w:space="0" w:color="000000"/>
            </w:tcBorders>
            <w:shd w:val="clear" w:color="auto" w:fill="EFEFEF"/>
            <w:vAlign w:val="bottom"/>
          </w:tcPr>
          <w:p w14:paraId="2A739D57" w14:textId="77777777" w:rsidR="00FA5565" w:rsidRDefault="00FA5565">
            <w:pPr>
              <w:textAlignment w:val="bottom"/>
              <w:rPr>
                <w:rFonts w:ascii="Times New Roman" w:hAnsi="Times New Roman"/>
                <w:sz w:val="20"/>
                <w:szCs w:val="20"/>
              </w:rPr>
            </w:pPr>
          </w:p>
        </w:tc>
      </w:tr>
    </w:tbl>
    <w:p w14:paraId="2A739D59"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2"/>
          <w:szCs w:val="12"/>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9D5C" w14:textId="77777777">
        <w:trPr>
          <w:tblCellSpacing w:w="0" w:type="dxa"/>
        </w:trPr>
        <w:tc>
          <w:tcPr>
            <w:tcW w:w="960" w:type="dxa"/>
            <w:shd w:val="clear" w:color="auto" w:fill="auto"/>
            <w:vAlign w:val="center"/>
          </w:tcPr>
          <w:p w14:paraId="2A739D5A" w14:textId="77777777" w:rsidR="00FA5565" w:rsidRDefault="00FA5565">
            <w:pPr>
              <w:rPr>
                <w:rFonts w:ascii="Times New Roman" w:hAnsi="Times New Roman"/>
                <w:sz w:val="20"/>
                <w:szCs w:val="20"/>
              </w:rPr>
            </w:pPr>
          </w:p>
        </w:tc>
        <w:tc>
          <w:tcPr>
            <w:tcW w:w="0" w:type="auto"/>
            <w:shd w:val="clear" w:color="auto" w:fill="auto"/>
            <w:vAlign w:val="center"/>
          </w:tcPr>
          <w:p w14:paraId="2A739D5B" w14:textId="77777777" w:rsidR="00FA5565" w:rsidRDefault="00FA5565">
            <w:pPr>
              <w:rPr>
                <w:rFonts w:ascii="Times New Roman" w:hAnsi="Times New Roman"/>
                <w:sz w:val="20"/>
                <w:szCs w:val="20"/>
              </w:rPr>
            </w:pPr>
          </w:p>
        </w:tc>
      </w:tr>
      <w:tr w:rsidR="00FA5565" w14:paraId="2A739D5F" w14:textId="77777777">
        <w:trPr>
          <w:tblCellSpacing w:w="0" w:type="dxa"/>
        </w:trPr>
        <w:tc>
          <w:tcPr>
            <w:tcW w:w="0" w:type="auto"/>
            <w:shd w:val="clear" w:color="auto" w:fill="auto"/>
          </w:tcPr>
          <w:p w14:paraId="2A739D5D"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9D5E"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On April 30, 2019, the Company announced the Board of Directors increased the current share repurchase program authorization from $100 billion to $175 billion of the Company’s common stock, of which $96.1 billion had been </w:t>
            </w:r>
            <w:r>
              <w:rPr>
                <w:rFonts w:ascii="Helvetica" w:eastAsia="Helvetica" w:hAnsi="Helvetica" w:cs="Helvetica"/>
                <w:sz w:val="16"/>
                <w:szCs w:val="16"/>
              </w:rPr>
              <w:t>utilized as of September 28, 2019. The remaining $78.9 billion in the table represents the amount available to repurchase shares under the authorized repurchase program as of September 28, 2019. The Company’s share repurchase program does not obligate it t</w:t>
            </w:r>
            <w:r>
              <w:rPr>
                <w:rFonts w:ascii="Helvetica" w:eastAsia="Helvetica" w:hAnsi="Helvetica" w:cs="Helvetica"/>
                <w:sz w:val="16"/>
                <w:szCs w:val="16"/>
              </w:rPr>
              <w:t>o acquire any specific number of shares. Under this program, shares may be repurchased in privately negotiated and/or open market transactions, including under plans complying with Rule 10b5-1 under the Exchange Act.</w:t>
            </w:r>
          </w:p>
        </w:tc>
      </w:tr>
    </w:tbl>
    <w:p w14:paraId="2A739D60"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9D63" w14:textId="77777777">
        <w:trPr>
          <w:tblCellSpacing w:w="0" w:type="dxa"/>
        </w:trPr>
        <w:tc>
          <w:tcPr>
            <w:tcW w:w="960" w:type="dxa"/>
            <w:shd w:val="clear" w:color="auto" w:fill="auto"/>
            <w:vAlign w:val="center"/>
          </w:tcPr>
          <w:p w14:paraId="2A739D61" w14:textId="77777777" w:rsidR="00FA5565" w:rsidRDefault="00FA5565">
            <w:pPr>
              <w:rPr>
                <w:rFonts w:ascii="Times New Roman" w:hAnsi="Times New Roman"/>
                <w:sz w:val="20"/>
                <w:szCs w:val="20"/>
              </w:rPr>
            </w:pPr>
          </w:p>
        </w:tc>
        <w:tc>
          <w:tcPr>
            <w:tcW w:w="0" w:type="auto"/>
            <w:shd w:val="clear" w:color="auto" w:fill="auto"/>
            <w:vAlign w:val="center"/>
          </w:tcPr>
          <w:p w14:paraId="2A739D62" w14:textId="77777777" w:rsidR="00FA5565" w:rsidRDefault="00FA5565">
            <w:pPr>
              <w:rPr>
                <w:rFonts w:ascii="Times New Roman" w:hAnsi="Times New Roman"/>
                <w:sz w:val="20"/>
                <w:szCs w:val="20"/>
              </w:rPr>
            </w:pPr>
          </w:p>
        </w:tc>
      </w:tr>
      <w:tr w:rsidR="00FA5565" w14:paraId="2A739D66" w14:textId="77777777">
        <w:trPr>
          <w:tblCellSpacing w:w="0" w:type="dxa"/>
        </w:trPr>
        <w:tc>
          <w:tcPr>
            <w:tcW w:w="0" w:type="auto"/>
            <w:shd w:val="clear" w:color="auto" w:fill="auto"/>
          </w:tcPr>
          <w:p w14:paraId="2A739D64"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2A739D65"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In February 2019, the Company </w:t>
            </w:r>
            <w:r>
              <w:rPr>
                <w:rFonts w:ascii="Helvetica" w:eastAsia="Helvetica" w:hAnsi="Helvetica" w:cs="Helvetica"/>
                <w:sz w:val="16"/>
                <w:szCs w:val="16"/>
              </w:rPr>
              <w:t>entered into an accelerated share repurchase arrangement (“ASR”) to purchase up to $12.0 billion of the Company’s common stock. In August 2019, the purchase period for this ASR ended and an additional 6.9 million shares were delivered and retired. In total</w:t>
            </w:r>
            <w:r>
              <w:rPr>
                <w:rFonts w:ascii="Helvetica" w:eastAsia="Helvetica" w:hAnsi="Helvetica" w:cs="Helvetica"/>
                <w:sz w:val="16"/>
                <w:szCs w:val="16"/>
              </w:rPr>
              <w:t>, 62.0 million shares were delivered under this ASR at an average repurchase price of $193.69.</w:t>
            </w:r>
          </w:p>
        </w:tc>
      </w:tr>
    </w:tbl>
    <w:p w14:paraId="2A739D67" w14:textId="77777777" w:rsidR="00FA5565" w:rsidRDefault="00FA5565">
      <w:pPr>
        <w:rPr>
          <w:rFonts w:ascii="Times New Roman" w:hAnsi="Times New Roman"/>
          <w:sz w:val="20"/>
          <w:szCs w:val="20"/>
        </w:rPr>
      </w:pPr>
    </w:p>
    <w:p w14:paraId="2A739D68"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15</w:t>
      </w:r>
    </w:p>
    <w:p w14:paraId="2A739D69" w14:textId="77777777" w:rsidR="00FA5565" w:rsidRDefault="00D804D1">
      <w:r>
        <w:rPr>
          <w:rFonts w:ascii="Times New Roman" w:hAnsi="Times New Roman"/>
          <w:sz w:val="16"/>
          <w:szCs w:val="16"/>
        </w:rPr>
        <w:pict w14:anchorId="2A73C0A9">
          <v:rect id="_x0000_i1041" style="width:415.3pt;height:1.5pt" o:hralign="center" o:hrstd="t" o:hr="t" fillcolor="#a0a0a0" stroked="f"/>
        </w:pict>
      </w:r>
    </w:p>
    <w:p w14:paraId="2A739D6A" w14:textId="77777777" w:rsidR="00FA5565" w:rsidRDefault="00FA5565">
      <w:pPr>
        <w:rPr>
          <w:rFonts w:ascii="Times New Roman" w:hAnsi="Times New Roman"/>
          <w:sz w:val="20"/>
          <w:szCs w:val="20"/>
        </w:rPr>
      </w:pPr>
    </w:p>
    <w:p w14:paraId="2A739D6B"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Company Stock Performance</w:t>
      </w:r>
    </w:p>
    <w:p w14:paraId="2A739D6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following graph shows a comparison of cumulative total shareholder return, </w:t>
      </w:r>
      <w:r>
        <w:rPr>
          <w:rFonts w:ascii="Helvetica" w:eastAsia="Helvetica" w:hAnsi="Helvetica" w:cs="Helvetica"/>
          <w:sz w:val="18"/>
          <w:szCs w:val="18"/>
        </w:rPr>
        <w:t>calculated on a dividend-reinvested basis, for the Company, the S&amp;P 500 Index, the S&amp;P Information Technology Index and the Dow Jones U.S. Technology Supersector Index for the five years ended September 28, 2019. The graph assumes $100 was invested in each</w:t>
      </w:r>
      <w:r>
        <w:rPr>
          <w:rFonts w:ascii="Helvetica" w:eastAsia="Helvetica" w:hAnsi="Helvetica" w:cs="Helvetica"/>
          <w:sz w:val="18"/>
          <w:szCs w:val="18"/>
        </w:rPr>
        <w:t xml:space="preserve"> of the Company’s common stock, the S&amp;P 500 Index, the S&amp;P Information Technology Index and the Dow Jones U.S. Technology Supersector Index as of the market close on September 26, 2014. Note that historic stock price performance is not necessarily indicati</w:t>
      </w:r>
      <w:r>
        <w:rPr>
          <w:rFonts w:ascii="Helvetica" w:eastAsia="Helvetica" w:hAnsi="Helvetica" w:cs="Helvetica"/>
          <w:sz w:val="18"/>
          <w:szCs w:val="18"/>
        </w:rPr>
        <w:t>ve of future stock price performance.</w:t>
      </w:r>
    </w:p>
    <w:p w14:paraId="2A739D6D" w14:textId="77777777" w:rsidR="00FA5565" w:rsidRDefault="00D804D1">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/Apple/./Inline XBRL Viewer13_files/chart-06f17b4ddd9352dc8dc.jpg"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2A73C0AA" wp14:editId="2A73C0AB">
            <wp:extent cx="304800" cy="304800"/>
            <wp:effectExtent l="0" t="0" r="0" b="0"/>
            <wp:docPr id="32" name="图片 5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9D70" w14:textId="77777777">
        <w:trPr>
          <w:tblCellSpacing w:w="0" w:type="dxa"/>
        </w:trPr>
        <w:tc>
          <w:tcPr>
            <w:tcW w:w="960" w:type="dxa"/>
            <w:shd w:val="clear" w:color="auto" w:fill="auto"/>
            <w:vAlign w:val="center"/>
          </w:tcPr>
          <w:p w14:paraId="2A739D6E" w14:textId="77777777" w:rsidR="00FA5565" w:rsidRDefault="00FA5565">
            <w:pPr>
              <w:rPr>
                <w:rFonts w:ascii="Times New Roman" w:hAnsi="Times New Roman"/>
                <w:sz w:val="20"/>
                <w:szCs w:val="20"/>
              </w:rPr>
            </w:pPr>
          </w:p>
        </w:tc>
        <w:tc>
          <w:tcPr>
            <w:tcW w:w="0" w:type="auto"/>
            <w:shd w:val="clear" w:color="auto" w:fill="auto"/>
            <w:vAlign w:val="center"/>
          </w:tcPr>
          <w:p w14:paraId="2A739D6F" w14:textId="77777777" w:rsidR="00FA5565" w:rsidRDefault="00FA5565">
            <w:pPr>
              <w:rPr>
                <w:rFonts w:ascii="Times New Roman" w:hAnsi="Times New Roman"/>
                <w:sz w:val="20"/>
                <w:szCs w:val="20"/>
              </w:rPr>
            </w:pPr>
          </w:p>
        </w:tc>
      </w:tr>
      <w:tr w:rsidR="00FA5565" w14:paraId="2A739D73" w14:textId="77777777">
        <w:trPr>
          <w:tblCellSpacing w:w="0" w:type="dxa"/>
        </w:trPr>
        <w:tc>
          <w:tcPr>
            <w:tcW w:w="0" w:type="auto"/>
            <w:shd w:val="clear" w:color="auto" w:fill="auto"/>
          </w:tcPr>
          <w:p w14:paraId="2A739D71"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Pr>
          <w:p w14:paraId="2A739D72"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$100 invested on September 26, 2014 in stock or </w:t>
            </w:r>
            <w:r>
              <w:rPr>
                <w:rFonts w:ascii="Helvetica" w:eastAsia="Helvetica" w:hAnsi="Helvetica" w:cs="Helvetica"/>
                <w:sz w:val="16"/>
                <w:szCs w:val="16"/>
              </w:rPr>
              <w:t>index, including reinvestment of dividends. Data points are the last day of each fiscal year for the Company’s common stock and September 30th for indexes.</w:t>
            </w:r>
          </w:p>
        </w:tc>
      </w:tr>
    </w:tbl>
    <w:p w14:paraId="2A739D74"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6"/>
          <w:szCs w:val="16"/>
        </w:rPr>
        <w:t>Copyright</w:t>
      </w:r>
      <w:r>
        <w:rPr>
          <w:rFonts w:ascii="Helvetica" w:eastAsia="Helvetica" w:hAnsi="Helvetica" w:cs="Helvetica"/>
          <w:sz w:val="20"/>
          <w:szCs w:val="20"/>
        </w:rPr>
        <w:t>©</w:t>
      </w:r>
      <w:r>
        <w:rPr>
          <w:rFonts w:ascii="Helvetica" w:eastAsia="Helvetica" w:hAnsi="Helvetica" w:cs="Helvetica"/>
          <w:sz w:val="16"/>
          <w:szCs w:val="16"/>
        </w:rPr>
        <w:t xml:space="preserve"> 2019 Standard &amp; Poor’s, a division of S&amp;P Global. All rights reserved.</w:t>
      </w:r>
    </w:p>
    <w:p w14:paraId="2A739D75"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6"/>
          <w:szCs w:val="16"/>
        </w:rPr>
        <w:t>Copyright</w:t>
      </w:r>
      <w:r>
        <w:rPr>
          <w:rFonts w:ascii="Helvetica" w:eastAsia="Helvetica" w:hAnsi="Helvetica" w:cs="Helvetica"/>
          <w:sz w:val="20"/>
          <w:szCs w:val="20"/>
        </w:rPr>
        <w:t>©</w:t>
      </w:r>
      <w:r>
        <w:rPr>
          <w:rFonts w:ascii="Helvetica" w:eastAsia="Helvetica" w:hAnsi="Helvetica" w:cs="Helvetica"/>
          <w:sz w:val="16"/>
          <w:szCs w:val="16"/>
        </w:rPr>
        <w:t xml:space="preserve"> 2019 S&amp;P Dow Jones Indices LLC, a division of S&amp;P Global. All rights reserved.</w:t>
      </w:r>
    </w:p>
    <w:tbl>
      <w:tblPr>
        <w:tblW w:w="5000" w:type="pct"/>
        <w:tblCellMar>
          <w:left w:w="0" w:type="dxa"/>
          <w:right w:w="0" w:type="dxa"/>
        </w:tblCellMar>
        <w:tblLook w:val="04A0" w:firstRow="1" w:lastRow="0" w:firstColumn="1" w:lastColumn="0" w:noHBand="0" w:noVBand="1"/>
      </w:tblPr>
      <w:tblGrid>
        <w:gridCol w:w="1778"/>
        <w:gridCol w:w="130"/>
        <w:gridCol w:w="142"/>
        <w:gridCol w:w="726"/>
        <w:gridCol w:w="90"/>
        <w:gridCol w:w="130"/>
        <w:gridCol w:w="142"/>
        <w:gridCol w:w="726"/>
        <w:gridCol w:w="90"/>
        <w:gridCol w:w="130"/>
        <w:gridCol w:w="142"/>
        <w:gridCol w:w="726"/>
        <w:gridCol w:w="90"/>
        <w:gridCol w:w="130"/>
        <w:gridCol w:w="142"/>
        <w:gridCol w:w="726"/>
        <w:gridCol w:w="90"/>
        <w:gridCol w:w="130"/>
        <w:gridCol w:w="142"/>
        <w:gridCol w:w="726"/>
        <w:gridCol w:w="90"/>
        <w:gridCol w:w="130"/>
        <w:gridCol w:w="142"/>
        <w:gridCol w:w="726"/>
        <w:gridCol w:w="90"/>
      </w:tblGrid>
      <w:tr w:rsidR="00FA5565" w14:paraId="2A739D77" w14:textId="77777777">
        <w:tc>
          <w:tcPr>
            <w:tcW w:w="0" w:type="auto"/>
            <w:gridSpan w:val="25"/>
            <w:shd w:val="clear" w:color="auto" w:fill="auto"/>
            <w:vAlign w:val="center"/>
          </w:tcPr>
          <w:p w14:paraId="2A739D76" w14:textId="77777777" w:rsidR="00FA5565" w:rsidRDefault="00FA5565">
            <w:pPr>
              <w:rPr>
                <w:rFonts w:ascii="Times New Roman" w:hAnsi="Times New Roman"/>
                <w:sz w:val="20"/>
                <w:szCs w:val="20"/>
              </w:rPr>
            </w:pPr>
          </w:p>
        </w:tc>
      </w:tr>
      <w:tr w:rsidR="00FA5565" w14:paraId="2A739D91" w14:textId="77777777">
        <w:tc>
          <w:tcPr>
            <w:tcW w:w="1700" w:type="pct"/>
            <w:shd w:val="clear" w:color="auto" w:fill="auto"/>
            <w:vAlign w:val="center"/>
          </w:tcPr>
          <w:p w14:paraId="2A739D78" w14:textId="77777777" w:rsidR="00FA5565" w:rsidRDefault="00FA5565">
            <w:pPr>
              <w:rPr>
                <w:rFonts w:ascii="Times New Roman" w:hAnsi="Times New Roman"/>
                <w:sz w:val="20"/>
                <w:szCs w:val="20"/>
              </w:rPr>
            </w:pPr>
          </w:p>
        </w:tc>
        <w:tc>
          <w:tcPr>
            <w:tcW w:w="50" w:type="pct"/>
            <w:shd w:val="clear" w:color="auto" w:fill="auto"/>
            <w:vAlign w:val="center"/>
          </w:tcPr>
          <w:p w14:paraId="2A739D79" w14:textId="77777777" w:rsidR="00FA5565" w:rsidRDefault="00FA5565">
            <w:pPr>
              <w:rPr>
                <w:rFonts w:ascii="Times New Roman" w:hAnsi="Times New Roman"/>
                <w:sz w:val="20"/>
                <w:szCs w:val="20"/>
              </w:rPr>
            </w:pPr>
          </w:p>
        </w:tc>
        <w:tc>
          <w:tcPr>
            <w:tcW w:w="50" w:type="pct"/>
            <w:shd w:val="clear" w:color="auto" w:fill="auto"/>
            <w:vAlign w:val="center"/>
          </w:tcPr>
          <w:p w14:paraId="2A739D7A" w14:textId="77777777" w:rsidR="00FA5565" w:rsidRDefault="00FA5565">
            <w:pPr>
              <w:rPr>
                <w:rFonts w:ascii="Times New Roman" w:hAnsi="Times New Roman"/>
                <w:sz w:val="20"/>
                <w:szCs w:val="20"/>
              </w:rPr>
            </w:pPr>
          </w:p>
        </w:tc>
        <w:tc>
          <w:tcPr>
            <w:tcW w:w="400" w:type="pct"/>
            <w:shd w:val="clear" w:color="auto" w:fill="auto"/>
            <w:vAlign w:val="center"/>
          </w:tcPr>
          <w:p w14:paraId="2A739D7B" w14:textId="77777777" w:rsidR="00FA5565" w:rsidRDefault="00FA5565">
            <w:pPr>
              <w:rPr>
                <w:rFonts w:ascii="Times New Roman" w:hAnsi="Times New Roman"/>
                <w:sz w:val="20"/>
                <w:szCs w:val="20"/>
              </w:rPr>
            </w:pPr>
          </w:p>
        </w:tc>
        <w:tc>
          <w:tcPr>
            <w:tcW w:w="50" w:type="pct"/>
            <w:shd w:val="clear" w:color="auto" w:fill="auto"/>
            <w:vAlign w:val="center"/>
          </w:tcPr>
          <w:p w14:paraId="2A739D7C" w14:textId="77777777" w:rsidR="00FA5565" w:rsidRDefault="00FA5565">
            <w:pPr>
              <w:rPr>
                <w:rFonts w:ascii="Times New Roman" w:hAnsi="Times New Roman"/>
                <w:sz w:val="20"/>
                <w:szCs w:val="20"/>
              </w:rPr>
            </w:pPr>
          </w:p>
        </w:tc>
        <w:tc>
          <w:tcPr>
            <w:tcW w:w="50" w:type="pct"/>
            <w:shd w:val="clear" w:color="auto" w:fill="auto"/>
            <w:vAlign w:val="center"/>
          </w:tcPr>
          <w:p w14:paraId="2A739D7D" w14:textId="77777777" w:rsidR="00FA5565" w:rsidRDefault="00FA5565">
            <w:pPr>
              <w:rPr>
                <w:rFonts w:ascii="Times New Roman" w:hAnsi="Times New Roman"/>
                <w:sz w:val="20"/>
                <w:szCs w:val="20"/>
              </w:rPr>
            </w:pPr>
          </w:p>
        </w:tc>
        <w:tc>
          <w:tcPr>
            <w:tcW w:w="50" w:type="pct"/>
            <w:shd w:val="clear" w:color="auto" w:fill="auto"/>
            <w:vAlign w:val="center"/>
          </w:tcPr>
          <w:p w14:paraId="2A739D7E" w14:textId="77777777" w:rsidR="00FA5565" w:rsidRDefault="00FA5565">
            <w:pPr>
              <w:rPr>
                <w:rFonts w:ascii="Times New Roman" w:hAnsi="Times New Roman"/>
                <w:sz w:val="20"/>
                <w:szCs w:val="20"/>
              </w:rPr>
            </w:pPr>
          </w:p>
        </w:tc>
        <w:tc>
          <w:tcPr>
            <w:tcW w:w="400" w:type="pct"/>
            <w:shd w:val="clear" w:color="auto" w:fill="auto"/>
            <w:vAlign w:val="center"/>
          </w:tcPr>
          <w:p w14:paraId="2A739D7F" w14:textId="77777777" w:rsidR="00FA5565" w:rsidRDefault="00FA5565">
            <w:pPr>
              <w:rPr>
                <w:rFonts w:ascii="Times New Roman" w:hAnsi="Times New Roman"/>
                <w:sz w:val="20"/>
                <w:szCs w:val="20"/>
              </w:rPr>
            </w:pPr>
          </w:p>
        </w:tc>
        <w:tc>
          <w:tcPr>
            <w:tcW w:w="50" w:type="pct"/>
            <w:shd w:val="clear" w:color="auto" w:fill="auto"/>
            <w:vAlign w:val="center"/>
          </w:tcPr>
          <w:p w14:paraId="2A739D80" w14:textId="77777777" w:rsidR="00FA5565" w:rsidRDefault="00FA5565">
            <w:pPr>
              <w:rPr>
                <w:rFonts w:ascii="Times New Roman" w:hAnsi="Times New Roman"/>
                <w:sz w:val="20"/>
                <w:szCs w:val="20"/>
              </w:rPr>
            </w:pPr>
          </w:p>
        </w:tc>
        <w:tc>
          <w:tcPr>
            <w:tcW w:w="50" w:type="pct"/>
            <w:shd w:val="clear" w:color="auto" w:fill="auto"/>
            <w:vAlign w:val="center"/>
          </w:tcPr>
          <w:p w14:paraId="2A739D81" w14:textId="77777777" w:rsidR="00FA5565" w:rsidRDefault="00FA5565">
            <w:pPr>
              <w:rPr>
                <w:rFonts w:ascii="Times New Roman" w:hAnsi="Times New Roman"/>
                <w:sz w:val="20"/>
                <w:szCs w:val="20"/>
              </w:rPr>
            </w:pPr>
          </w:p>
        </w:tc>
        <w:tc>
          <w:tcPr>
            <w:tcW w:w="50" w:type="pct"/>
            <w:shd w:val="clear" w:color="auto" w:fill="auto"/>
            <w:vAlign w:val="center"/>
          </w:tcPr>
          <w:p w14:paraId="2A739D82" w14:textId="77777777" w:rsidR="00FA5565" w:rsidRDefault="00FA5565">
            <w:pPr>
              <w:rPr>
                <w:rFonts w:ascii="Times New Roman" w:hAnsi="Times New Roman"/>
                <w:sz w:val="20"/>
                <w:szCs w:val="20"/>
              </w:rPr>
            </w:pPr>
          </w:p>
        </w:tc>
        <w:tc>
          <w:tcPr>
            <w:tcW w:w="400" w:type="pct"/>
            <w:shd w:val="clear" w:color="auto" w:fill="auto"/>
            <w:vAlign w:val="center"/>
          </w:tcPr>
          <w:p w14:paraId="2A739D83" w14:textId="77777777" w:rsidR="00FA5565" w:rsidRDefault="00FA5565">
            <w:pPr>
              <w:rPr>
                <w:rFonts w:ascii="Times New Roman" w:hAnsi="Times New Roman"/>
                <w:sz w:val="20"/>
                <w:szCs w:val="20"/>
              </w:rPr>
            </w:pPr>
          </w:p>
        </w:tc>
        <w:tc>
          <w:tcPr>
            <w:tcW w:w="50" w:type="pct"/>
            <w:shd w:val="clear" w:color="auto" w:fill="auto"/>
            <w:vAlign w:val="center"/>
          </w:tcPr>
          <w:p w14:paraId="2A739D84" w14:textId="77777777" w:rsidR="00FA5565" w:rsidRDefault="00FA5565">
            <w:pPr>
              <w:rPr>
                <w:rFonts w:ascii="Times New Roman" w:hAnsi="Times New Roman"/>
                <w:sz w:val="20"/>
                <w:szCs w:val="20"/>
              </w:rPr>
            </w:pPr>
          </w:p>
        </w:tc>
        <w:tc>
          <w:tcPr>
            <w:tcW w:w="50" w:type="pct"/>
            <w:shd w:val="clear" w:color="auto" w:fill="auto"/>
            <w:vAlign w:val="center"/>
          </w:tcPr>
          <w:p w14:paraId="2A739D85" w14:textId="77777777" w:rsidR="00FA5565" w:rsidRDefault="00FA5565">
            <w:pPr>
              <w:rPr>
                <w:rFonts w:ascii="Times New Roman" w:hAnsi="Times New Roman"/>
                <w:sz w:val="20"/>
                <w:szCs w:val="20"/>
              </w:rPr>
            </w:pPr>
          </w:p>
        </w:tc>
        <w:tc>
          <w:tcPr>
            <w:tcW w:w="50" w:type="pct"/>
            <w:shd w:val="clear" w:color="auto" w:fill="auto"/>
            <w:vAlign w:val="center"/>
          </w:tcPr>
          <w:p w14:paraId="2A739D86" w14:textId="77777777" w:rsidR="00FA5565" w:rsidRDefault="00FA5565">
            <w:pPr>
              <w:rPr>
                <w:rFonts w:ascii="Times New Roman" w:hAnsi="Times New Roman"/>
                <w:sz w:val="20"/>
                <w:szCs w:val="20"/>
              </w:rPr>
            </w:pPr>
          </w:p>
        </w:tc>
        <w:tc>
          <w:tcPr>
            <w:tcW w:w="400" w:type="pct"/>
            <w:shd w:val="clear" w:color="auto" w:fill="auto"/>
            <w:vAlign w:val="center"/>
          </w:tcPr>
          <w:p w14:paraId="2A739D87" w14:textId="77777777" w:rsidR="00FA5565" w:rsidRDefault="00FA5565">
            <w:pPr>
              <w:rPr>
                <w:rFonts w:ascii="Times New Roman" w:hAnsi="Times New Roman"/>
                <w:sz w:val="20"/>
                <w:szCs w:val="20"/>
              </w:rPr>
            </w:pPr>
          </w:p>
        </w:tc>
        <w:tc>
          <w:tcPr>
            <w:tcW w:w="50" w:type="pct"/>
            <w:shd w:val="clear" w:color="auto" w:fill="auto"/>
            <w:vAlign w:val="center"/>
          </w:tcPr>
          <w:p w14:paraId="2A739D88" w14:textId="77777777" w:rsidR="00FA5565" w:rsidRDefault="00FA5565">
            <w:pPr>
              <w:rPr>
                <w:rFonts w:ascii="Times New Roman" w:hAnsi="Times New Roman"/>
                <w:sz w:val="20"/>
                <w:szCs w:val="20"/>
              </w:rPr>
            </w:pPr>
          </w:p>
        </w:tc>
        <w:tc>
          <w:tcPr>
            <w:tcW w:w="50" w:type="pct"/>
            <w:shd w:val="clear" w:color="auto" w:fill="auto"/>
            <w:vAlign w:val="center"/>
          </w:tcPr>
          <w:p w14:paraId="2A739D89" w14:textId="77777777" w:rsidR="00FA5565" w:rsidRDefault="00FA5565">
            <w:pPr>
              <w:rPr>
                <w:rFonts w:ascii="Times New Roman" w:hAnsi="Times New Roman"/>
                <w:sz w:val="20"/>
                <w:szCs w:val="20"/>
              </w:rPr>
            </w:pPr>
          </w:p>
        </w:tc>
        <w:tc>
          <w:tcPr>
            <w:tcW w:w="50" w:type="pct"/>
            <w:shd w:val="clear" w:color="auto" w:fill="auto"/>
            <w:vAlign w:val="center"/>
          </w:tcPr>
          <w:p w14:paraId="2A739D8A" w14:textId="77777777" w:rsidR="00FA5565" w:rsidRDefault="00FA5565">
            <w:pPr>
              <w:rPr>
                <w:rFonts w:ascii="Times New Roman" w:hAnsi="Times New Roman"/>
                <w:sz w:val="20"/>
                <w:szCs w:val="20"/>
              </w:rPr>
            </w:pPr>
          </w:p>
        </w:tc>
        <w:tc>
          <w:tcPr>
            <w:tcW w:w="400" w:type="pct"/>
            <w:shd w:val="clear" w:color="auto" w:fill="auto"/>
            <w:vAlign w:val="center"/>
          </w:tcPr>
          <w:p w14:paraId="2A739D8B" w14:textId="77777777" w:rsidR="00FA5565" w:rsidRDefault="00FA5565">
            <w:pPr>
              <w:rPr>
                <w:rFonts w:ascii="Times New Roman" w:hAnsi="Times New Roman"/>
                <w:sz w:val="20"/>
                <w:szCs w:val="20"/>
              </w:rPr>
            </w:pPr>
          </w:p>
        </w:tc>
        <w:tc>
          <w:tcPr>
            <w:tcW w:w="50" w:type="pct"/>
            <w:shd w:val="clear" w:color="auto" w:fill="auto"/>
            <w:vAlign w:val="center"/>
          </w:tcPr>
          <w:p w14:paraId="2A739D8C" w14:textId="77777777" w:rsidR="00FA5565" w:rsidRDefault="00FA5565">
            <w:pPr>
              <w:rPr>
                <w:rFonts w:ascii="Times New Roman" w:hAnsi="Times New Roman"/>
                <w:sz w:val="20"/>
                <w:szCs w:val="20"/>
              </w:rPr>
            </w:pPr>
          </w:p>
        </w:tc>
        <w:tc>
          <w:tcPr>
            <w:tcW w:w="50" w:type="pct"/>
            <w:shd w:val="clear" w:color="auto" w:fill="auto"/>
            <w:vAlign w:val="center"/>
          </w:tcPr>
          <w:p w14:paraId="2A739D8D" w14:textId="77777777" w:rsidR="00FA5565" w:rsidRDefault="00FA5565">
            <w:pPr>
              <w:rPr>
                <w:rFonts w:ascii="Times New Roman" w:hAnsi="Times New Roman"/>
                <w:sz w:val="20"/>
                <w:szCs w:val="20"/>
              </w:rPr>
            </w:pPr>
          </w:p>
        </w:tc>
        <w:tc>
          <w:tcPr>
            <w:tcW w:w="50" w:type="pct"/>
            <w:shd w:val="clear" w:color="auto" w:fill="auto"/>
            <w:vAlign w:val="center"/>
          </w:tcPr>
          <w:p w14:paraId="2A739D8E" w14:textId="77777777" w:rsidR="00FA5565" w:rsidRDefault="00FA5565">
            <w:pPr>
              <w:rPr>
                <w:rFonts w:ascii="Times New Roman" w:hAnsi="Times New Roman"/>
                <w:sz w:val="20"/>
                <w:szCs w:val="20"/>
              </w:rPr>
            </w:pPr>
          </w:p>
        </w:tc>
        <w:tc>
          <w:tcPr>
            <w:tcW w:w="400" w:type="pct"/>
            <w:shd w:val="clear" w:color="auto" w:fill="auto"/>
            <w:vAlign w:val="center"/>
          </w:tcPr>
          <w:p w14:paraId="2A739D8F" w14:textId="77777777" w:rsidR="00FA5565" w:rsidRDefault="00FA5565">
            <w:pPr>
              <w:rPr>
                <w:rFonts w:ascii="Times New Roman" w:hAnsi="Times New Roman"/>
                <w:sz w:val="20"/>
                <w:szCs w:val="20"/>
              </w:rPr>
            </w:pPr>
          </w:p>
        </w:tc>
        <w:tc>
          <w:tcPr>
            <w:tcW w:w="50" w:type="pct"/>
            <w:shd w:val="clear" w:color="auto" w:fill="auto"/>
            <w:vAlign w:val="center"/>
          </w:tcPr>
          <w:p w14:paraId="2A739D90" w14:textId="77777777" w:rsidR="00FA5565" w:rsidRDefault="00FA5565">
            <w:pPr>
              <w:rPr>
                <w:rFonts w:ascii="Times New Roman" w:hAnsi="Times New Roman"/>
                <w:sz w:val="20"/>
                <w:szCs w:val="20"/>
              </w:rPr>
            </w:pPr>
          </w:p>
        </w:tc>
      </w:tr>
      <w:tr w:rsidR="00FA5565" w14:paraId="2A739D9F" w14:textId="77777777">
        <w:tc>
          <w:tcPr>
            <w:tcW w:w="0" w:type="auto"/>
            <w:shd w:val="clear" w:color="auto" w:fill="auto"/>
            <w:tcMar>
              <w:top w:w="40" w:type="dxa"/>
              <w:left w:w="40" w:type="dxa"/>
              <w:bottom w:w="40" w:type="dxa"/>
              <w:right w:w="40" w:type="dxa"/>
            </w:tcMar>
            <w:vAlign w:val="bottom"/>
          </w:tcPr>
          <w:p w14:paraId="2A739D9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D9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D9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September 2014</w:t>
            </w:r>
          </w:p>
        </w:tc>
        <w:tc>
          <w:tcPr>
            <w:tcW w:w="0" w:type="auto"/>
            <w:shd w:val="clear" w:color="auto" w:fill="auto"/>
            <w:tcMar>
              <w:top w:w="40" w:type="dxa"/>
              <w:left w:w="40" w:type="dxa"/>
              <w:bottom w:w="40" w:type="dxa"/>
              <w:right w:w="40" w:type="dxa"/>
            </w:tcMar>
            <w:vAlign w:val="bottom"/>
          </w:tcPr>
          <w:p w14:paraId="2A739D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D9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September 2015</w:t>
            </w:r>
          </w:p>
        </w:tc>
        <w:tc>
          <w:tcPr>
            <w:tcW w:w="0" w:type="auto"/>
            <w:shd w:val="clear" w:color="auto" w:fill="auto"/>
            <w:tcMar>
              <w:top w:w="40" w:type="dxa"/>
              <w:left w:w="40" w:type="dxa"/>
              <w:bottom w:w="40" w:type="dxa"/>
              <w:right w:w="40" w:type="dxa"/>
            </w:tcMar>
            <w:vAlign w:val="bottom"/>
          </w:tcPr>
          <w:p w14:paraId="2A739D9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D9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September 2016</w:t>
            </w:r>
          </w:p>
        </w:tc>
        <w:tc>
          <w:tcPr>
            <w:tcW w:w="0" w:type="auto"/>
            <w:shd w:val="clear" w:color="auto" w:fill="auto"/>
            <w:tcMar>
              <w:top w:w="40" w:type="dxa"/>
              <w:left w:w="40" w:type="dxa"/>
              <w:bottom w:w="40" w:type="dxa"/>
              <w:right w:w="40" w:type="dxa"/>
            </w:tcMar>
            <w:vAlign w:val="bottom"/>
          </w:tcPr>
          <w:p w14:paraId="2A739D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D9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September 2017</w:t>
            </w:r>
          </w:p>
        </w:tc>
        <w:tc>
          <w:tcPr>
            <w:tcW w:w="0" w:type="auto"/>
            <w:shd w:val="clear" w:color="auto" w:fill="auto"/>
            <w:tcMar>
              <w:top w:w="40" w:type="dxa"/>
              <w:left w:w="40" w:type="dxa"/>
              <w:bottom w:w="40" w:type="dxa"/>
              <w:right w:w="40" w:type="dxa"/>
            </w:tcMar>
            <w:vAlign w:val="bottom"/>
          </w:tcPr>
          <w:p w14:paraId="2A739D9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D9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September 2018</w:t>
            </w:r>
          </w:p>
        </w:tc>
        <w:tc>
          <w:tcPr>
            <w:tcW w:w="0" w:type="auto"/>
            <w:shd w:val="clear" w:color="auto" w:fill="auto"/>
            <w:tcMar>
              <w:top w:w="40" w:type="dxa"/>
              <w:left w:w="40" w:type="dxa"/>
              <w:bottom w:w="40" w:type="dxa"/>
              <w:right w:w="40" w:type="dxa"/>
            </w:tcMar>
            <w:vAlign w:val="bottom"/>
          </w:tcPr>
          <w:p w14:paraId="2A739D9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D9E"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September 2019</w:t>
            </w:r>
          </w:p>
        </w:tc>
      </w:tr>
      <w:tr w:rsidR="00FA5565" w14:paraId="2A739DB9" w14:textId="77777777">
        <w:tc>
          <w:tcPr>
            <w:tcW w:w="0" w:type="auto"/>
            <w:shd w:val="clear" w:color="auto" w:fill="auto"/>
            <w:tcMar>
              <w:top w:w="40" w:type="dxa"/>
              <w:left w:w="40" w:type="dxa"/>
              <w:bottom w:w="40" w:type="dxa"/>
              <w:right w:w="40" w:type="dxa"/>
            </w:tcMar>
          </w:tcPr>
          <w:p w14:paraId="2A739DA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Apple Inc.</w:t>
            </w:r>
          </w:p>
        </w:tc>
        <w:tc>
          <w:tcPr>
            <w:tcW w:w="0" w:type="auto"/>
            <w:shd w:val="clear" w:color="auto" w:fill="auto"/>
            <w:tcMar>
              <w:top w:w="40" w:type="dxa"/>
              <w:left w:w="40" w:type="dxa"/>
              <w:bottom w:w="40" w:type="dxa"/>
              <w:right w:w="40" w:type="dxa"/>
            </w:tcMar>
            <w:vAlign w:val="bottom"/>
          </w:tcPr>
          <w:p w14:paraId="2A739DA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A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DA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100</w:t>
            </w:r>
          </w:p>
        </w:tc>
        <w:tc>
          <w:tcPr>
            <w:tcW w:w="0" w:type="auto"/>
            <w:shd w:val="clear" w:color="auto" w:fill="auto"/>
            <w:vAlign w:val="bottom"/>
          </w:tcPr>
          <w:p w14:paraId="2A739DA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9DA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9DA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116</w:t>
            </w:r>
          </w:p>
        </w:tc>
        <w:tc>
          <w:tcPr>
            <w:tcW w:w="0" w:type="auto"/>
            <w:tcBorders>
              <w:top w:val="single" w:sz="8" w:space="0" w:color="000000"/>
            </w:tcBorders>
            <w:shd w:val="clear" w:color="auto" w:fill="auto"/>
            <w:vAlign w:val="bottom"/>
          </w:tcPr>
          <w:p w14:paraId="2A739DA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A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9DA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9DA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116</w:t>
            </w:r>
          </w:p>
        </w:tc>
        <w:tc>
          <w:tcPr>
            <w:tcW w:w="0" w:type="auto"/>
            <w:tcBorders>
              <w:top w:val="single" w:sz="8" w:space="0" w:color="000000"/>
            </w:tcBorders>
            <w:shd w:val="clear" w:color="auto" w:fill="auto"/>
            <w:vAlign w:val="bottom"/>
          </w:tcPr>
          <w:p w14:paraId="2A739DA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A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9DA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9DA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w:t>
            </w:r>
          </w:p>
        </w:tc>
        <w:tc>
          <w:tcPr>
            <w:tcW w:w="0" w:type="auto"/>
            <w:tcBorders>
              <w:top w:val="single" w:sz="8" w:space="0" w:color="000000"/>
            </w:tcBorders>
            <w:shd w:val="clear" w:color="auto" w:fill="auto"/>
            <w:vAlign w:val="bottom"/>
          </w:tcPr>
          <w:p w14:paraId="2A739DB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9DB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9DB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240</w:t>
            </w:r>
          </w:p>
        </w:tc>
        <w:tc>
          <w:tcPr>
            <w:tcW w:w="0" w:type="auto"/>
            <w:tcBorders>
              <w:top w:val="single" w:sz="8" w:space="0" w:color="000000"/>
            </w:tcBorders>
            <w:shd w:val="clear" w:color="auto" w:fill="auto"/>
            <w:vAlign w:val="bottom"/>
          </w:tcPr>
          <w:p w14:paraId="2A739DB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B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9DB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9DB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237</w:t>
            </w:r>
          </w:p>
        </w:tc>
        <w:tc>
          <w:tcPr>
            <w:tcW w:w="0" w:type="auto"/>
            <w:tcBorders>
              <w:top w:val="single" w:sz="8" w:space="0" w:color="000000"/>
            </w:tcBorders>
            <w:shd w:val="clear" w:color="auto" w:fill="auto"/>
            <w:vAlign w:val="bottom"/>
          </w:tcPr>
          <w:p w14:paraId="2A739DB8" w14:textId="77777777" w:rsidR="00FA5565" w:rsidRDefault="00FA5565">
            <w:pPr>
              <w:textAlignment w:val="bottom"/>
              <w:rPr>
                <w:rFonts w:ascii="Times New Roman" w:hAnsi="Times New Roman"/>
                <w:sz w:val="20"/>
                <w:szCs w:val="20"/>
              </w:rPr>
            </w:pPr>
          </w:p>
        </w:tc>
      </w:tr>
      <w:tr w:rsidR="00FA5565" w14:paraId="2A739DD3" w14:textId="77777777">
        <w:tc>
          <w:tcPr>
            <w:tcW w:w="0" w:type="auto"/>
            <w:shd w:val="clear" w:color="auto" w:fill="EFEFEF"/>
            <w:tcMar>
              <w:top w:w="40" w:type="dxa"/>
              <w:left w:w="40" w:type="dxa"/>
              <w:bottom w:w="40" w:type="dxa"/>
              <w:right w:w="40" w:type="dxa"/>
            </w:tcMar>
          </w:tcPr>
          <w:p w14:paraId="2A739DB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S&amp;P 500 Index</w:t>
            </w:r>
          </w:p>
        </w:tc>
        <w:tc>
          <w:tcPr>
            <w:tcW w:w="0" w:type="auto"/>
            <w:shd w:val="clear" w:color="auto" w:fill="EFEFEF"/>
            <w:tcMar>
              <w:top w:w="40" w:type="dxa"/>
              <w:left w:w="40" w:type="dxa"/>
              <w:bottom w:w="40" w:type="dxa"/>
              <w:right w:w="40" w:type="dxa"/>
            </w:tcMar>
            <w:vAlign w:val="bottom"/>
          </w:tcPr>
          <w:p w14:paraId="2A739DB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B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DB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100</w:t>
            </w:r>
          </w:p>
        </w:tc>
        <w:tc>
          <w:tcPr>
            <w:tcW w:w="0" w:type="auto"/>
            <w:shd w:val="clear" w:color="auto" w:fill="EFEFEF"/>
            <w:vAlign w:val="bottom"/>
          </w:tcPr>
          <w:p w14:paraId="2A739DB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B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C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DC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99</w:t>
            </w:r>
          </w:p>
        </w:tc>
        <w:tc>
          <w:tcPr>
            <w:tcW w:w="0" w:type="auto"/>
            <w:shd w:val="clear" w:color="auto" w:fill="EFEFEF"/>
            <w:vAlign w:val="bottom"/>
          </w:tcPr>
          <w:p w14:paraId="2A739DC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C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DC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115</w:t>
            </w:r>
          </w:p>
        </w:tc>
        <w:tc>
          <w:tcPr>
            <w:tcW w:w="0" w:type="auto"/>
            <w:shd w:val="clear" w:color="auto" w:fill="EFEFEF"/>
            <w:vAlign w:val="bottom"/>
          </w:tcPr>
          <w:p w14:paraId="2A739DC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C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C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DC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136</w:t>
            </w:r>
          </w:p>
        </w:tc>
        <w:tc>
          <w:tcPr>
            <w:tcW w:w="0" w:type="auto"/>
            <w:shd w:val="clear" w:color="auto" w:fill="EFEFEF"/>
            <w:vAlign w:val="bottom"/>
          </w:tcPr>
          <w:p w14:paraId="2A739DC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C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DC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160</w:t>
            </w:r>
          </w:p>
        </w:tc>
        <w:tc>
          <w:tcPr>
            <w:tcW w:w="0" w:type="auto"/>
            <w:shd w:val="clear" w:color="auto" w:fill="EFEFEF"/>
            <w:vAlign w:val="bottom"/>
          </w:tcPr>
          <w:p w14:paraId="2A739DC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D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DD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167</w:t>
            </w:r>
          </w:p>
        </w:tc>
        <w:tc>
          <w:tcPr>
            <w:tcW w:w="0" w:type="auto"/>
            <w:shd w:val="clear" w:color="auto" w:fill="EFEFEF"/>
            <w:vAlign w:val="bottom"/>
          </w:tcPr>
          <w:p w14:paraId="2A739DD2" w14:textId="77777777" w:rsidR="00FA5565" w:rsidRDefault="00FA5565">
            <w:pPr>
              <w:textAlignment w:val="bottom"/>
              <w:rPr>
                <w:rFonts w:ascii="Times New Roman" w:hAnsi="Times New Roman"/>
                <w:sz w:val="20"/>
                <w:szCs w:val="20"/>
              </w:rPr>
            </w:pPr>
          </w:p>
        </w:tc>
      </w:tr>
      <w:tr w:rsidR="00FA5565" w14:paraId="2A739DED" w14:textId="77777777">
        <w:tc>
          <w:tcPr>
            <w:tcW w:w="0" w:type="auto"/>
            <w:shd w:val="clear" w:color="auto" w:fill="auto"/>
            <w:tcMar>
              <w:top w:w="40" w:type="dxa"/>
              <w:left w:w="40" w:type="dxa"/>
              <w:bottom w:w="40" w:type="dxa"/>
              <w:right w:w="40" w:type="dxa"/>
            </w:tcMar>
          </w:tcPr>
          <w:p w14:paraId="2A739DD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S&amp;P Information Technology Index</w:t>
            </w:r>
          </w:p>
        </w:tc>
        <w:tc>
          <w:tcPr>
            <w:tcW w:w="0" w:type="auto"/>
            <w:shd w:val="clear" w:color="auto" w:fill="auto"/>
            <w:tcMar>
              <w:top w:w="40" w:type="dxa"/>
              <w:left w:w="40" w:type="dxa"/>
              <w:bottom w:w="40" w:type="dxa"/>
              <w:right w:w="40" w:type="dxa"/>
            </w:tcMar>
            <w:vAlign w:val="bottom"/>
          </w:tcPr>
          <w:p w14:paraId="2A739DD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D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DD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100</w:t>
            </w:r>
          </w:p>
        </w:tc>
        <w:tc>
          <w:tcPr>
            <w:tcW w:w="0" w:type="auto"/>
            <w:shd w:val="clear" w:color="auto" w:fill="auto"/>
            <w:vAlign w:val="bottom"/>
          </w:tcPr>
          <w:p w14:paraId="2A739DD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D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D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DD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102</w:t>
            </w:r>
          </w:p>
        </w:tc>
        <w:tc>
          <w:tcPr>
            <w:tcW w:w="0" w:type="auto"/>
            <w:shd w:val="clear" w:color="auto" w:fill="auto"/>
            <w:vAlign w:val="bottom"/>
          </w:tcPr>
          <w:p w14:paraId="2A739DD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D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DD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125</w:t>
            </w:r>
          </w:p>
        </w:tc>
        <w:tc>
          <w:tcPr>
            <w:tcW w:w="0" w:type="auto"/>
            <w:shd w:val="clear" w:color="auto" w:fill="auto"/>
            <w:vAlign w:val="bottom"/>
          </w:tcPr>
          <w:p w14:paraId="2A739DE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E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DE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w:t>
            </w:r>
          </w:p>
        </w:tc>
        <w:tc>
          <w:tcPr>
            <w:tcW w:w="0" w:type="auto"/>
            <w:shd w:val="clear" w:color="auto" w:fill="auto"/>
            <w:vAlign w:val="bottom"/>
          </w:tcPr>
          <w:p w14:paraId="2A739DE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E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E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DE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213</w:t>
            </w:r>
          </w:p>
        </w:tc>
        <w:tc>
          <w:tcPr>
            <w:tcW w:w="0" w:type="auto"/>
            <w:shd w:val="clear" w:color="auto" w:fill="auto"/>
            <w:vAlign w:val="bottom"/>
          </w:tcPr>
          <w:p w14:paraId="2A739DE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DE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DE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DE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231</w:t>
            </w:r>
          </w:p>
        </w:tc>
        <w:tc>
          <w:tcPr>
            <w:tcW w:w="0" w:type="auto"/>
            <w:shd w:val="clear" w:color="auto" w:fill="auto"/>
            <w:vAlign w:val="bottom"/>
          </w:tcPr>
          <w:p w14:paraId="2A739DEC" w14:textId="77777777" w:rsidR="00FA5565" w:rsidRDefault="00FA5565">
            <w:pPr>
              <w:textAlignment w:val="bottom"/>
              <w:rPr>
                <w:rFonts w:ascii="Times New Roman" w:hAnsi="Times New Roman"/>
                <w:sz w:val="20"/>
                <w:szCs w:val="20"/>
              </w:rPr>
            </w:pPr>
          </w:p>
        </w:tc>
      </w:tr>
      <w:tr w:rsidR="00FA5565" w14:paraId="2A739E07" w14:textId="77777777">
        <w:tc>
          <w:tcPr>
            <w:tcW w:w="0" w:type="auto"/>
            <w:shd w:val="clear" w:color="auto" w:fill="EFEFEF"/>
            <w:tcMar>
              <w:top w:w="40" w:type="dxa"/>
              <w:left w:w="40" w:type="dxa"/>
              <w:bottom w:w="40" w:type="dxa"/>
              <w:right w:w="40" w:type="dxa"/>
            </w:tcMar>
          </w:tcPr>
          <w:p w14:paraId="2A739DE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Dow Jones U.S. Technology Supersector Index</w:t>
            </w:r>
          </w:p>
        </w:tc>
        <w:tc>
          <w:tcPr>
            <w:tcW w:w="0" w:type="auto"/>
            <w:shd w:val="clear" w:color="auto" w:fill="EFEFEF"/>
            <w:tcMar>
              <w:top w:w="40" w:type="dxa"/>
              <w:left w:w="40" w:type="dxa"/>
              <w:bottom w:w="40" w:type="dxa"/>
              <w:right w:w="40" w:type="dxa"/>
            </w:tcMar>
            <w:vAlign w:val="bottom"/>
          </w:tcPr>
          <w:p w14:paraId="2A739DE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F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DF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100</w:t>
            </w:r>
          </w:p>
        </w:tc>
        <w:tc>
          <w:tcPr>
            <w:tcW w:w="0" w:type="auto"/>
            <w:shd w:val="clear" w:color="auto" w:fill="EFEFEF"/>
            <w:vAlign w:val="bottom"/>
          </w:tcPr>
          <w:p w14:paraId="2A739DF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F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F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DF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100</w:t>
            </w:r>
          </w:p>
        </w:tc>
        <w:tc>
          <w:tcPr>
            <w:tcW w:w="0" w:type="auto"/>
            <w:shd w:val="clear" w:color="auto" w:fill="EFEFEF"/>
            <w:vAlign w:val="bottom"/>
          </w:tcPr>
          <w:p w14:paraId="2A739DF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F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F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DF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122</w:t>
            </w:r>
          </w:p>
        </w:tc>
        <w:tc>
          <w:tcPr>
            <w:tcW w:w="0" w:type="auto"/>
            <w:shd w:val="clear" w:color="auto" w:fill="EFEFEF"/>
            <w:vAlign w:val="bottom"/>
          </w:tcPr>
          <w:p w14:paraId="2A739DF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DF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DF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156</w:t>
            </w:r>
          </w:p>
        </w:tc>
        <w:tc>
          <w:tcPr>
            <w:tcW w:w="0" w:type="auto"/>
            <w:shd w:val="clear" w:color="auto" w:fill="EFEFEF"/>
            <w:vAlign w:val="bottom"/>
          </w:tcPr>
          <w:p w14:paraId="2A739DF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DF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0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0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205</w:t>
            </w:r>
          </w:p>
        </w:tc>
        <w:tc>
          <w:tcPr>
            <w:tcW w:w="0" w:type="auto"/>
            <w:shd w:val="clear" w:color="auto" w:fill="EFEFEF"/>
            <w:vAlign w:val="bottom"/>
          </w:tcPr>
          <w:p w14:paraId="2A739E0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0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0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0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218</w:t>
            </w:r>
          </w:p>
        </w:tc>
        <w:tc>
          <w:tcPr>
            <w:tcW w:w="0" w:type="auto"/>
            <w:shd w:val="clear" w:color="auto" w:fill="EFEFEF"/>
            <w:vAlign w:val="bottom"/>
          </w:tcPr>
          <w:p w14:paraId="2A739E06" w14:textId="77777777" w:rsidR="00FA5565" w:rsidRDefault="00FA5565">
            <w:pPr>
              <w:textAlignment w:val="bottom"/>
              <w:rPr>
                <w:rFonts w:ascii="Times New Roman" w:hAnsi="Times New Roman"/>
                <w:sz w:val="20"/>
                <w:szCs w:val="20"/>
              </w:rPr>
            </w:pPr>
          </w:p>
        </w:tc>
      </w:tr>
    </w:tbl>
    <w:p w14:paraId="2A739E08" w14:textId="77777777" w:rsidR="00FA5565" w:rsidRDefault="00FA5565">
      <w:pPr>
        <w:rPr>
          <w:rFonts w:ascii="Times New Roman" w:hAnsi="Times New Roman"/>
          <w:sz w:val="20"/>
          <w:szCs w:val="20"/>
        </w:rPr>
      </w:pPr>
    </w:p>
    <w:p w14:paraId="2A739E09"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16</w:t>
      </w:r>
    </w:p>
    <w:p w14:paraId="2A739E0A" w14:textId="77777777" w:rsidR="00FA5565" w:rsidRDefault="00D804D1">
      <w:r>
        <w:rPr>
          <w:rFonts w:ascii="Times New Roman" w:hAnsi="Times New Roman"/>
          <w:sz w:val="16"/>
          <w:szCs w:val="16"/>
        </w:rPr>
        <w:pict w14:anchorId="2A73C0AC">
          <v:rect id="_x0000_i1042" style="width:415.3pt;height:1.5pt" o:hralign="center" o:hrstd="t" o:hr="t" fillcolor="#a0a0a0" stroked="f"/>
        </w:pict>
      </w:r>
    </w:p>
    <w:p w14:paraId="2A739E0B" w14:textId="77777777" w:rsidR="00FA5565" w:rsidRDefault="00FA556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2011"/>
      </w:tblGrid>
      <w:tr w:rsidR="00FA5565" w14:paraId="2A739E0E" w14:textId="77777777">
        <w:trPr>
          <w:tblCellSpacing w:w="0" w:type="dxa"/>
        </w:trPr>
        <w:tc>
          <w:tcPr>
            <w:tcW w:w="1200" w:type="dxa"/>
            <w:shd w:val="clear" w:color="auto" w:fill="auto"/>
            <w:vAlign w:val="center"/>
          </w:tcPr>
          <w:p w14:paraId="2A739E0C" w14:textId="77777777" w:rsidR="00FA5565" w:rsidRDefault="00FA5565">
            <w:pPr>
              <w:rPr>
                <w:rFonts w:ascii="Times New Roman" w:hAnsi="Times New Roman"/>
                <w:sz w:val="20"/>
                <w:szCs w:val="20"/>
              </w:rPr>
            </w:pPr>
          </w:p>
        </w:tc>
        <w:tc>
          <w:tcPr>
            <w:tcW w:w="0" w:type="auto"/>
            <w:shd w:val="clear" w:color="auto" w:fill="auto"/>
            <w:vAlign w:val="center"/>
          </w:tcPr>
          <w:p w14:paraId="2A739E0D" w14:textId="77777777" w:rsidR="00FA5565" w:rsidRDefault="00FA5565">
            <w:pPr>
              <w:rPr>
                <w:rFonts w:ascii="Times New Roman" w:hAnsi="Times New Roman"/>
                <w:sz w:val="20"/>
                <w:szCs w:val="20"/>
              </w:rPr>
            </w:pPr>
          </w:p>
        </w:tc>
      </w:tr>
      <w:tr w:rsidR="00FA5565" w14:paraId="2A739E11" w14:textId="77777777">
        <w:trPr>
          <w:tblCellSpacing w:w="0" w:type="dxa"/>
        </w:trPr>
        <w:tc>
          <w:tcPr>
            <w:tcW w:w="0" w:type="auto"/>
            <w:shd w:val="clear" w:color="auto" w:fill="auto"/>
          </w:tcPr>
          <w:p w14:paraId="2A739E0F"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6.</w:t>
            </w:r>
          </w:p>
        </w:tc>
        <w:tc>
          <w:tcPr>
            <w:tcW w:w="0" w:type="auto"/>
            <w:shd w:val="clear" w:color="auto" w:fill="auto"/>
          </w:tcPr>
          <w:p w14:paraId="2A739E10"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Selected Financial Data</w:t>
            </w:r>
          </w:p>
        </w:tc>
      </w:tr>
    </w:tbl>
    <w:p w14:paraId="2A739E1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information set forth below for the five years ended September 28, 2019, is not necessarily indicative of </w:t>
      </w:r>
      <w:r>
        <w:rPr>
          <w:rFonts w:ascii="Helvetica" w:eastAsia="Helvetica" w:hAnsi="Helvetica" w:cs="Helvetica"/>
          <w:sz w:val="18"/>
          <w:szCs w:val="18"/>
        </w:rPr>
        <w:t xml:space="preserve">results of future operations, and should be read in conjunction with Part II, Item 7, “Management’s Discussion and Analysis of Financial Condition and Results of Operations” and the consolidated financial statements and accompanying notes thereto included </w:t>
      </w:r>
      <w:r>
        <w:rPr>
          <w:rFonts w:ascii="Helvetica" w:eastAsia="Helvetica" w:hAnsi="Helvetica" w:cs="Helvetica"/>
          <w:sz w:val="18"/>
          <w:szCs w:val="18"/>
        </w:rPr>
        <w:t>in Part II, Item 8 of this Form 10-K to fully understand factors that may affect the comparability of the information presented below (in millions, except number of shares, which are reflected in thousands, and per share amounts).</w:t>
      </w:r>
    </w:p>
    <w:tbl>
      <w:tblPr>
        <w:tblW w:w="5000" w:type="pct"/>
        <w:tblCellMar>
          <w:left w:w="0" w:type="dxa"/>
          <w:right w:w="0" w:type="dxa"/>
        </w:tblCellMar>
        <w:tblLook w:val="04A0" w:firstRow="1" w:lastRow="0" w:firstColumn="1" w:lastColumn="0" w:noHBand="0" w:noVBand="1"/>
      </w:tblPr>
      <w:tblGrid>
        <w:gridCol w:w="3266"/>
        <w:gridCol w:w="142"/>
        <w:gridCol w:w="756"/>
        <w:gridCol w:w="6"/>
        <w:gridCol w:w="130"/>
        <w:gridCol w:w="142"/>
        <w:gridCol w:w="756"/>
        <w:gridCol w:w="6"/>
        <w:gridCol w:w="130"/>
        <w:gridCol w:w="142"/>
        <w:gridCol w:w="756"/>
        <w:gridCol w:w="6"/>
        <w:gridCol w:w="130"/>
        <w:gridCol w:w="142"/>
        <w:gridCol w:w="756"/>
        <w:gridCol w:w="6"/>
        <w:gridCol w:w="130"/>
        <w:gridCol w:w="142"/>
        <w:gridCol w:w="756"/>
        <w:gridCol w:w="6"/>
      </w:tblGrid>
      <w:tr w:rsidR="00FA5565" w14:paraId="2A739E14" w14:textId="77777777">
        <w:tc>
          <w:tcPr>
            <w:tcW w:w="0" w:type="auto"/>
            <w:gridSpan w:val="20"/>
            <w:shd w:val="clear" w:color="auto" w:fill="auto"/>
            <w:vAlign w:val="center"/>
          </w:tcPr>
          <w:p w14:paraId="2A739E13" w14:textId="77777777" w:rsidR="00FA5565" w:rsidRDefault="00FA5565">
            <w:pPr>
              <w:rPr>
                <w:rFonts w:ascii="Times New Roman" w:hAnsi="Times New Roman"/>
                <w:sz w:val="20"/>
                <w:szCs w:val="20"/>
              </w:rPr>
            </w:pPr>
          </w:p>
        </w:tc>
      </w:tr>
      <w:tr w:rsidR="00FA5565" w14:paraId="2A739E29" w14:textId="77777777">
        <w:tc>
          <w:tcPr>
            <w:tcW w:w="2050" w:type="pct"/>
            <w:shd w:val="clear" w:color="auto" w:fill="auto"/>
            <w:vAlign w:val="center"/>
          </w:tcPr>
          <w:p w14:paraId="2A739E15" w14:textId="77777777" w:rsidR="00FA5565" w:rsidRDefault="00FA5565">
            <w:pPr>
              <w:rPr>
                <w:rFonts w:ascii="Times New Roman" w:hAnsi="Times New Roman"/>
                <w:sz w:val="20"/>
                <w:szCs w:val="20"/>
              </w:rPr>
            </w:pPr>
          </w:p>
        </w:tc>
        <w:tc>
          <w:tcPr>
            <w:tcW w:w="50" w:type="pct"/>
            <w:shd w:val="clear" w:color="auto" w:fill="auto"/>
            <w:vAlign w:val="center"/>
          </w:tcPr>
          <w:p w14:paraId="2A739E16" w14:textId="77777777" w:rsidR="00FA5565" w:rsidRDefault="00FA5565">
            <w:pPr>
              <w:rPr>
                <w:rFonts w:ascii="Times New Roman" w:hAnsi="Times New Roman"/>
                <w:sz w:val="20"/>
                <w:szCs w:val="20"/>
              </w:rPr>
            </w:pPr>
          </w:p>
        </w:tc>
        <w:tc>
          <w:tcPr>
            <w:tcW w:w="450" w:type="pct"/>
            <w:shd w:val="clear" w:color="auto" w:fill="auto"/>
            <w:vAlign w:val="center"/>
          </w:tcPr>
          <w:p w14:paraId="2A739E17" w14:textId="77777777" w:rsidR="00FA5565" w:rsidRDefault="00FA5565">
            <w:pPr>
              <w:rPr>
                <w:rFonts w:ascii="Times New Roman" w:hAnsi="Times New Roman"/>
                <w:sz w:val="20"/>
                <w:szCs w:val="20"/>
              </w:rPr>
            </w:pPr>
          </w:p>
        </w:tc>
        <w:tc>
          <w:tcPr>
            <w:tcW w:w="50" w:type="pct"/>
            <w:shd w:val="clear" w:color="auto" w:fill="auto"/>
            <w:vAlign w:val="center"/>
          </w:tcPr>
          <w:p w14:paraId="2A739E18" w14:textId="77777777" w:rsidR="00FA5565" w:rsidRDefault="00FA5565">
            <w:pPr>
              <w:rPr>
                <w:rFonts w:ascii="Times New Roman" w:hAnsi="Times New Roman"/>
                <w:sz w:val="20"/>
                <w:szCs w:val="20"/>
              </w:rPr>
            </w:pPr>
          </w:p>
        </w:tc>
        <w:tc>
          <w:tcPr>
            <w:tcW w:w="50" w:type="pct"/>
            <w:shd w:val="clear" w:color="auto" w:fill="auto"/>
            <w:vAlign w:val="center"/>
          </w:tcPr>
          <w:p w14:paraId="2A739E19" w14:textId="77777777" w:rsidR="00FA5565" w:rsidRDefault="00FA5565">
            <w:pPr>
              <w:rPr>
                <w:rFonts w:ascii="Times New Roman" w:hAnsi="Times New Roman"/>
                <w:sz w:val="20"/>
                <w:szCs w:val="20"/>
              </w:rPr>
            </w:pPr>
          </w:p>
        </w:tc>
        <w:tc>
          <w:tcPr>
            <w:tcW w:w="50" w:type="pct"/>
            <w:shd w:val="clear" w:color="auto" w:fill="auto"/>
            <w:vAlign w:val="center"/>
          </w:tcPr>
          <w:p w14:paraId="2A739E1A" w14:textId="77777777" w:rsidR="00FA5565" w:rsidRDefault="00FA5565">
            <w:pPr>
              <w:rPr>
                <w:rFonts w:ascii="Times New Roman" w:hAnsi="Times New Roman"/>
                <w:sz w:val="20"/>
                <w:szCs w:val="20"/>
              </w:rPr>
            </w:pPr>
          </w:p>
        </w:tc>
        <w:tc>
          <w:tcPr>
            <w:tcW w:w="450" w:type="pct"/>
            <w:shd w:val="clear" w:color="auto" w:fill="auto"/>
            <w:vAlign w:val="center"/>
          </w:tcPr>
          <w:p w14:paraId="2A739E1B" w14:textId="77777777" w:rsidR="00FA5565" w:rsidRDefault="00FA5565">
            <w:pPr>
              <w:rPr>
                <w:rFonts w:ascii="Times New Roman" w:hAnsi="Times New Roman"/>
                <w:sz w:val="20"/>
                <w:szCs w:val="20"/>
              </w:rPr>
            </w:pPr>
          </w:p>
        </w:tc>
        <w:tc>
          <w:tcPr>
            <w:tcW w:w="50" w:type="pct"/>
            <w:shd w:val="clear" w:color="auto" w:fill="auto"/>
            <w:vAlign w:val="center"/>
          </w:tcPr>
          <w:p w14:paraId="2A739E1C" w14:textId="77777777" w:rsidR="00FA5565" w:rsidRDefault="00FA5565">
            <w:pPr>
              <w:rPr>
                <w:rFonts w:ascii="Times New Roman" w:hAnsi="Times New Roman"/>
                <w:sz w:val="20"/>
                <w:szCs w:val="20"/>
              </w:rPr>
            </w:pPr>
          </w:p>
        </w:tc>
        <w:tc>
          <w:tcPr>
            <w:tcW w:w="50" w:type="pct"/>
            <w:shd w:val="clear" w:color="auto" w:fill="auto"/>
            <w:vAlign w:val="center"/>
          </w:tcPr>
          <w:p w14:paraId="2A739E1D" w14:textId="77777777" w:rsidR="00FA5565" w:rsidRDefault="00FA5565">
            <w:pPr>
              <w:rPr>
                <w:rFonts w:ascii="Times New Roman" w:hAnsi="Times New Roman"/>
                <w:sz w:val="20"/>
                <w:szCs w:val="20"/>
              </w:rPr>
            </w:pPr>
          </w:p>
        </w:tc>
        <w:tc>
          <w:tcPr>
            <w:tcW w:w="50" w:type="pct"/>
            <w:shd w:val="clear" w:color="auto" w:fill="auto"/>
            <w:vAlign w:val="center"/>
          </w:tcPr>
          <w:p w14:paraId="2A739E1E" w14:textId="77777777" w:rsidR="00FA5565" w:rsidRDefault="00FA5565">
            <w:pPr>
              <w:rPr>
                <w:rFonts w:ascii="Times New Roman" w:hAnsi="Times New Roman"/>
                <w:sz w:val="20"/>
                <w:szCs w:val="20"/>
              </w:rPr>
            </w:pPr>
          </w:p>
        </w:tc>
        <w:tc>
          <w:tcPr>
            <w:tcW w:w="450" w:type="pct"/>
            <w:shd w:val="clear" w:color="auto" w:fill="auto"/>
            <w:vAlign w:val="center"/>
          </w:tcPr>
          <w:p w14:paraId="2A739E1F" w14:textId="77777777" w:rsidR="00FA5565" w:rsidRDefault="00FA5565">
            <w:pPr>
              <w:rPr>
                <w:rFonts w:ascii="Times New Roman" w:hAnsi="Times New Roman"/>
                <w:sz w:val="20"/>
                <w:szCs w:val="20"/>
              </w:rPr>
            </w:pPr>
          </w:p>
        </w:tc>
        <w:tc>
          <w:tcPr>
            <w:tcW w:w="50" w:type="pct"/>
            <w:shd w:val="clear" w:color="auto" w:fill="auto"/>
            <w:vAlign w:val="center"/>
          </w:tcPr>
          <w:p w14:paraId="2A739E20" w14:textId="77777777" w:rsidR="00FA5565" w:rsidRDefault="00FA5565">
            <w:pPr>
              <w:rPr>
                <w:rFonts w:ascii="Times New Roman" w:hAnsi="Times New Roman"/>
                <w:sz w:val="20"/>
                <w:szCs w:val="20"/>
              </w:rPr>
            </w:pPr>
          </w:p>
        </w:tc>
        <w:tc>
          <w:tcPr>
            <w:tcW w:w="50" w:type="pct"/>
            <w:shd w:val="clear" w:color="auto" w:fill="auto"/>
            <w:vAlign w:val="center"/>
          </w:tcPr>
          <w:p w14:paraId="2A739E21" w14:textId="77777777" w:rsidR="00FA5565" w:rsidRDefault="00FA5565">
            <w:pPr>
              <w:rPr>
                <w:rFonts w:ascii="Times New Roman" w:hAnsi="Times New Roman"/>
                <w:sz w:val="20"/>
                <w:szCs w:val="20"/>
              </w:rPr>
            </w:pPr>
          </w:p>
        </w:tc>
        <w:tc>
          <w:tcPr>
            <w:tcW w:w="50" w:type="pct"/>
            <w:shd w:val="clear" w:color="auto" w:fill="auto"/>
            <w:vAlign w:val="center"/>
          </w:tcPr>
          <w:p w14:paraId="2A739E22" w14:textId="77777777" w:rsidR="00FA5565" w:rsidRDefault="00FA5565">
            <w:pPr>
              <w:rPr>
                <w:rFonts w:ascii="Times New Roman" w:hAnsi="Times New Roman"/>
                <w:sz w:val="20"/>
                <w:szCs w:val="20"/>
              </w:rPr>
            </w:pPr>
          </w:p>
        </w:tc>
        <w:tc>
          <w:tcPr>
            <w:tcW w:w="450" w:type="pct"/>
            <w:shd w:val="clear" w:color="auto" w:fill="auto"/>
            <w:vAlign w:val="center"/>
          </w:tcPr>
          <w:p w14:paraId="2A739E23" w14:textId="77777777" w:rsidR="00FA5565" w:rsidRDefault="00FA5565">
            <w:pPr>
              <w:rPr>
                <w:rFonts w:ascii="Times New Roman" w:hAnsi="Times New Roman"/>
                <w:sz w:val="20"/>
                <w:szCs w:val="20"/>
              </w:rPr>
            </w:pPr>
          </w:p>
        </w:tc>
        <w:tc>
          <w:tcPr>
            <w:tcW w:w="50" w:type="pct"/>
            <w:shd w:val="clear" w:color="auto" w:fill="auto"/>
            <w:vAlign w:val="center"/>
          </w:tcPr>
          <w:p w14:paraId="2A739E24" w14:textId="77777777" w:rsidR="00FA5565" w:rsidRDefault="00FA5565">
            <w:pPr>
              <w:rPr>
                <w:rFonts w:ascii="Times New Roman" w:hAnsi="Times New Roman"/>
                <w:sz w:val="20"/>
                <w:szCs w:val="20"/>
              </w:rPr>
            </w:pPr>
          </w:p>
        </w:tc>
        <w:tc>
          <w:tcPr>
            <w:tcW w:w="50" w:type="pct"/>
            <w:shd w:val="clear" w:color="auto" w:fill="auto"/>
            <w:vAlign w:val="center"/>
          </w:tcPr>
          <w:p w14:paraId="2A739E25" w14:textId="77777777" w:rsidR="00FA5565" w:rsidRDefault="00FA5565">
            <w:pPr>
              <w:rPr>
                <w:rFonts w:ascii="Times New Roman" w:hAnsi="Times New Roman"/>
                <w:sz w:val="20"/>
                <w:szCs w:val="20"/>
              </w:rPr>
            </w:pPr>
          </w:p>
        </w:tc>
        <w:tc>
          <w:tcPr>
            <w:tcW w:w="50" w:type="pct"/>
            <w:shd w:val="clear" w:color="auto" w:fill="auto"/>
            <w:vAlign w:val="center"/>
          </w:tcPr>
          <w:p w14:paraId="2A739E26" w14:textId="77777777" w:rsidR="00FA5565" w:rsidRDefault="00FA5565">
            <w:pPr>
              <w:rPr>
                <w:rFonts w:ascii="Times New Roman" w:hAnsi="Times New Roman"/>
                <w:sz w:val="20"/>
                <w:szCs w:val="20"/>
              </w:rPr>
            </w:pPr>
          </w:p>
        </w:tc>
        <w:tc>
          <w:tcPr>
            <w:tcW w:w="450" w:type="pct"/>
            <w:shd w:val="clear" w:color="auto" w:fill="auto"/>
            <w:vAlign w:val="center"/>
          </w:tcPr>
          <w:p w14:paraId="2A739E27" w14:textId="77777777" w:rsidR="00FA5565" w:rsidRDefault="00FA5565">
            <w:pPr>
              <w:rPr>
                <w:rFonts w:ascii="Times New Roman" w:hAnsi="Times New Roman"/>
                <w:sz w:val="20"/>
                <w:szCs w:val="20"/>
              </w:rPr>
            </w:pPr>
          </w:p>
        </w:tc>
        <w:tc>
          <w:tcPr>
            <w:tcW w:w="50" w:type="pct"/>
            <w:shd w:val="clear" w:color="auto" w:fill="auto"/>
            <w:vAlign w:val="center"/>
          </w:tcPr>
          <w:p w14:paraId="2A739E28" w14:textId="77777777" w:rsidR="00FA5565" w:rsidRDefault="00FA5565">
            <w:pPr>
              <w:rPr>
                <w:rFonts w:ascii="Times New Roman" w:hAnsi="Times New Roman"/>
                <w:sz w:val="20"/>
                <w:szCs w:val="20"/>
              </w:rPr>
            </w:pPr>
          </w:p>
        </w:tc>
      </w:tr>
      <w:tr w:rsidR="00FA5565" w14:paraId="2A739E34" w14:textId="77777777">
        <w:tc>
          <w:tcPr>
            <w:tcW w:w="0" w:type="auto"/>
            <w:shd w:val="clear" w:color="auto" w:fill="auto"/>
            <w:tcMar>
              <w:top w:w="40" w:type="dxa"/>
              <w:left w:w="40" w:type="dxa"/>
              <w:bottom w:w="40" w:type="dxa"/>
              <w:right w:w="40" w:type="dxa"/>
            </w:tcMar>
            <w:vAlign w:val="bottom"/>
          </w:tcPr>
          <w:p w14:paraId="2A739E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E2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9E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E2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9E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E2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c>
          <w:tcPr>
            <w:tcW w:w="0" w:type="auto"/>
            <w:shd w:val="clear" w:color="auto" w:fill="auto"/>
            <w:tcMar>
              <w:top w:w="40" w:type="dxa"/>
              <w:left w:w="40" w:type="dxa"/>
              <w:bottom w:w="40" w:type="dxa"/>
              <w:right w:w="40" w:type="dxa"/>
            </w:tcMar>
            <w:vAlign w:val="bottom"/>
          </w:tcPr>
          <w:p w14:paraId="2A739E3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E3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2016</w:t>
            </w:r>
          </w:p>
        </w:tc>
        <w:tc>
          <w:tcPr>
            <w:tcW w:w="0" w:type="auto"/>
            <w:shd w:val="clear" w:color="auto" w:fill="auto"/>
            <w:tcMar>
              <w:top w:w="40" w:type="dxa"/>
              <w:left w:w="40" w:type="dxa"/>
              <w:bottom w:w="40" w:type="dxa"/>
              <w:right w:w="40" w:type="dxa"/>
            </w:tcMar>
            <w:vAlign w:val="bottom"/>
          </w:tcPr>
          <w:p w14:paraId="2A739E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E3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2015</w:t>
            </w:r>
          </w:p>
        </w:tc>
      </w:tr>
      <w:tr w:rsidR="00FA5565" w14:paraId="2A739E49" w14:textId="77777777">
        <w:tc>
          <w:tcPr>
            <w:tcW w:w="0" w:type="auto"/>
            <w:shd w:val="clear" w:color="auto" w:fill="auto"/>
            <w:tcMar>
              <w:top w:w="40" w:type="dxa"/>
              <w:left w:w="40" w:type="dxa"/>
              <w:bottom w:w="40" w:type="dxa"/>
              <w:right w:w="40" w:type="dxa"/>
            </w:tcMar>
          </w:tcPr>
          <w:p w14:paraId="2A739E3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net sales</w:t>
            </w:r>
          </w:p>
        </w:tc>
        <w:tc>
          <w:tcPr>
            <w:tcW w:w="0" w:type="auto"/>
            <w:tcBorders>
              <w:top w:val="single" w:sz="8" w:space="0" w:color="000000"/>
            </w:tcBorders>
            <w:shd w:val="clear" w:color="auto" w:fill="auto"/>
            <w:tcMar>
              <w:top w:w="40" w:type="dxa"/>
              <w:left w:w="40" w:type="dxa"/>
              <w:bottom w:w="40" w:type="dxa"/>
            </w:tcMar>
            <w:vAlign w:val="bottom"/>
          </w:tcPr>
          <w:p w14:paraId="2A739E3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9E3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260,174</w:t>
            </w:r>
          </w:p>
        </w:tc>
        <w:tc>
          <w:tcPr>
            <w:tcW w:w="0" w:type="auto"/>
            <w:tcBorders>
              <w:top w:val="single" w:sz="8" w:space="0" w:color="000000"/>
            </w:tcBorders>
            <w:shd w:val="clear" w:color="auto" w:fill="auto"/>
            <w:vAlign w:val="bottom"/>
          </w:tcPr>
          <w:p w14:paraId="2A739E3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9E3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9E3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265,595</w:t>
            </w:r>
          </w:p>
        </w:tc>
        <w:tc>
          <w:tcPr>
            <w:tcW w:w="0" w:type="auto"/>
            <w:tcBorders>
              <w:top w:val="single" w:sz="8" w:space="0" w:color="000000"/>
            </w:tcBorders>
            <w:shd w:val="clear" w:color="auto" w:fill="auto"/>
            <w:vAlign w:val="bottom"/>
          </w:tcPr>
          <w:p w14:paraId="2A739E3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3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9E3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9E3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229,234</w:t>
            </w:r>
          </w:p>
        </w:tc>
        <w:tc>
          <w:tcPr>
            <w:tcW w:w="0" w:type="auto"/>
            <w:tcBorders>
              <w:top w:val="single" w:sz="8" w:space="0" w:color="000000"/>
            </w:tcBorders>
            <w:shd w:val="clear" w:color="auto" w:fill="auto"/>
            <w:vAlign w:val="bottom"/>
          </w:tcPr>
          <w:p w14:paraId="2A739E4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4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9E4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9E4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215,639</w:t>
            </w:r>
          </w:p>
        </w:tc>
        <w:tc>
          <w:tcPr>
            <w:tcW w:w="0" w:type="auto"/>
            <w:tcBorders>
              <w:top w:val="single" w:sz="8" w:space="0" w:color="000000"/>
            </w:tcBorders>
            <w:shd w:val="clear" w:color="auto" w:fill="auto"/>
            <w:vAlign w:val="bottom"/>
          </w:tcPr>
          <w:p w14:paraId="2A739E4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9E4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9E4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233,715</w:t>
            </w:r>
          </w:p>
        </w:tc>
        <w:tc>
          <w:tcPr>
            <w:tcW w:w="0" w:type="auto"/>
            <w:tcBorders>
              <w:top w:val="single" w:sz="8" w:space="0" w:color="000000"/>
            </w:tcBorders>
            <w:shd w:val="clear" w:color="auto" w:fill="auto"/>
            <w:vAlign w:val="bottom"/>
          </w:tcPr>
          <w:p w14:paraId="2A739E48" w14:textId="77777777" w:rsidR="00FA5565" w:rsidRDefault="00FA5565">
            <w:pPr>
              <w:textAlignment w:val="bottom"/>
              <w:rPr>
                <w:rFonts w:ascii="Times New Roman" w:hAnsi="Times New Roman"/>
                <w:sz w:val="20"/>
                <w:szCs w:val="20"/>
              </w:rPr>
            </w:pPr>
          </w:p>
        </w:tc>
      </w:tr>
      <w:tr w:rsidR="00FA5565" w14:paraId="2A739E5E" w14:textId="77777777">
        <w:tc>
          <w:tcPr>
            <w:tcW w:w="0" w:type="auto"/>
            <w:shd w:val="clear" w:color="auto" w:fill="EFEFEF"/>
            <w:tcMar>
              <w:top w:w="40" w:type="dxa"/>
              <w:left w:w="40" w:type="dxa"/>
              <w:bottom w:w="40" w:type="dxa"/>
              <w:right w:w="40" w:type="dxa"/>
            </w:tcMar>
          </w:tcPr>
          <w:p w14:paraId="2A739E4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income</w:t>
            </w:r>
          </w:p>
        </w:tc>
        <w:tc>
          <w:tcPr>
            <w:tcW w:w="0" w:type="auto"/>
            <w:shd w:val="clear" w:color="auto" w:fill="EFEFEF"/>
            <w:tcMar>
              <w:top w:w="40" w:type="dxa"/>
              <w:left w:w="40" w:type="dxa"/>
              <w:bottom w:w="40" w:type="dxa"/>
            </w:tcMar>
            <w:vAlign w:val="bottom"/>
          </w:tcPr>
          <w:p w14:paraId="2A739E4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4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55,256</w:t>
            </w:r>
          </w:p>
        </w:tc>
        <w:tc>
          <w:tcPr>
            <w:tcW w:w="0" w:type="auto"/>
            <w:shd w:val="clear" w:color="auto" w:fill="EFEFEF"/>
            <w:vAlign w:val="bottom"/>
          </w:tcPr>
          <w:p w14:paraId="2A739E4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4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5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59,531</w:t>
            </w:r>
          </w:p>
        </w:tc>
        <w:tc>
          <w:tcPr>
            <w:tcW w:w="0" w:type="auto"/>
            <w:shd w:val="clear" w:color="auto" w:fill="EFEFEF"/>
            <w:vAlign w:val="bottom"/>
          </w:tcPr>
          <w:p w14:paraId="2A739E5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5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5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48,351</w:t>
            </w:r>
          </w:p>
        </w:tc>
        <w:tc>
          <w:tcPr>
            <w:tcW w:w="0" w:type="auto"/>
            <w:shd w:val="clear" w:color="auto" w:fill="EFEFEF"/>
            <w:vAlign w:val="bottom"/>
          </w:tcPr>
          <w:p w14:paraId="2A739E5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5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5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45,687</w:t>
            </w:r>
          </w:p>
        </w:tc>
        <w:tc>
          <w:tcPr>
            <w:tcW w:w="0" w:type="auto"/>
            <w:shd w:val="clear" w:color="auto" w:fill="EFEFEF"/>
            <w:vAlign w:val="bottom"/>
          </w:tcPr>
          <w:p w14:paraId="2A739E5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5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5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5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53,394</w:t>
            </w:r>
          </w:p>
        </w:tc>
        <w:tc>
          <w:tcPr>
            <w:tcW w:w="0" w:type="auto"/>
            <w:shd w:val="clear" w:color="auto" w:fill="EFEFEF"/>
            <w:vAlign w:val="bottom"/>
          </w:tcPr>
          <w:p w14:paraId="2A739E5D" w14:textId="77777777" w:rsidR="00FA5565" w:rsidRDefault="00FA5565">
            <w:pPr>
              <w:textAlignment w:val="bottom"/>
              <w:rPr>
                <w:rFonts w:ascii="Times New Roman" w:hAnsi="Times New Roman"/>
                <w:sz w:val="20"/>
                <w:szCs w:val="20"/>
              </w:rPr>
            </w:pPr>
          </w:p>
        </w:tc>
      </w:tr>
      <w:tr w:rsidR="00FA5565" w14:paraId="2A739E69" w14:textId="77777777">
        <w:tc>
          <w:tcPr>
            <w:tcW w:w="0" w:type="auto"/>
            <w:shd w:val="clear" w:color="auto" w:fill="auto"/>
            <w:tcMar>
              <w:top w:w="40" w:type="dxa"/>
              <w:left w:w="40" w:type="dxa"/>
              <w:bottom w:w="40" w:type="dxa"/>
              <w:right w:w="40" w:type="dxa"/>
            </w:tcMar>
            <w:vAlign w:val="bottom"/>
          </w:tcPr>
          <w:p w14:paraId="2A739E5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6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6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6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6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6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6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E74" w14:textId="77777777">
        <w:tc>
          <w:tcPr>
            <w:tcW w:w="0" w:type="auto"/>
            <w:shd w:val="clear" w:color="auto" w:fill="EFEFEF"/>
            <w:tcMar>
              <w:top w:w="40" w:type="dxa"/>
              <w:left w:w="40" w:type="dxa"/>
              <w:bottom w:w="40" w:type="dxa"/>
              <w:right w:w="40" w:type="dxa"/>
            </w:tcMar>
          </w:tcPr>
          <w:p w14:paraId="2A739E6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Earnings per share:</w:t>
            </w:r>
          </w:p>
        </w:tc>
        <w:tc>
          <w:tcPr>
            <w:tcW w:w="0" w:type="auto"/>
            <w:gridSpan w:val="3"/>
            <w:shd w:val="clear" w:color="auto" w:fill="EFEFEF"/>
            <w:tcMar>
              <w:top w:w="40" w:type="dxa"/>
              <w:left w:w="40" w:type="dxa"/>
              <w:bottom w:w="40" w:type="dxa"/>
              <w:right w:w="40" w:type="dxa"/>
            </w:tcMar>
            <w:vAlign w:val="bottom"/>
          </w:tcPr>
          <w:p w14:paraId="2A739E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E6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E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E6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E6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E7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E7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E7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E7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E89" w14:textId="77777777">
        <w:tc>
          <w:tcPr>
            <w:tcW w:w="0" w:type="auto"/>
            <w:shd w:val="clear" w:color="auto" w:fill="auto"/>
            <w:tcMar>
              <w:top w:w="40" w:type="dxa"/>
              <w:left w:w="560" w:type="dxa"/>
              <w:bottom w:w="40" w:type="dxa"/>
              <w:right w:w="40" w:type="dxa"/>
            </w:tcMar>
          </w:tcPr>
          <w:p w14:paraId="2A739E7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Basic</w:t>
            </w:r>
          </w:p>
        </w:tc>
        <w:tc>
          <w:tcPr>
            <w:tcW w:w="0" w:type="auto"/>
            <w:shd w:val="clear" w:color="auto" w:fill="auto"/>
            <w:tcMar>
              <w:top w:w="40" w:type="dxa"/>
              <w:left w:w="40" w:type="dxa"/>
              <w:bottom w:w="40" w:type="dxa"/>
            </w:tcMar>
            <w:vAlign w:val="bottom"/>
          </w:tcPr>
          <w:p w14:paraId="2A739E7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E7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11.97</w:t>
            </w:r>
          </w:p>
        </w:tc>
        <w:tc>
          <w:tcPr>
            <w:tcW w:w="0" w:type="auto"/>
            <w:shd w:val="clear" w:color="auto" w:fill="auto"/>
            <w:vAlign w:val="bottom"/>
          </w:tcPr>
          <w:p w14:paraId="2A739E7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7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E7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E7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12.01</w:t>
            </w:r>
          </w:p>
        </w:tc>
        <w:tc>
          <w:tcPr>
            <w:tcW w:w="0" w:type="auto"/>
            <w:shd w:val="clear" w:color="auto" w:fill="auto"/>
            <w:vAlign w:val="bottom"/>
          </w:tcPr>
          <w:p w14:paraId="2A739E7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7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E7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E7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9.27</w:t>
            </w:r>
          </w:p>
        </w:tc>
        <w:tc>
          <w:tcPr>
            <w:tcW w:w="0" w:type="auto"/>
            <w:shd w:val="clear" w:color="auto" w:fill="auto"/>
            <w:vAlign w:val="bottom"/>
          </w:tcPr>
          <w:p w14:paraId="2A739E8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E8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E8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8.35</w:t>
            </w:r>
          </w:p>
        </w:tc>
        <w:tc>
          <w:tcPr>
            <w:tcW w:w="0" w:type="auto"/>
            <w:shd w:val="clear" w:color="auto" w:fill="auto"/>
            <w:vAlign w:val="bottom"/>
          </w:tcPr>
          <w:p w14:paraId="2A739E8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E8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E8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9.28</w:t>
            </w:r>
          </w:p>
        </w:tc>
        <w:tc>
          <w:tcPr>
            <w:tcW w:w="0" w:type="auto"/>
            <w:shd w:val="clear" w:color="auto" w:fill="auto"/>
            <w:vAlign w:val="bottom"/>
          </w:tcPr>
          <w:p w14:paraId="2A739E88" w14:textId="77777777" w:rsidR="00FA5565" w:rsidRDefault="00FA5565">
            <w:pPr>
              <w:textAlignment w:val="bottom"/>
              <w:rPr>
                <w:rFonts w:ascii="Times New Roman" w:hAnsi="Times New Roman"/>
                <w:sz w:val="20"/>
                <w:szCs w:val="20"/>
              </w:rPr>
            </w:pPr>
          </w:p>
        </w:tc>
      </w:tr>
      <w:tr w:rsidR="00FA5565" w14:paraId="2A739E9E" w14:textId="77777777">
        <w:tc>
          <w:tcPr>
            <w:tcW w:w="0" w:type="auto"/>
            <w:shd w:val="clear" w:color="auto" w:fill="EFEFEF"/>
            <w:tcMar>
              <w:top w:w="40" w:type="dxa"/>
              <w:left w:w="560" w:type="dxa"/>
              <w:bottom w:w="40" w:type="dxa"/>
              <w:right w:w="40" w:type="dxa"/>
            </w:tcMar>
          </w:tcPr>
          <w:p w14:paraId="2A739E8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Diluted</w:t>
            </w:r>
          </w:p>
        </w:tc>
        <w:tc>
          <w:tcPr>
            <w:tcW w:w="0" w:type="auto"/>
            <w:shd w:val="clear" w:color="auto" w:fill="EFEFEF"/>
            <w:tcMar>
              <w:top w:w="40" w:type="dxa"/>
              <w:left w:w="40" w:type="dxa"/>
              <w:bottom w:w="40" w:type="dxa"/>
            </w:tcMar>
            <w:vAlign w:val="bottom"/>
          </w:tcPr>
          <w:p w14:paraId="2A739E8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8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11.89</w:t>
            </w:r>
          </w:p>
        </w:tc>
        <w:tc>
          <w:tcPr>
            <w:tcW w:w="0" w:type="auto"/>
            <w:shd w:val="clear" w:color="auto" w:fill="EFEFEF"/>
            <w:vAlign w:val="bottom"/>
          </w:tcPr>
          <w:p w14:paraId="2A739E8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8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8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9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11.91</w:t>
            </w:r>
          </w:p>
        </w:tc>
        <w:tc>
          <w:tcPr>
            <w:tcW w:w="0" w:type="auto"/>
            <w:shd w:val="clear" w:color="auto" w:fill="EFEFEF"/>
            <w:vAlign w:val="bottom"/>
          </w:tcPr>
          <w:p w14:paraId="2A739E9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9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9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9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9.21</w:t>
            </w:r>
          </w:p>
        </w:tc>
        <w:tc>
          <w:tcPr>
            <w:tcW w:w="0" w:type="auto"/>
            <w:shd w:val="clear" w:color="auto" w:fill="EFEFEF"/>
            <w:vAlign w:val="bottom"/>
          </w:tcPr>
          <w:p w14:paraId="2A739E9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9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9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9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8.31</w:t>
            </w:r>
          </w:p>
        </w:tc>
        <w:tc>
          <w:tcPr>
            <w:tcW w:w="0" w:type="auto"/>
            <w:shd w:val="clear" w:color="auto" w:fill="EFEFEF"/>
            <w:vAlign w:val="bottom"/>
          </w:tcPr>
          <w:p w14:paraId="2A739E9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9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9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9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9.22</w:t>
            </w:r>
          </w:p>
        </w:tc>
        <w:tc>
          <w:tcPr>
            <w:tcW w:w="0" w:type="auto"/>
            <w:shd w:val="clear" w:color="auto" w:fill="EFEFEF"/>
            <w:vAlign w:val="bottom"/>
          </w:tcPr>
          <w:p w14:paraId="2A739E9D" w14:textId="77777777" w:rsidR="00FA5565" w:rsidRDefault="00FA5565">
            <w:pPr>
              <w:textAlignment w:val="bottom"/>
              <w:rPr>
                <w:rFonts w:ascii="Times New Roman" w:hAnsi="Times New Roman"/>
                <w:sz w:val="20"/>
                <w:szCs w:val="20"/>
              </w:rPr>
            </w:pPr>
          </w:p>
        </w:tc>
      </w:tr>
      <w:tr w:rsidR="00FA5565" w14:paraId="2A739EA9" w14:textId="77777777">
        <w:tc>
          <w:tcPr>
            <w:tcW w:w="0" w:type="auto"/>
            <w:shd w:val="clear" w:color="auto" w:fill="auto"/>
            <w:tcMar>
              <w:top w:w="40" w:type="dxa"/>
              <w:left w:w="40" w:type="dxa"/>
              <w:bottom w:w="40" w:type="dxa"/>
              <w:right w:w="40" w:type="dxa"/>
            </w:tcMar>
            <w:vAlign w:val="bottom"/>
          </w:tcPr>
          <w:p w14:paraId="2A739E9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A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A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A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A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A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A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A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A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EBE" w14:textId="77777777">
        <w:tc>
          <w:tcPr>
            <w:tcW w:w="0" w:type="auto"/>
            <w:shd w:val="clear" w:color="auto" w:fill="EFEFEF"/>
            <w:tcMar>
              <w:top w:w="40" w:type="dxa"/>
              <w:left w:w="40" w:type="dxa"/>
              <w:bottom w:w="40" w:type="dxa"/>
              <w:right w:w="40" w:type="dxa"/>
            </w:tcMar>
          </w:tcPr>
          <w:p w14:paraId="2A739EA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Cash dividends declared per share</w:t>
            </w:r>
          </w:p>
        </w:tc>
        <w:tc>
          <w:tcPr>
            <w:tcW w:w="0" w:type="auto"/>
            <w:shd w:val="clear" w:color="auto" w:fill="EFEFEF"/>
            <w:tcMar>
              <w:top w:w="40" w:type="dxa"/>
              <w:left w:w="40" w:type="dxa"/>
              <w:bottom w:w="40" w:type="dxa"/>
            </w:tcMar>
            <w:vAlign w:val="bottom"/>
          </w:tcPr>
          <w:p w14:paraId="2A739EA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A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3.00</w:t>
            </w:r>
          </w:p>
        </w:tc>
        <w:tc>
          <w:tcPr>
            <w:tcW w:w="0" w:type="auto"/>
            <w:shd w:val="clear" w:color="auto" w:fill="EFEFEF"/>
            <w:vAlign w:val="bottom"/>
          </w:tcPr>
          <w:p w14:paraId="2A739EA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A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A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B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2.72</w:t>
            </w:r>
          </w:p>
        </w:tc>
        <w:tc>
          <w:tcPr>
            <w:tcW w:w="0" w:type="auto"/>
            <w:shd w:val="clear" w:color="auto" w:fill="EFEFEF"/>
            <w:vAlign w:val="bottom"/>
          </w:tcPr>
          <w:p w14:paraId="2A739EB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B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B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B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2.40</w:t>
            </w:r>
          </w:p>
        </w:tc>
        <w:tc>
          <w:tcPr>
            <w:tcW w:w="0" w:type="auto"/>
            <w:shd w:val="clear" w:color="auto" w:fill="EFEFEF"/>
            <w:vAlign w:val="bottom"/>
          </w:tcPr>
          <w:p w14:paraId="2A739EB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B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B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2.18</w:t>
            </w:r>
          </w:p>
        </w:tc>
        <w:tc>
          <w:tcPr>
            <w:tcW w:w="0" w:type="auto"/>
            <w:shd w:val="clear" w:color="auto" w:fill="EFEFEF"/>
            <w:vAlign w:val="bottom"/>
          </w:tcPr>
          <w:p w14:paraId="2A739EB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B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EB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EB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1.98</w:t>
            </w:r>
          </w:p>
        </w:tc>
        <w:tc>
          <w:tcPr>
            <w:tcW w:w="0" w:type="auto"/>
            <w:shd w:val="clear" w:color="auto" w:fill="EFEFEF"/>
            <w:vAlign w:val="bottom"/>
          </w:tcPr>
          <w:p w14:paraId="2A739EBD" w14:textId="77777777" w:rsidR="00FA5565" w:rsidRDefault="00FA5565">
            <w:pPr>
              <w:textAlignment w:val="bottom"/>
              <w:rPr>
                <w:rFonts w:ascii="Times New Roman" w:hAnsi="Times New Roman"/>
                <w:sz w:val="20"/>
                <w:szCs w:val="20"/>
              </w:rPr>
            </w:pPr>
          </w:p>
        </w:tc>
      </w:tr>
      <w:tr w:rsidR="00FA5565" w14:paraId="2A739EC9" w14:textId="77777777">
        <w:tc>
          <w:tcPr>
            <w:tcW w:w="0" w:type="auto"/>
            <w:shd w:val="clear" w:color="auto" w:fill="auto"/>
            <w:tcMar>
              <w:top w:w="40" w:type="dxa"/>
              <w:left w:w="40" w:type="dxa"/>
              <w:bottom w:w="40" w:type="dxa"/>
              <w:right w:w="40" w:type="dxa"/>
            </w:tcMar>
            <w:vAlign w:val="bottom"/>
          </w:tcPr>
          <w:p w14:paraId="2A739EB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C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C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C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C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C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ED4" w14:textId="77777777">
        <w:tc>
          <w:tcPr>
            <w:tcW w:w="0" w:type="auto"/>
            <w:shd w:val="clear" w:color="auto" w:fill="EFEFEF"/>
            <w:tcMar>
              <w:top w:w="40" w:type="dxa"/>
              <w:left w:w="40" w:type="dxa"/>
              <w:bottom w:w="40" w:type="dxa"/>
              <w:right w:w="40" w:type="dxa"/>
            </w:tcMar>
          </w:tcPr>
          <w:p w14:paraId="2A739EC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Shares used in computing earnings per share:</w:t>
            </w:r>
          </w:p>
        </w:tc>
        <w:tc>
          <w:tcPr>
            <w:tcW w:w="0" w:type="auto"/>
            <w:gridSpan w:val="3"/>
            <w:shd w:val="clear" w:color="auto" w:fill="EFEFEF"/>
            <w:tcMar>
              <w:top w:w="40" w:type="dxa"/>
              <w:left w:w="40" w:type="dxa"/>
              <w:bottom w:w="40" w:type="dxa"/>
              <w:right w:w="40" w:type="dxa"/>
            </w:tcMar>
            <w:vAlign w:val="bottom"/>
          </w:tcPr>
          <w:p w14:paraId="2A739E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EC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EC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EC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E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ED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E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9ED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9ED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EE4" w14:textId="77777777">
        <w:tc>
          <w:tcPr>
            <w:tcW w:w="0" w:type="auto"/>
            <w:shd w:val="clear" w:color="auto" w:fill="auto"/>
            <w:tcMar>
              <w:top w:w="40" w:type="dxa"/>
              <w:left w:w="560" w:type="dxa"/>
              <w:bottom w:w="40" w:type="dxa"/>
              <w:right w:w="40" w:type="dxa"/>
            </w:tcMar>
          </w:tcPr>
          <w:p w14:paraId="2A739ED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Basic</w:t>
            </w:r>
          </w:p>
        </w:tc>
        <w:tc>
          <w:tcPr>
            <w:tcW w:w="0" w:type="auto"/>
            <w:gridSpan w:val="2"/>
            <w:shd w:val="clear" w:color="auto" w:fill="auto"/>
            <w:tcMar>
              <w:top w:w="40" w:type="dxa"/>
              <w:left w:w="40" w:type="dxa"/>
              <w:bottom w:w="40" w:type="dxa"/>
            </w:tcMar>
            <w:vAlign w:val="bottom"/>
          </w:tcPr>
          <w:p w14:paraId="2A739ED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4,617,834</w:t>
            </w:r>
          </w:p>
        </w:tc>
        <w:tc>
          <w:tcPr>
            <w:tcW w:w="0" w:type="auto"/>
            <w:shd w:val="clear" w:color="auto" w:fill="auto"/>
            <w:vAlign w:val="bottom"/>
          </w:tcPr>
          <w:p w14:paraId="2A739ED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D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9ED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4,955,377</w:t>
            </w:r>
          </w:p>
        </w:tc>
        <w:tc>
          <w:tcPr>
            <w:tcW w:w="0" w:type="auto"/>
            <w:shd w:val="clear" w:color="auto" w:fill="auto"/>
            <w:vAlign w:val="bottom"/>
          </w:tcPr>
          <w:p w14:paraId="2A739ED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9ED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5,217,242</w:t>
            </w:r>
          </w:p>
        </w:tc>
        <w:tc>
          <w:tcPr>
            <w:tcW w:w="0" w:type="auto"/>
            <w:shd w:val="clear" w:color="auto" w:fill="auto"/>
            <w:vAlign w:val="bottom"/>
          </w:tcPr>
          <w:p w14:paraId="2A739ED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D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9ED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5,470,820</w:t>
            </w:r>
          </w:p>
        </w:tc>
        <w:tc>
          <w:tcPr>
            <w:tcW w:w="0" w:type="auto"/>
            <w:shd w:val="clear" w:color="auto" w:fill="auto"/>
            <w:vAlign w:val="bottom"/>
          </w:tcPr>
          <w:p w14:paraId="2A739EE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E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9EE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5,753,421</w:t>
            </w:r>
          </w:p>
        </w:tc>
        <w:tc>
          <w:tcPr>
            <w:tcW w:w="0" w:type="auto"/>
            <w:shd w:val="clear" w:color="auto" w:fill="auto"/>
            <w:vAlign w:val="bottom"/>
          </w:tcPr>
          <w:p w14:paraId="2A739EE3" w14:textId="77777777" w:rsidR="00FA5565" w:rsidRDefault="00FA5565">
            <w:pPr>
              <w:textAlignment w:val="bottom"/>
              <w:rPr>
                <w:rFonts w:ascii="Times New Roman" w:hAnsi="Times New Roman"/>
                <w:sz w:val="20"/>
                <w:szCs w:val="20"/>
              </w:rPr>
            </w:pPr>
          </w:p>
        </w:tc>
      </w:tr>
      <w:tr w:rsidR="00FA5565" w14:paraId="2A739EF4" w14:textId="77777777">
        <w:tc>
          <w:tcPr>
            <w:tcW w:w="0" w:type="auto"/>
            <w:shd w:val="clear" w:color="auto" w:fill="EFEFEF"/>
            <w:tcMar>
              <w:top w:w="40" w:type="dxa"/>
              <w:left w:w="560" w:type="dxa"/>
              <w:bottom w:w="40" w:type="dxa"/>
              <w:right w:w="40" w:type="dxa"/>
            </w:tcMar>
          </w:tcPr>
          <w:p w14:paraId="2A739EE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Diluted</w:t>
            </w:r>
          </w:p>
        </w:tc>
        <w:tc>
          <w:tcPr>
            <w:tcW w:w="0" w:type="auto"/>
            <w:gridSpan w:val="2"/>
            <w:shd w:val="clear" w:color="auto" w:fill="EFEFEF"/>
            <w:tcMar>
              <w:top w:w="40" w:type="dxa"/>
              <w:left w:w="40" w:type="dxa"/>
              <w:bottom w:w="40" w:type="dxa"/>
            </w:tcMar>
            <w:vAlign w:val="bottom"/>
          </w:tcPr>
          <w:p w14:paraId="2A739EE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4,648,913</w:t>
            </w:r>
          </w:p>
        </w:tc>
        <w:tc>
          <w:tcPr>
            <w:tcW w:w="0" w:type="auto"/>
            <w:shd w:val="clear" w:color="auto" w:fill="EFEFEF"/>
            <w:vAlign w:val="bottom"/>
          </w:tcPr>
          <w:p w14:paraId="2A739EE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E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9EE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5,000,109</w:t>
            </w:r>
          </w:p>
        </w:tc>
        <w:tc>
          <w:tcPr>
            <w:tcW w:w="0" w:type="auto"/>
            <w:shd w:val="clear" w:color="auto" w:fill="EFEFEF"/>
            <w:vAlign w:val="bottom"/>
          </w:tcPr>
          <w:p w14:paraId="2A739EE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E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9EE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5,251,692</w:t>
            </w:r>
          </w:p>
        </w:tc>
        <w:tc>
          <w:tcPr>
            <w:tcW w:w="0" w:type="auto"/>
            <w:shd w:val="clear" w:color="auto" w:fill="EFEFEF"/>
            <w:vAlign w:val="bottom"/>
          </w:tcPr>
          <w:p w14:paraId="2A739EE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E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9EE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5,500,281</w:t>
            </w:r>
          </w:p>
        </w:tc>
        <w:tc>
          <w:tcPr>
            <w:tcW w:w="0" w:type="auto"/>
            <w:shd w:val="clear" w:color="auto" w:fill="EFEFEF"/>
            <w:vAlign w:val="bottom"/>
          </w:tcPr>
          <w:p w14:paraId="2A739EF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E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9EF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5,793,069</w:t>
            </w:r>
          </w:p>
        </w:tc>
        <w:tc>
          <w:tcPr>
            <w:tcW w:w="0" w:type="auto"/>
            <w:shd w:val="clear" w:color="auto" w:fill="EFEFEF"/>
            <w:vAlign w:val="bottom"/>
          </w:tcPr>
          <w:p w14:paraId="2A739EF3" w14:textId="77777777" w:rsidR="00FA5565" w:rsidRDefault="00FA5565">
            <w:pPr>
              <w:textAlignment w:val="bottom"/>
              <w:rPr>
                <w:rFonts w:ascii="Times New Roman" w:hAnsi="Times New Roman"/>
                <w:sz w:val="20"/>
                <w:szCs w:val="20"/>
              </w:rPr>
            </w:pPr>
          </w:p>
        </w:tc>
      </w:tr>
      <w:tr w:rsidR="00FA5565" w14:paraId="2A739EFF" w14:textId="77777777">
        <w:tc>
          <w:tcPr>
            <w:tcW w:w="0" w:type="auto"/>
            <w:shd w:val="clear" w:color="auto" w:fill="auto"/>
            <w:tcMar>
              <w:top w:w="40" w:type="dxa"/>
              <w:left w:w="40" w:type="dxa"/>
              <w:bottom w:w="40" w:type="dxa"/>
              <w:right w:w="40" w:type="dxa"/>
            </w:tcMar>
            <w:vAlign w:val="bottom"/>
          </w:tcPr>
          <w:p w14:paraId="2A739EF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F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F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F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F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F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F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E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EF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F14" w14:textId="77777777">
        <w:tc>
          <w:tcPr>
            <w:tcW w:w="0" w:type="auto"/>
            <w:shd w:val="clear" w:color="auto" w:fill="EFEFEF"/>
            <w:tcMar>
              <w:top w:w="40" w:type="dxa"/>
              <w:left w:w="40" w:type="dxa"/>
              <w:bottom w:w="40" w:type="dxa"/>
              <w:right w:w="40" w:type="dxa"/>
            </w:tcMar>
          </w:tcPr>
          <w:p w14:paraId="2A739F0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cash, cash equivalents and marketable securities</w:t>
            </w:r>
          </w:p>
        </w:tc>
        <w:tc>
          <w:tcPr>
            <w:tcW w:w="0" w:type="auto"/>
            <w:shd w:val="clear" w:color="auto" w:fill="EFEFEF"/>
            <w:tcMar>
              <w:top w:w="40" w:type="dxa"/>
              <w:left w:w="40" w:type="dxa"/>
              <w:bottom w:w="40" w:type="dxa"/>
            </w:tcMar>
            <w:vAlign w:val="bottom"/>
          </w:tcPr>
          <w:p w14:paraId="2A739F0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0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205,898</w:t>
            </w:r>
          </w:p>
        </w:tc>
        <w:tc>
          <w:tcPr>
            <w:tcW w:w="0" w:type="auto"/>
            <w:shd w:val="clear" w:color="auto" w:fill="EFEFEF"/>
            <w:vAlign w:val="bottom"/>
          </w:tcPr>
          <w:p w14:paraId="2A739F0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0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0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0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237,100</w:t>
            </w:r>
          </w:p>
        </w:tc>
        <w:tc>
          <w:tcPr>
            <w:tcW w:w="0" w:type="auto"/>
            <w:shd w:val="clear" w:color="auto" w:fill="EFEFEF"/>
            <w:vAlign w:val="bottom"/>
          </w:tcPr>
          <w:p w14:paraId="2A739F0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0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0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268,895</w:t>
            </w:r>
          </w:p>
        </w:tc>
        <w:tc>
          <w:tcPr>
            <w:tcW w:w="0" w:type="auto"/>
            <w:shd w:val="clear" w:color="auto" w:fill="EFEFEF"/>
            <w:vAlign w:val="bottom"/>
          </w:tcPr>
          <w:p w14:paraId="2A739F0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0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0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237,585</w:t>
            </w:r>
          </w:p>
        </w:tc>
        <w:tc>
          <w:tcPr>
            <w:tcW w:w="0" w:type="auto"/>
            <w:shd w:val="clear" w:color="auto" w:fill="EFEFEF"/>
            <w:vAlign w:val="bottom"/>
          </w:tcPr>
          <w:p w14:paraId="2A739F0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1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1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205,666</w:t>
            </w:r>
          </w:p>
        </w:tc>
        <w:tc>
          <w:tcPr>
            <w:tcW w:w="0" w:type="auto"/>
            <w:shd w:val="clear" w:color="auto" w:fill="EFEFEF"/>
            <w:vAlign w:val="bottom"/>
          </w:tcPr>
          <w:p w14:paraId="2A739F13" w14:textId="77777777" w:rsidR="00FA5565" w:rsidRDefault="00FA5565">
            <w:pPr>
              <w:textAlignment w:val="bottom"/>
              <w:rPr>
                <w:rFonts w:ascii="Times New Roman" w:hAnsi="Times New Roman"/>
                <w:sz w:val="20"/>
                <w:szCs w:val="20"/>
              </w:rPr>
            </w:pPr>
          </w:p>
        </w:tc>
      </w:tr>
      <w:tr w:rsidR="00FA5565" w14:paraId="2A739F29" w14:textId="77777777">
        <w:tc>
          <w:tcPr>
            <w:tcW w:w="0" w:type="auto"/>
            <w:shd w:val="clear" w:color="auto" w:fill="auto"/>
            <w:tcMar>
              <w:top w:w="40" w:type="dxa"/>
              <w:left w:w="40" w:type="dxa"/>
              <w:bottom w:w="40" w:type="dxa"/>
              <w:right w:w="40" w:type="dxa"/>
            </w:tcMar>
          </w:tcPr>
          <w:p w14:paraId="2A739F1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assets</w:t>
            </w:r>
          </w:p>
        </w:tc>
        <w:tc>
          <w:tcPr>
            <w:tcW w:w="0" w:type="auto"/>
            <w:shd w:val="clear" w:color="auto" w:fill="auto"/>
            <w:tcMar>
              <w:top w:w="40" w:type="dxa"/>
              <w:left w:w="40" w:type="dxa"/>
              <w:bottom w:w="40" w:type="dxa"/>
            </w:tcMar>
            <w:vAlign w:val="bottom"/>
          </w:tcPr>
          <w:p w14:paraId="2A739F1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F1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338,516</w:t>
            </w:r>
          </w:p>
        </w:tc>
        <w:tc>
          <w:tcPr>
            <w:tcW w:w="0" w:type="auto"/>
            <w:shd w:val="clear" w:color="auto" w:fill="auto"/>
            <w:vAlign w:val="bottom"/>
          </w:tcPr>
          <w:p w14:paraId="2A739F1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1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F1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365,725</w:t>
            </w:r>
          </w:p>
        </w:tc>
        <w:tc>
          <w:tcPr>
            <w:tcW w:w="0" w:type="auto"/>
            <w:shd w:val="clear" w:color="auto" w:fill="auto"/>
            <w:vAlign w:val="bottom"/>
          </w:tcPr>
          <w:p w14:paraId="2A739F1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1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1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F1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375,319</w:t>
            </w:r>
          </w:p>
        </w:tc>
        <w:tc>
          <w:tcPr>
            <w:tcW w:w="0" w:type="auto"/>
            <w:shd w:val="clear" w:color="auto" w:fill="auto"/>
            <w:vAlign w:val="bottom"/>
          </w:tcPr>
          <w:p w14:paraId="2A739F2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2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F2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321,686</w:t>
            </w:r>
          </w:p>
        </w:tc>
        <w:tc>
          <w:tcPr>
            <w:tcW w:w="0" w:type="auto"/>
            <w:shd w:val="clear" w:color="auto" w:fill="auto"/>
            <w:vAlign w:val="bottom"/>
          </w:tcPr>
          <w:p w14:paraId="2A739F2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2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2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F2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290,345</w:t>
            </w:r>
          </w:p>
        </w:tc>
        <w:tc>
          <w:tcPr>
            <w:tcW w:w="0" w:type="auto"/>
            <w:shd w:val="clear" w:color="auto" w:fill="auto"/>
            <w:vAlign w:val="bottom"/>
          </w:tcPr>
          <w:p w14:paraId="2A739F28" w14:textId="77777777" w:rsidR="00FA5565" w:rsidRDefault="00FA5565">
            <w:pPr>
              <w:textAlignment w:val="bottom"/>
              <w:rPr>
                <w:rFonts w:ascii="Times New Roman" w:hAnsi="Times New Roman"/>
                <w:sz w:val="20"/>
                <w:szCs w:val="20"/>
              </w:rPr>
            </w:pPr>
          </w:p>
        </w:tc>
      </w:tr>
      <w:tr w:rsidR="00FA5565" w14:paraId="2A739F3E" w14:textId="77777777">
        <w:tc>
          <w:tcPr>
            <w:tcW w:w="0" w:type="auto"/>
            <w:shd w:val="clear" w:color="auto" w:fill="EFEFEF"/>
            <w:tcMar>
              <w:top w:w="40" w:type="dxa"/>
              <w:left w:w="40" w:type="dxa"/>
              <w:bottom w:w="40" w:type="dxa"/>
              <w:right w:w="40" w:type="dxa"/>
            </w:tcMar>
            <w:vAlign w:val="bottom"/>
          </w:tcPr>
          <w:p w14:paraId="2A739F2A"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Non-current portion of term debt</w:t>
            </w:r>
          </w:p>
        </w:tc>
        <w:tc>
          <w:tcPr>
            <w:tcW w:w="0" w:type="auto"/>
            <w:shd w:val="clear" w:color="auto" w:fill="EFEFEF"/>
            <w:tcMar>
              <w:top w:w="40" w:type="dxa"/>
              <w:left w:w="40" w:type="dxa"/>
              <w:bottom w:w="40" w:type="dxa"/>
            </w:tcMar>
            <w:vAlign w:val="bottom"/>
          </w:tcPr>
          <w:p w14:paraId="2A739F2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2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91,807</w:t>
            </w:r>
          </w:p>
        </w:tc>
        <w:tc>
          <w:tcPr>
            <w:tcW w:w="0" w:type="auto"/>
            <w:shd w:val="clear" w:color="auto" w:fill="EFEFEF"/>
            <w:vAlign w:val="bottom"/>
          </w:tcPr>
          <w:p w14:paraId="2A739F2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2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3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93,735</w:t>
            </w:r>
          </w:p>
        </w:tc>
        <w:tc>
          <w:tcPr>
            <w:tcW w:w="0" w:type="auto"/>
            <w:shd w:val="clear" w:color="auto" w:fill="EFEFEF"/>
            <w:vAlign w:val="bottom"/>
          </w:tcPr>
          <w:p w14:paraId="2A739F3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3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3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97,207</w:t>
            </w:r>
          </w:p>
        </w:tc>
        <w:tc>
          <w:tcPr>
            <w:tcW w:w="0" w:type="auto"/>
            <w:shd w:val="clear" w:color="auto" w:fill="EFEFEF"/>
            <w:vAlign w:val="bottom"/>
          </w:tcPr>
          <w:p w14:paraId="2A739F3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3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3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3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75,427</w:t>
            </w:r>
          </w:p>
        </w:tc>
        <w:tc>
          <w:tcPr>
            <w:tcW w:w="0" w:type="auto"/>
            <w:shd w:val="clear" w:color="auto" w:fill="EFEFEF"/>
            <w:vAlign w:val="bottom"/>
          </w:tcPr>
          <w:p w14:paraId="2A739F3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3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3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53,329</w:t>
            </w:r>
          </w:p>
        </w:tc>
        <w:tc>
          <w:tcPr>
            <w:tcW w:w="0" w:type="auto"/>
            <w:shd w:val="clear" w:color="auto" w:fill="EFEFEF"/>
            <w:vAlign w:val="bottom"/>
          </w:tcPr>
          <w:p w14:paraId="2A739F3D" w14:textId="77777777" w:rsidR="00FA5565" w:rsidRDefault="00FA5565">
            <w:pPr>
              <w:textAlignment w:val="bottom"/>
              <w:rPr>
                <w:rFonts w:ascii="Times New Roman" w:hAnsi="Times New Roman"/>
                <w:sz w:val="20"/>
                <w:szCs w:val="20"/>
              </w:rPr>
            </w:pPr>
          </w:p>
        </w:tc>
      </w:tr>
      <w:tr w:rsidR="00FA5565" w14:paraId="2A739F53" w14:textId="77777777">
        <w:tc>
          <w:tcPr>
            <w:tcW w:w="0" w:type="auto"/>
            <w:shd w:val="clear" w:color="auto" w:fill="auto"/>
            <w:tcMar>
              <w:top w:w="40" w:type="dxa"/>
              <w:left w:w="40" w:type="dxa"/>
              <w:bottom w:w="40" w:type="dxa"/>
              <w:right w:w="40" w:type="dxa"/>
            </w:tcMar>
          </w:tcPr>
          <w:p w14:paraId="2A739F3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non-current liabilities</w:t>
            </w:r>
          </w:p>
        </w:tc>
        <w:tc>
          <w:tcPr>
            <w:tcW w:w="0" w:type="auto"/>
            <w:shd w:val="clear" w:color="auto" w:fill="auto"/>
            <w:tcMar>
              <w:top w:w="40" w:type="dxa"/>
              <w:left w:w="40" w:type="dxa"/>
              <w:bottom w:w="40" w:type="dxa"/>
            </w:tcMar>
            <w:vAlign w:val="bottom"/>
          </w:tcPr>
          <w:p w14:paraId="2A739F4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F4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50,503</w:t>
            </w:r>
          </w:p>
        </w:tc>
        <w:tc>
          <w:tcPr>
            <w:tcW w:w="0" w:type="auto"/>
            <w:shd w:val="clear" w:color="auto" w:fill="auto"/>
            <w:vAlign w:val="bottom"/>
          </w:tcPr>
          <w:p w14:paraId="2A739F4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4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F4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48,914</w:t>
            </w:r>
          </w:p>
        </w:tc>
        <w:tc>
          <w:tcPr>
            <w:tcW w:w="0" w:type="auto"/>
            <w:shd w:val="clear" w:color="auto" w:fill="auto"/>
            <w:vAlign w:val="bottom"/>
          </w:tcPr>
          <w:p w14:paraId="2A739F4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4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4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F4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44,212</w:t>
            </w:r>
          </w:p>
        </w:tc>
        <w:tc>
          <w:tcPr>
            <w:tcW w:w="0" w:type="auto"/>
            <w:shd w:val="clear" w:color="auto" w:fill="auto"/>
            <w:vAlign w:val="bottom"/>
          </w:tcPr>
          <w:p w14:paraId="2A739F4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4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F4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39,986</w:t>
            </w:r>
          </w:p>
        </w:tc>
        <w:tc>
          <w:tcPr>
            <w:tcW w:w="0" w:type="auto"/>
            <w:shd w:val="clear" w:color="auto" w:fill="auto"/>
            <w:vAlign w:val="bottom"/>
          </w:tcPr>
          <w:p w14:paraId="2A739F4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4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5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9F5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38,104</w:t>
            </w:r>
          </w:p>
        </w:tc>
        <w:tc>
          <w:tcPr>
            <w:tcW w:w="0" w:type="auto"/>
            <w:shd w:val="clear" w:color="auto" w:fill="auto"/>
            <w:vAlign w:val="bottom"/>
          </w:tcPr>
          <w:p w14:paraId="2A739F52" w14:textId="77777777" w:rsidR="00FA5565" w:rsidRDefault="00FA5565">
            <w:pPr>
              <w:textAlignment w:val="bottom"/>
              <w:rPr>
                <w:rFonts w:ascii="Times New Roman" w:hAnsi="Times New Roman"/>
                <w:sz w:val="20"/>
                <w:szCs w:val="20"/>
              </w:rPr>
            </w:pPr>
          </w:p>
        </w:tc>
      </w:tr>
    </w:tbl>
    <w:p w14:paraId="2A739F54" w14:textId="77777777" w:rsidR="00FA5565" w:rsidRDefault="00FA5565">
      <w:pPr>
        <w:rPr>
          <w:rFonts w:ascii="Times New Roman" w:hAnsi="Times New Roman"/>
          <w:sz w:val="20"/>
          <w:szCs w:val="20"/>
        </w:rPr>
      </w:pPr>
    </w:p>
    <w:p w14:paraId="2A739F55"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17</w:t>
      </w:r>
    </w:p>
    <w:p w14:paraId="2A739F56" w14:textId="77777777" w:rsidR="00FA5565" w:rsidRDefault="00D804D1">
      <w:r>
        <w:rPr>
          <w:rFonts w:ascii="Times New Roman" w:hAnsi="Times New Roman"/>
          <w:sz w:val="16"/>
          <w:szCs w:val="16"/>
        </w:rPr>
        <w:pict w14:anchorId="2A73C0AD">
          <v:rect id="_x0000_i1043" style="width:415.3pt;height:1.5pt" o:hralign="center" o:hrstd="t" o:hr="t" fillcolor="#a0a0a0" stroked="f"/>
        </w:pict>
      </w:r>
    </w:p>
    <w:p w14:paraId="2A739F57" w14:textId="77777777" w:rsidR="00FA5565" w:rsidRDefault="00FA556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FA5565" w14:paraId="2A739F5A" w14:textId="77777777">
        <w:trPr>
          <w:tblCellSpacing w:w="0" w:type="dxa"/>
        </w:trPr>
        <w:tc>
          <w:tcPr>
            <w:tcW w:w="1200" w:type="dxa"/>
            <w:shd w:val="clear" w:color="auto" w:fill="auto"/>
            <w:vAlign w:val="center"/>
          </w:tcPr>
          <w:p w14:paraId="2A739F58" w14:textId="77777777" w:rsidR="00FA5565" w:rsidRDefault="00FA5565">
            <w:pPr>
              <w:rPr>
                <w:rFonts w:ascii="Times New Roman" w:hAnsi="Times New Roman"/>
                <w:sz w:val="20"/>
                <w:szCs w:val="20"/>
              </w:rPr>
            </w:pPr>
          </w:p>
        </w:tc>
        <w:tc>
          <w:tcPr>
            <w:tcW w:w="0" w:type="auto"/>
            <w:shd w:val="clear" w:color="auto" w:fill="auto"/>
            <w:vAlign w:val="center"/>
          </w:tcPr>
          <w:p w14:paraId="2A739F59" w14:textId="77777777" w:rsidR="00FA5565" w:rsidRDefault="00FA5565">
            <w:pPr>
              <w:rPr>
                <w:rFonts w:ascii="Times New Roman" w:hAnsi="Times New Roman"/>
                <w:sz w:val="20"/>
                <w:szCs w:val="20"/>
              </w:rPr>
            </w:pPr>
          </w:p>
        </w:tc>
      </w:tr>
      <w:tr w:rsidR="00FA5565" w14:paraId="2A739F5D" w14:textId="77777777">
        <w:trPr>
          <w:tblCellSpacing w:w="0" w:type="dxa"/>
        </w:trPr>
        <w:tc>
          <w:tcPr>
            <w:tcW w:w="0" w:type="auto"/>
            <w:shd w:val="clear" w:color="auto" w:fill="auto"/>
          </w:tcPr>
          <w:p w14:paraId="2A739F5B"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7.</w:t>
            </w:r>
          </w:p>
        </w:tc>
        <w:tc>
          <w:tcPr>
            <w:tcW w:w="0" w:type="auto"/>
            <w:shd w:val="clear" w:color="auto" w:fill="auto"/>
          </w:tcPr>
          <w:p w14:paraId="2A739F5C"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Management’s Discussion and Analysis of Financial Condition and Results of Operations</w:t>
            </w:r>
          </w:p>
        </w:tc>
      </w:tr>
    </w:tbl>
    <w:p w14:paraId="2A739F5E"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 xml:space="preserve">This section and other parts of this Annual Report on Form 10-K (“Form 10-K”) contain forward-looking </w:t>
      </w:r>
      <w:r>
        <w:rPr>
          <w:rFonts w:ascii="Helvetica" w:eastAsia="Helvetica" w:hAnsi="Helvetica" w:cs="Helvetica"/>
          <w:i/>
          <w:iCs/>
          <w:sz w:val="18"/>
          <w:szCs w:val="18"/>
        </w:rPr>
        <w:t>statements, within the meaning of the Private Securities Litigation Reform Act of 1995, that involve risks and uncertainties. Forward-looking statements provide current expectations of future events based on certain assumptions and include any statement th</w:t>
      </w:r>
      <w:r>
        <w:rPr>
          <w:rFonts w:ascii="Helvetica" w:eastAsia="Helvetica" w:hAnsi="Helvetica" w:cs="Helvetica"/>
          <w:i/>
          <w:iCs/>
          <w:sz w:val="18"/>
          <w:szCs w:val="18"/>
        </w:rPr>
        <w:t xml:space="preserve">at does not directly relate to any historical or current fact. Forward-looking statements can also be identified by words such as “future,” “anticipates,” “believes,” “estimates,” “expects,” “intends,” “plans,” “predicts,” “will,” “would,” “could,” “can,” </w:t>
      </w:r>
      <w:r>
        <w:rPr>
          <w:rFonts w:ascii="Helvetica" w:eastAsia="Helvetica" w:hAnsi="Helvetica" w:cs="Helvetica"/>
          <w:i/>
          <w:iCs/>
          <w:sz w:val="18"/>
          <w:szCs w:val="18"/>
        </w:rPr>
        <w:t xml:space="preserve">“may,” and similar terms. Forward-looking statements are not guarantees of future performance and the Company’s actual results may differ significantly from the results discussed in the forward-looking statements. Factors that might cause such differences </w:t>
      </w:r>
      <w:r>
        <w:rPr>
          <w:rFonts w:ascii="Helvetica" w:eastAsia="Helvetica" w:hAnsi="Helvetica" w:cs="Helvetica"/>
          <w:i/>
          <w:iCs/>
          <w:sz w:val="18"/>
          <w:szCs w:val="18"/>
        </w:rPr>
        <w:t>include, but are not limited to, those discussed in Part I, Item 1A of this Form 10-K under the heading “Risk Factors,” which are incorporated herein by reference. The following discussion should be read in conjunction with the consolidated financial state</w:t>
      </w:r>
      <w:r>
        <w:rPr>
          <w:rFonts w:ascii="Helvetica" w:eastAsia="Helvetica" w:hAnsi="Helvetica" w:cs="Helvetica"/>
          <w:i/>
          <w:iCs/>
          <w:sz w:val="18"/>
          <w:szCs w:val="18"/>
        </w:rPr>
        <w:t>ments and accompanying notes included in Part II, Item 8 of this Form 10-K. Unless otherwise stated, all information presented herein is based on the Company’s fiscal calendar, and references to particular years, quarters, months or periods refer to the Co</w:t>
      </w:r>
      <w:r>
        <w:rPr>
          <w:rFonts w:ascii="Helvetica" w:eastAsia="Helvetica" w:hAnsi="Helvetica" w:cs="Helvetica"/>
          <w:i/>
          <w:iCs/>
          <w:sz w:val="18"/>
          <w:szCs w:val="18"/>
        </w:rPr>
        <w:t xml:space="preserve">mpany’s fiscal years ended in September and the associated quarters, months and periods of those fiscal years. Each of the terms the “Company” and “Apple” as used herein refers collectively to Apple Inc. and its wholly owned subsidiaries, unless otherwise </w:t>
      </w:r>
      <w:r>
        <w:rPr>
          <w:rFonts w:ascii="Helvetica" w:eastAsia="Helvetica" w:hAnsi="Helvetica" w:cs="Helvetica"/>
          <w:i/>
          <w:iCs/>
          <w:sz w:val="18"/>
          <w:szCs w:val="18"/>
        </w:rPr>
        <w:t>stated. The Company assumes no obligation to revise or update any forward-looking statements for any reason, except as required by law.</w:t>
      </w:r>
    </w:p>
    <w:p w14:paraId="2A739F5F"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 xml:space="preserve">This section of this Form 10-K generally discusses 2019 and 2018 items and year-to-year comparisons between 2019 and </w:t>
      </w:r>
      <w:r>
        <w:rPr>
          <w:rFonts w:ascii="Helvetica" w:eastAsia="Helvetica" w:hAnsi="Helvetica" w:cs="Helvetica"/>
          <w:i/>
          <w:iCs/>
          <w:sz w:val="18"/>
          <w:szCs w:val="18"/>
        </w:rPr>
        <w:t>2018. Discussions of 2017 items and year-to-year comparisons between 2018 and 2017 that are not included in this Form 10-K can be found in “Management’s Discussion and Analysis of Financial Condition and Results of Operations” in Part II, Item 7 of the Com</w:t>
      </w:r>
      <w:r>
        <w:rPr>
          <w:rFonts w:ascii="Helvetica" w:eastAsia="Helvetica" w:hAnsi="Helvetica" w:cs="Helvetica"/>
          <w:i/>
          <w:iCs/>
          <w:sz w:val="18"/>
          <w:szCs w:val="18"/>
        </w:rPr>
        <w:t>pany’s Annual Report on Form 10-K for the fiscal year ended September 29, 2018.</w:t>
      </w:r>
    </w:p>
    <w:p w14:paraId="2A739F60"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Fiscal Period</w:t>
      </w:r>
    </w:p>
    <w:p w14:paraId="2A739F6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fiscal year is the 52- or 53-week period that ends on the last Saturday of September. The Company’s fiscal years 2019 and 2018 spanned 52 weeks each</w:t>
      </w:r>
      <w:r>
        <w:rPr>
          <w:rFonts w:ascii="Helvetica" w:eastAsia="Helvetica" w:hAnsi="Helvetica" w:cs="Helvetica"/>
          <w:sz w:val="18"/>
          <w:szCs w:val="18"/>
        </w:rPr>
        <w:t>, whereas fiscal year 2017 included 53 weeks. A 14th week was included in the first quarter of 2017, as is done every five or six years, to realign the Company’s fiscal quarters with calendar quarters.</w:t>
      </w:r>
    </w:p>
    <w:p w14:paraId="2A739F62"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Fiscal 2019 Highlights</w:t>
      </w:r>
    </w:p>
    <w:p w14:paraId="2A739F6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Total net sales decreased 2% or</w:t>
      </w:r>
      <w:r>
        <w:rPr>
          <w:rFonts w:ascii="Helvetica" w:eastAsia="Helvetica" w:hAnsi="Helvetica" w:cs="Helvetica"/>
          <w:sz w:val="18"/>
          <w:szCs w:val="18"/>
        </w:rPr>
        <w:t xml:space="preserve"> $5.4 billion during 2019 compared to 2018, driven by lower net sales of iPhone, partially offset by higher net sales of Wearables, Home and Accessories and Services in all geographic operating segments. The weakness in foreign currencies had a significant</w:t>
      </w:r>
      <w:r>
        <w:rPr>
          <w:rFonts w:ascii="Helvetica" w:eastAsia="Helvetica" w:hAnsi="Helvetica" w:cs="Helvetica"/>
          <w:sz w:val="18"/>
          <w:szCs w:val="18"/>
        </w:rPr>
        <w:t xml:space="preserve"> unfavorable impact on net sales during 2019.</w:t>
      </w:r>
    </w:p>
    <w:p w14:paraId="2A739F6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In April 2019, the Company announced an increase to its current share repurchase program authorization from $100 billion to $175 billion and raised its quarterly dividend from $0.73 to $0.77 per share beginning</w:t>
      </w:r>
      <w:r>
        <w:rPr>
          <w:rFonts w:ascii="Helvetica" w:eastAsia="Helvetica" w:hAnsi="Helvetica" w:cs="Helvetica"/>
          <w:sz w:val="18"/>
          <w:szCs w:val="18"/>
        </w:rPr>
        <w:t xml:space="preserve"> in May 2019. During 2019, the Company repurchased $67.1 billion of its common stock and paid dividends and dividend equivalents of $14.1 billion.</w:t>
      </w:r>
    </w:p>
    <w:p w14:paraId="2A739F65" w14:textId="77777777" w:rsidR="00FA5565" w:rsidRDefault="00FA5565">
      <w:pPr>
        <w:rPr>
          <w:rFonts w:ascii="Times New Roman" w:hAnsi="Times New Roman"/>
          <w:sz w:val="20"/>
          <w:szCs w:val="20"/>
        </w:rPr>
      </w:pPr>
    </w:p>
    <w:p w14:paraId="2A739F66"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18</w:t>
      </w:r>
    </w:p>
    <w:p w14:paraId="2A739F67" w14:textId="77777777" w:rsidR="00FA5565" w:rsidRDefault="00D804D1">
      <w:r>
        <w:rPr>
          <w:rFonts w:ascii="Times New Roman" w:hAnsi="Times New Roman"/>
          <w:sz w:val="16"/>
          <w:szCs w:val="16"/>
        </w:rPr>
        <w:pict w14:anchorId="2A73C0AE">
          <v:rect id="_x0000_i1044" style="width:415.3pt;height:1.5pt" o:hralign="center" o:hrstd="t" o:hr="t" fillcolor="#a0a0a0" stroked="f"/>
        </w:pict>
      </w:r>
    </w:p>
    <w:p w14:paraId="2A739F68" w14:textId="77777777" w:rsidR="00FA5565" w:rsidRDefault="00FA5565">
      <w:pPr>
        <w:rPr>
          <w:rFonts w:ascii="Times New Roman" w:hAnsi="Times New Roman"/>
          <w:sz w:val="20"/>
          <w:szCs w:val="20"/>
        </w:rPr>
      </w:pPr>
    </w:p>
    <w:p w14:paraId="2A739F6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Products and Services Performance</w:t>
      </w:r>
    </w:p>
    <w:p w14:paraId="2A739F6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Beginning in the first quarter of </w:t>
      </w:r>
      <w:r>
        <w:rPr>
          <w:rFonts w:ascii="Helvetica" w:eastAsia="Helvetica" w:hAnsi="Helvetica" w:cs="Helvetica"/>
          <w:sz w:val="18"/>
          <w:szCs w:val="18"/>
        </w:rPr>
        <w:t>2019, the Company classified the amortization of the deferred value of Maps, Siri and free iCloud services, which are bundled in the sales price of iPhone, Mac, iPad and certain other products, in Services net sales. Historically, the Company classified th</w:t>
      </w:r>
      <w:r>
        <w:rPr>
          <w:rFonts w:ascii="Helvetica" w:eastAsia="Helvetica" w:hAnsi="Helvetica" w:cs="Helvetica"/>
          <w:sz w:val="18"/>
          <w:szCs w:val="18"/>
        </w:rPr>
        <w:t>e amortization of these amounts in Products net sales consistent with its management reporting framework. As a result, Products and Services net sales for 2018 and 2017 were reclassified to conform to the 2019 presentation.</w:t>
      </w:r>
    </w:p>
    <w:p w14:paraId="2A739F6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 shows net sa</w:t>
      </w:r>
      <w:r>
        <w:rPr>
          <w:rFonts w:ascii="Helvetica" w:eastAsia="Helvetica" w:hAnsi="Helvetica" w:cs="Helvetica"/>
          <w:sz w:val="18"/>
          <w:szCs w:val="18"/>
        </w:rPr>
        <w:t>les by category for 2019, 2018 and 2017 (dollars in millions):</w:t>
      </w:r>
    </w:p>
    <w:tbl>
      <w:tblPr>
        <w:tblW w:w="5000" w:type="pct"/>
        <w:tblCellMar>
          <w:left w:w="0" w:type="dxa"/>
          <w:right w:w="0" w:type="dxa"/>
        </w:tblCellMar>
        <w:tblLook w:val="04A0" w:firstRow="1" w:lastRow="0" w:firstColumn="1" w:lastColumn="0" w:noHBand="0" w:noVBand="1"/>
      </w:tblPr>
      <w:tblGrid>
        <w:gridCol w:w="3241"/>
        <w:gridCol w:w="141"/>
        <w:gridCol w:w="750"/>
        <w:gridCol w:w="6"/>
        <w:gridCol w:w="130"/>
        <w:gridCol w:w="665"/>
        <w:gridCol w:w="260"/>
        <w:gridCol w:w="130"/>
        <w:gridCol w:w="141"/>
        <w:gridCol w:w="751"/>
        <w:gridCol w:w="6"/>
        <w:gridCol w:w="130"/>
        <w:gridCol w:w="666"/>
        <w:gridCol w:w="260"/>
        <w:gridCol w:w="130"/>
        <w:gridCol w:w="141"/>
        <w:gridCol w:w="752"/>
        <w:gridCol w:w="6"/>
      </w:tblGrid>
      <w:tr w:rsidR="00FA5565" w14:paraId="2A739F6D" w14:textId="77777777">
        <w:tc>
          <w:tcPr>
            <w:tcW w:w="0" w:type="auto"/>
            <w:gridSpan w:val="18"/>
            <w:shd w:val="clear" w:color="auto" w:fill="auto"/>
            <w:vAlign w:val="center"/>
          </w:tcPr>
          <w:p w14:paraId="2A739F6C" w14:textId="77777777" w:rsidR="00FA5565" w:rsidRDefault="00FA5565">
            <w:pPr>
              <w:rPr>
                <w:rFonts w:ascii="Times New Roman" w:hAnsi="Times New Roman"/>
                <w:sz w:val="20"/>
                <w:szCs w:val="20"/>
              </w:rPr>
            </w:pPr>
          </w:p>
        </w:tc>
      </w:tr>
      <w:tr w:rsidR="00FA5565" w14:paraId="2A739F80" w14:textId="77777777">
        <w:tc>
          <w:tcPr>
            <w:tcW w:w="2000" w:type="pct"/>
            <w:shd w:val="clear" w:color="auto" w:fill="auto"/>
            <w:vAlign w:val="center"/>
          </w:tcPr>
          <w:p w14:paraId="2A739F6E" w14:textId="77777777" w:rsidR="00FA5565" w:rsidRDefault="00FA5565">
            <w:pPr>
              <w:rPr>
                <w:rFonts w:ascii="Times New Roman" w:hAnsi="Times New Roman"/>
                <w:sz w:val="20"/>
                <w:szCs w:val="20"/>
              </w:rPr>
            </w:pPr>
          </w:p>
        </w:tc>
        <w:tc>
          <w:tcPr>
            <w:tcW w:w="50" w:type="pct"/>
            <w:shd w:val="clear" w:color="auto" w:fill="auto"/>
            <w:vAlign w:val="center"/>
          </w:tcPr>
          <w:p w14:paraId="2A739F6F" w14:textId="77777777" w:rsidR="00FA5565" w:rsidRDefault="00FA5565">
            <w:pPr>
              <w:rPr>
                <w:rFonts w:ascii="Times New Roman" w:hAnsi="Times New Roman"/>
                <w:sz w:val="20"/>
                <w:szCs w:val="20"/>
              </w:rPr>
            </w:pPr>
          </w:p>
        </w:tc>
        <w:tc>
          <w:tcPr>
            <w:tcW w:w="500" w:type="pct"/>
            <w:shd w:val="clear" w:color="auto" w:fill="auto"/>
            <w:vAlign w:val="center"/>
          </w:tcPr>
          <w:p w14:paraId="2A739F70" w14:textId="77777777" w:rsidR="00FA5565" w:rsidRDefault="00FA5565">
            <w:pPr>
              <w:rPr>
                <w:rFonts w:ascii="Times New Roman" w:hAnsi="Times New Roman"/>
                <w:sz w:val="20"/>
                <w:szCs w:val="20"/>
              </w:rPr>
            </w:pPr>
          </w:p>
        </w:tc>
        <w:tc>
          <w:tcPr>
            <w:tcW w:w="50" w:type="pct"/>
            <w:shd w:val="clear" w:color="auto" w:fill="auto"/>
            <w:vAlign w:val="center"/>
          </w:tcPr>
          <w:p w14:paraId="2A739F71" w14:textId="77777777" w:rsidR="00FA5565" w:rsidRDefault="00FA5565">
            <w:pPr>
              <w:rPr>
                <w:rFonts w:ascii="Times New Roman" w:hAnsi="Times New Roman"/>
                <w:sz w:val="20"/>
                <w:szCs w:val="20"/>
              </w:rPr>
            </w:pPr>
          </w:p>
        </w:tc>
        <w:tc>
          <w:tcPr>
            <w:tcW w:w="50" w:type="pct"/>
            <w:shd w:val="clear" w:color="auto" w:fill="auto"/>
            <w:vAlign w:val="center"/>
          </w:tcPr>
          <w:p w14:paraId="2A739F72" w14:textId="77777777" w:rsidR="00FA5565" w:rsidRDefault="00FA5565">
            <w:pPr>
              <w:rPr>
                <w:rFonts w:ascii="Times New Roman" w:hAnsi="Times New Roman"/>
                <w:sz w:val="20"/>
                <w:szCs w:val="20"/>
              </w:rPr>
            </w:pPr>
          </w:p>
        </w:tc>
        <w:tc>
          <w:tcPr>
            <w:tcW w:w="450" w:type="pct"/>
            <w:shd w:val="clear" w:color="auto" w:fill="auto"/>
            <w:vAlign w:val="center"/>
          </w:tcPr>
          <w:p w14:paraId="2A739F73" w14:textId="77777777" w:rsidR="00FA5565" w:rsidRDefault="00FA5565">
            <w:pPr>
              <w:rPr>
                <w:rFonts w:ascii="Times New Roman" w:hAnsi="Times New Roman"/>
                <w:sz w:val="20"/>
                <w:szCs w:val="20"/>
              </w:rPr>
            </w:pPr>
          </w:p>
        </w:tc>
        <w:tc>
          <w:tcPr>
            <w:tcW w:w="50" w:type="pct"/>
            <w:shd w:val="clear" w:color="auto" w:fill="auto"/>
            <w:vAlign w:val="center"/>
          </w:tcPr>
          <w:p w14:paraId="2A739F74" w14:textId="77777777" w:rsidR="00FA5565" w:rsidRDefault="00FA5565">
            <w:pPr>
              <w:rPr>
                <w:rFonts w:ascii="Times New Roman" w:hAnsi="Times New Roman"/>
                <w:sz w:val="20"/>
                <w:szCs w:val="20"/>
              </w:rPr>
            </w:pPr>
          </w:p>
        </w:tc>
        <w:tc>
          <w:tcPr>
            <w:tcW w:w="50" w:type="pct"/>
            <w:shd w:val="clear" w:color="auto" w:fill="auto"/>
            <w:vAlign w:val="center"/>
          </w:tcPr>
          <w:p w14:paraId="2A739F75" w14:textId="77777777" w:rsidR="00FA5565" w:rsidRDefault="00FA5565">
            <w:pPr>
              <w:rPr>
                <w:rFonts w:ascii="Times New Roman" w:hAnsi="Times New Roman"/>
                <w:sz w:val="20"/>
                <w:szCs w:val="20"/>
              </w:rPr>
            </w:pPr>
          </w:p>
        </w:tc>
        <w:tc>
          <w:tcPr>
            <w:tcW w:w="50" w:type="pct"/>
            <w:shd w:val="clear" w:color="auto" w:fill="auto"/>
            <w:vAlign w:val="center"/>
          </w:tcPr>
          <w:p w14:paraId="2A739F76" w14:textId="77777777" w:rsidR="00FA5565" w:rsidRDefault="00FA5565">
            <w:pPr>
              <w:rPr>
                <w:rFonts w:ascii="Times New Roman" w:hAnsi="Times New Roman"/>
                <w:sz w:val="20"/>
                <w:szCs w:val="20"/>
              </w:rPr>
            </w:pPr>
          </w:p>
        </w:tc>
        <w:tc>
          <w:tcPr>
            <w:tcW w:w="500" w:type="pct"/>
            <w:shd w:val="clear" w:color="auto" w:fill="auto"/>
            <w:vAlign w:val="center"/>
          </w:tcPr>
          <w:p w14:paraId="2A739F77" w14:textId="77777777" w:rsidR="00FA5565" w:rsidRDefault="00FA5565">
            <w:pPr>
              <w:rPr>
                <w:rFonts w:ascii="Times New Roman" w:hAnsi="Times New Roman"/>
                <w:sz w:val="20"/>
                <w:szCs w:val="20"/>
              </w:rPr>
            </w:pPr>
          </w:p>
        </w:tc>
        <w:tc>
          <w:tcPr>
            <w:tcW w:w="50" w:type="pct"/>
            <w:shd w:val="clear" w:color="auto" w:fill="auto"/>
            <w:vAlign w:val="center"/>
          </w:tcPr>
          <w:p w14:paraId="2A739F78" w14:textId="77777777" w:rsidR="00FA5565" w:rsidRDefault="00FA5565">
            <w:pPr>
              <w:rPr>
                <w:rFonts w:ascii="Times New Roman" w:hAnsi="Times New Roman"/>
                <w:sz w:val="20"/>
                <w:szCs w:val="20"/>
              </w:rPr>
            </w:pPr>
          </w:p>
        </w:tc>
        <w:tc>
          <w:tcPr>
            <w:tcW w:w="50" w:type="pct"/>
            <w:shd w:val="clear" w:color="auto" w:fill="auto"/>
            <w:vAlign w:val="center"/>
          </w:tcPr>
          <w:p w14:paraId="2A739F79" w14:textId="77777777" w:rsidR="00FA5565" w:rsidRDefault="00FA5565">
            <w:pPr>
              <w:rPr>
                <w:rFonts w:ascii="Times New Roman" w:hAnsi="Times New Roman"/>
                <w:sz w:val="20"/>
                <w:szCs w:val="20"/>
              </w:rPr>
            </w:pPr>
          </w:p>
        </w:tc>
        <w:tc>
          <w:tcPr>
            <w:tcW w:w="450" w:type="pct"/>
            <w:shd w:val="clear" w:color="auto" w:fill="auto"/>
            <w:vAlign w:val="center"/>
          </w:tcPr>
          <w:p w14:paraId="2A739F7A" w14:textId="77777777" w:rsidR="00FA5565" w:rsidRDefault="00FA5565">
            <w:pPr>
              <w:rPr>
                <w:rFonts w:ascii="Times New Roman" w:hAnsi="Times New Roman"/>
                <w:sz w:val="20"/>
                <w:szCs w:val="20"/>
              </w:rPr>
            </w:pPr>
          </w:p>
        </w:tc>
        <w:tc>
          <w:tcPr>
            <w:tcW w:w="50" w:type="pct"/>
            <w:shd w:val="clear" w:color="auto" w:fill="auto"/>
            <w:vAlign w:val="center"/>
          </w:tcPr>
          <w:p w14:paraId="2A739F7B" w14:textId="77777777" w:rsidR="00FA5565" w:rsidRDefault="00FA5565">
            <w:pPr>
              <w:rPr>
                <w:rFonts w:ascii="Times New Roman" w:hAnsi="Times New Roman"/>
                <w:sz w:val="20"/>
                <w:szCs w:val="20"/>
              </w:rPr>
            </w:pPr>
          </w:p>
        </w:tc>
        <w:tc>
          <w:tcPr>
            <w:tcW w:w="50" w:type="pct"/>
            <w:shd w:val="clear" w:color="auto" w:fill="auto"/>
            <w:vAlign w:val="center"/>
          </w:tcPr>
          <w:p w14:paraId="2A739F7C" w14:textId="77777777" w:rsidR="00FA5565" w:rsidRDefault="00FA5565">
            <w:pPr>
              <w:rPr>
                <w:rFonts w:ascii="Times New Roman" w:hAnsi="Times New Roman"/>
                <w:sz w:val="20"/>
                <w:szCs w:val="20"/>
              </w:rPr>
            </w:pPr>
          </w:p>
        </w:tc>
        <w:tc>
          <w:tcPr>
            <w:tcW w:w="50" w:type="pct"/>
            <w:shd w:val="clear" w:color="auto" w:fill="auto"/>
            <w:vAlign w:val="center"/>
          </w:tcPr>
          <w:p w14:paraId="2A739F7D" w14:textId="77777777" w:rsidR="00FA5565" w:rsidRDefault="00FA5565">
            <w:pPr>
              <w:rPr>
                <w:rFonts w:ascii="Times New Roman" w:hAnsi="Times New Roman"/>
                <w:sz w:val="20"/>
                <w:szCs w:val="20"/>
              </w:rPr>
            </w:pPr>
          </w:p>
        </w:tc>
        <w:tc>
          <w:tcPr>
            <w:tcW w:w="500" w:type="pct"/>
            <w:shd w:val="clear" w:color="auto" w:fill="auto"/>
            <w:vAlign w:val="center"/>
          </w:tcPr>
          <w:p w14:paraId="2A739F7E" w14:textId="77777777" w:rsidR="00FA5565" w:rsidRDefault="00FA5565">
            <w:pPr>
              <w:rPr>
                <w:rFonts w:ascii="Times New Roman" w:hAnsi="Times New Roman"/>
                <w:sz w:val="20"/>
                <w:szCs w:val="20"/>
              </w:rPr>
            </w:pPr>
          </w:p>
        </w:tc>
        <w:tc>
          <w:tcPr>
            <w:tcW w:w="50" w:type="pct"/>
            <w:shd w:val="clear" w:color="auto" w:fill="auto"/>
            <w:vAlign w:val="center"/>
          </w:tcPr>
          <w:p w14:paraId="2A739F7F" w14:textId="77777777" w:rsidR="00FA5565" w:rsidRDefault="00FA5565">
            <w:pPr>
              <w:rPr>
                <w:rFonts w:ascii="Times New Roman" w:hAnsi="Times New Roman"/>
                <w:sz w:val="20"/>
                <w:szCs w:val="20"/>
              </w:rPr>
            </w:pPr>
          </w:p>
        </w:tc>
      </w:tr>
      <w:tr w:rsidR="00FA5565" w14:paraId="2A739F8B" w14:textId="77777777">
        <w:tc>
          <w:tcPr>
            <w:tcW w:w="0" w:type="auto"/>
            <w:shd w:val="clear" w:color="auto" w:fill="auto"/>
            <w:tcMar>
              <w:top w:w="40" w:type="dxa"/>
              <w:left w:w="40" w:type="dxa"/>
              <w:bottom w:w="40" w:type="dxa"/>
              <w:right w:w="40" w:type="dxa"/>
            </w:tcMar>
            <w:vAlign w:val="bottom"/>
          </w:tcPr>
          <w:p w14:paraId="2A739F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F8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9F8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9F8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Change</w:t>
            </w:r>
          </w:p>
        </w:tc>
        <w:tc>
          <w:tcPr>
            <w:tcW w:w="0" w:type="auto"/>
            <w:shd w:val="clear" w:color="auto" w:fill="auto"/>
            <w:tcMar>
              <w:top w:w="40" w:type="dxa"/>
              <w:left w:w="40" w:type="dxa"/>
              <w:bottom w:w="40" w:type="dxa"/>
              <w:right w:w="40" w:type="dxa"/>
            </w:tcMar>
            <w:vAlign w:val="bottom"/>
          </w:tcPr>
          <w:p w14:paraId="2A739F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F8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9F8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9F8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Change</w:t>
            </w:r>
          </w:p>
        </w:tc>
        <w:tc>
          <w:tcPr>
            <w:tcW w:w="0" w:type="auto"/>
            <w:shd w:val="clear" w:color="auto" w:fill="auto"/>
            <w:tcMar>
              <w:top w:w="40" w:type="dxa"/>
              <w:left w:w="40" w:type="dxa"/>
              <w:bottom w:w="40" w:type="dxa"/>
              <w:right w:w="40" w:type="dxa"/>
            </w:tcMar>
            <w:vAlign w:val="bottom"/>
          </w:tcPr>
          <w:p w14:paraId="2A739F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9F8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9F96" w14:textId="77777777">
        <w:tc>
          <w:tcPr>
            <w:tcW w:w="0" w:type="auto"/>
            <w:shd w:val="clear" w:color="auto" w:fill="auto"/>
            <w:tcMar>
              <w:top w:w="40" w:type="dxa"/>
              <w:left w:w="40" w:type="dxa"/>
              <w:bottom w:w="40" w:type="dxa"/>
              <w:right w:w="40" w:type="dxa"/>
            </w:tcMar>
            <w:vAlign w:val="bottom"/>
          </w:tcPr>
          <w:p w14:paraId="2A739F8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Net sales by category:</w:t>
            </w:r>
          </w:p>
        </w:tc>
        <w:tc>
          <w:tcPr>
            <w:tcW w:w="0" w:type="auto"/>
            <w:gridSpan w:val="3"/>
            <w:shd w:val="clear" w:color="auto" w:fill="auto"/>
            <w:tcMar>
              <w:top w:w="40" w:type="dxa"/>
              <w:left w:w="40" w:type="dxa"/>
              <w:bottom w:w="40" w:type="dxa"/>
              <w:right w:w="40" w:type="dxa"/>
            </w:tcMar>
            <w:vAlign w:val="bottom"/>
          </w:tcPr>
          <w:p w14:paraId="2A739F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F8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9F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F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F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F9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9F9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9F9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9F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9FA9" w14:textId="77777777">
        <w:tc>
          <w:tcPr>
            <w:tcW w:w="0" w:type="auto"/>
            <w:shd w:val="clear" w:color="auto" w:fill="EFEFEF"/>
            <w:tcMar>
              <w:top w:w="40" w:type="dxa"/>
              <w:left w:w="40" w:type="dxa"/>
              <w:bottom w:w="40" w:type="dxa"/>
              <w:right w:w="40" w:type="dxa"/>
            </w:tcMar>
            <w:vAlign w:val="bottom"/>
          </w:tcPr>
          <w:p w14:paraId="2A739F97" w14:textId="77777777" w:rsidR="00FA5565" w:rsidRDefault="00D804D1">
            <w:pPr>
              <w:ind w:firstLine="520"/>
              <w:textAlignment w:val="bottom"/>
              <w:rPr>
                <w:rFonts w:ascii="Times New Roman" w:hAnsi="Times New Roman"/>
                <w:sz w:val="18"/>
                <w:szCs w:val="18"/>
              </w:rPr>
            </w:pPr>
            <w:r>
              <w:rPr>
                <w:rFonts w:ascii="Helvetica" w:eastAsia="Helvetica" w:hAnsi="Helvetica" w:cs="Helvetica"/>
                <w:sz w:val="18"/>
                <w:szCs w:val="18"/>
              </w:rPr>
              <w:t>iPhone (1)</w:t>
            </w:r>
          </w:p>
        </w:tc>
        <w:tc>
          <w:tcPr>
            <w:tcW w:w="0" w:type="auto"/>
            <w:shd w:val="clear" w:color="auto" w:fill="EFEFEF"/>
            <w:tcMar>
              <w:top w:w="40" w:type="dxa"/>
              <w:left w:w="40" w:type="dxa"/>
              <w:bottom w:w="40" w:type="dxa"/>
            </w:tcMar>
            <w:vAlign w:val="bottom"/>
          </w:tcPr>
          <w:p w14:paraId="2A739F9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9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142,381</w:t>
            </w:r>
          </w:p>
        </w:tc>
        <w:tc>
          <w:tcPr>
            <w:tcW w:w="0" w:type="auto"/>
            <w:shd w:val="clear" w:color="auto" w:fill="EFEFEF"/>
            <w:vAlign w:val="bottom"/>
          </w:tcPr>
          <w:p w14:paraId="2A739F9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9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9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w:t>
            </w:r>
          </w:p>
        </w:tc>
        <w:tc>
          <w:tcPr>
            <w:tcW w:w="0" w:type="auto"/>
            <w:shd w:val="clear" w:color="auto" w:fill="EFEFEF"/>
            <w:tcMar>
              <w:top w:w="40" w:type="dxa"/>
              <w:bottom w:w="40" w:type="dxa"/>
              <w:right w:w="40" w:type="dxa"/>
            </w:tcMar>
            <w:vAlign w:val="bottom"/>
          </w:tcPr>
          <w:p w14:paraId="2A739F9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9F9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9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A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164,888</w:t>
            </w:r>
          </w:p>
        </w:tc>
        <w:tc>
          <w:tcPr>
            <w:tcW w:w="0" w:type="auto"/>
            <w:shd w:val="clear" w:color="auto" w:fill="EFEFEF"/>
            <w:vAlign w:val="bottom"/>
          </w:tcPr>
          <w:p w14:paraId="2A739FA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A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A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w:t>
            </w:r>
          </w:p>
        </w:tc>
        <w:tc>
          <w:tcPr>
            <w:tcW w:w="0" w:type="auto"/>
            <w:shd w:val="clear" w:color="auto" w:fill="EFEFEF"/>
            <w:tcMar>
              <w:top w:w="40" w:type="dxa"/>
              <w:bottom w:w="40" w:type="dxa"/>
              <w:right w:w="40" w:type="dxa"/>
            </w:tcMar>
            <w:vAlign w:val="bottom"/>
          </w:tcPr>
          <w:p w14:paraId="2A739FA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w:t>
            </w:r>
          </w:p>
        </w:tc>
        <w:tc>
          <w:tcPr>
            <w:tcW w:w="0" w:type="auto"/>
            <w:shd w:val="clear" w:color="auto" w:fill="EFEFEF"/>
            <w:tcMar>
              <w:top w:w="40" w:type="dxa"/>
              <w:left w:w="40" w:type="dxa"/>
              <w:bottom w:w="40" w:type="dxa"/>
              <w:right w:w="40" w:type="dxa"/>
            </w:tcMar>
            <w:vAlign w:val="bottom"/>
          </w:tcPr>
          <w:p w14:paraId="2A739F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A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9FA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139,337</w:t>
            </w:r>
          </w:p>
        </w:tc>
        <w:tc>
          <w:tcPr>
            <w:tcW w:w="0" w:type="auto"/>
            <w:shd w:val="clear" w:color="auto" w:fill="EFEFEF"/>
            <w:vAlign w:val="bottom"/>
          </w:tcPr>
          <w:p w14:paraId="2A739FA8" w14:textId="77777777" w:rsidR="00FA5565" w:rsidRDefault="00FA5565">
            <w:pPr>
              <w:textAlignment w:val="bottom"/>
              <w:rPr>
                <w:rFonts w:ascii="Times New Roman" w:hAnsi="Times New Roman"/>
                <w:sz w:val="20"/>
                <w:szCs w:val="20"/>
              </w:rPr>
            </w:pPr>
          </w:p>
        </w:tc>
      </w:tr>
      <w:tr w:rsidR="00FA5565" w14:paraId="2A739FB9" w14:textId="77777777">
        <w:tc>
          <w:tcPr>
            <w:tcW w:w="0" w:type="auto"/>
            <w:shd w:val="clear" w:color="auto" w:fill="auto"/>
            <w:tcMar>
              <w:top w:w="40" w:type="dxa"/>
              <w:left w:w="40" w:type="dxa"/>
              <w:bottom w:w="40" w:type="dxa"/>
              <w:right w:w="40" w:type="dxa"/>
            </w:tcMar>
            <w:vAlign w:val="bottom"/>
          </w:tcPr>
          <w:p w14:paraId="2A739FAA" w14:textId="77777777" w:rsidR="00FA5565" w:rsidRDefault="00D804D1">
            <w:pPr>
              <w:ind w:firstLine="520"/>
              <w:textAlignment w:val="bottom"/>
              <w:rPr>
                <w:rFonts w:ascii="Times New Roman" w:hAnsi="Times New Roman"/>
                <w:sz w:val="18"/>
                <w:szCs w:val="18"/>
              </w:rPr>
            </w:pPr>
            <w:r>
              <w:rPr>
                <w:rFonts w:ascii="Helvetica" w:eastAsia="Helvetica" w:hAnsi="Helvetica" w:cs="Helvetica"/>
                <w:sz w:val="18"/>
                <w:szCs w:val="18"/>
              </w:rPr>
              <w:t>Mac (1)</w:t>
            </w:r>
          </w:p>
        </w:tc>
        <w:tc>
          <w:tcPr>
            <w:tcW w:w="0" w:type="auto"/>
            <w:gridSpan w:val="2"/>
            <w:shd w:val="clear" w:color="auto" w:fill="auto"/>
            <w:tcMar>
              <w:top w:w="40" w:type="dxa"/>
              <w:left w:w="40" w:type="dxa"/>
              <w:bottom w:w="40" w:type="dxa"/>
            </w:tcMar>
            <w:vAlign w:val="bottom"/>
          </w:tcPr>
          <w:p w14:paraId="2A739FA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25,740</w:t>
            </w:r>
          </w:p>
        </w:tc>
        <w:tc>
          <w:tcPr>
            <w:tcW w:w="0" w:type="auto"/>
            <w:shd w:val="clear" w:color="auto" w:fill="auto"/>
            <w:vAlign w:val="bottom"/>
          </w:tcPr>
          <w:p w14:paraId="2A739FA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A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A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shd w:val="clear" w:color="auto" w:fill="auto"/>
            <w:tcMar>
              <w:top w:w="40" w:type="dxa"/>
              <w:bottom w:w="40" w:type="dxa"/>
              <w:right w:w="40" w:type="dxa"/>
            </w:tcMar>
            <w:vAlign w:val="bottom"/>
          </w:tcPr>
          <w:p w14:paraId="2A739FA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w:t>
            </w:r>
          </w:p>
        </w:tc>
        <w:tc>
          <w:tcPr>
            <w:tcW w:w="0" w:type="auto"/>
            <w:shd w:val="clear" w:color="auto" w:fill="auto"/>
            <w:tcMar>
              <w:top w:w="40" w:type="dxa"/>
              <w:left w:w="40" w:type="dxa"/>
              <w:bottom w:w="40" w:type="dxa"/>
              <w:right w:w="40" w:type="dxa"/>
            </w:tcMar>
            <w:vAlign w:val="bottom"/>
          </w:tcPr>
          <w:p w14:paraId="2A739FB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9FB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25,198</w:t>
            </w:r>
          </w:p>
        </w:tc>
        <w:tc>
          <w:tcPr>
            <w:tcW w:w="0" w:type="auto"/>
            <w:shd w:val="clear" w:color="auto" w:fill="auto"/>
            <w:vAlign w:val="bottom"/>
          </w:tcPr>
          <w:p w14:paraId="2A739FB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B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B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w:t>
            </w:r>
          </w:p>
        </w:tc>
        <w:tc>
          <w:tcPr>
            <w:tcW w:w="0" w:type="auto"/>
            <w:shd w:val="clear" w:color="auto" w:fill="auto"/>
            <w:tcMar>
              <w:top w:w="40" w:type="dxa"/>
              <w:bottom w:w="40" w:type="dxa"/>
              <w:right w:w="40" w:type="dxa"/>
            </w:tcMar>
            <w:vAlign w:val="bottom"/>
          </w:tcPr>
          <w:p w14:paraId="2A739FB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9F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9FB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25,569</w:t>
            </w:r>
          </w:p>
        </w:tc>
        <w:tc>
          <w:tcPr>
            <w:tcW w:w="0" w:type="auto"/>
            <w:shd w:val="clear" w:color="auto" w:fill="auto"/>
            <w:vAlign w:val="bottom"/>
          </w:tcPr>
          <w:p w14:paraId="2A739FB8" w14:textId="77777777" w:rsidR="00FA5565" w:rsidRDefault="00FA5565">
            <w:pPr>
              <w:textAlignment w:val="bottom"/>
              <w:rPr>
                <w:rFonts w:ascii="Times New Roman" w:hAnsi="Times New Roman"/>
                <w:sz w:val="20"/>
                <w:szCs w:val="20"/>
              </w:rPr>
            </w:pPr>
          </w:p>
        </w:tc>
      </w:tr>
      <w:tr w:rsidR="00FA5565" w14:paraId="2A739FC9" w14:textId="77777777">
        <w:tc>
          <w:tcPr>
            <w:tcW w:w="0" w:type="auto"/>
            <w:shd w:val="clear" w:color="auto" w:fill="EFEFEF"/>
            <w:tcMar>
              <w:top w:w="40" w:type="dxa"/>
              <w:left w:w="40" w:type="dxa"/>
              <w:bottom w:w="40" w:type="dxa"/>
              <w:right w:w="40" w:type="dxa"/>
            </w:tcMar>
            <w:vAlign w:val="bottom"/>
          </w:tcPr>
          <w:p w14:paraId="2A739FBA" w14:textId="77777777" w:rsidR="00FA5565" w:rsidRDefault="00D804D1">
            <w:pPr>
              <w:ind w:firstLine="520"/>
              <w:textAlignment w:val="bottom"/>
              <w:rPr>
                <w:rFonts w:ascii="Times New Roman" w:hAnsi="Times New Roman"/>
                <w:sz w:val="18"/>
                <w:szCs w:val="18"/>
              </w:rPr>
            </w:pPr>
            <w:r>
              <w:rPr>
                <w:rFonts w:ascii="Helvetica" w:eastAsia="Helvetica" w:hAnsi="Helvetica" w:cs="Helvetica"/>
                <w:sz w:val="18"/>
                <w:szCs w:val="18"/>
              </w:rPr>
              <w:t>iPad (1)</w:t>
            </w:r>
          </w:p>
        </w:tc>
        <w:tc>
          <w:tcPr>
            <w:tcW w:w="0" w:type="auto"/>
            <w:gridSpan w:val="2"/>
            <w:shd w:val="clear" w:color="auto" w:fill="EFEFEF"/>
            <w:tcMar>
              <w:top w:w="40" w:type="dxa"/>
              <w:left w:w="40" w:type="dxa"/>
              <w:bottom w:w="40" w:type="dxa"/>
            </w:tcMar>
            <w:vAlign w:val="bottom"/>
          </w:tcPr>
          <w:p w14:paraId="2A739FB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21,280</w:t>
            </w:r>
          </w:p>
        </w:tc>
        <w:tc>
          <w:tcPr>
            <w:tcW w:w="0" w:type="auto"/>
            <w:shd w:val="clear" w:color="auto" w:fill="EFEFEF"/>
            <w:vAlign w:val="bottom"/>
          </w:tcPr>
          <w:p w14:paraId="2A739FB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B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B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w:t>
            </w:r>
          </w:p>
        </w:tc>
        <w:tc>
          <w:tcPr>
            <w:tcW w:w="0" w:type="auto"/>
            <w:shd w:val="clear" w:color="auto" w:fill="EFEFEF"/>
            <w:tcMar>
              <w:top w:w="40" w:type="dxa"/>
              <w:bottom w:w="40" w:type="dxa"/>
              <w:right w:w="40" w:type="dxa"/>
            </w:tcMar>
            <w:vAlign w:val="bottom"/>
          </w:tcPr>
          <w:p w14:paraId="2A739FB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w:t>
            </w:r>
          </w:p>
        </w:tc>
        <w:tc>
          <w:tcPr>
            <w:tcW w:w="0" w:type="auto"/>
            <w:shd w:val="clear" w:color="auto" w:fill="EFEFEF"/>
            <w:tcMar>
              <w:top w:w="40" w:type="dxa"/>
              <w:left w:w="40" w:type="dxa"/>
              <w:bottom w:w="40" w:type="dxa"/>
              <w:right w:w="40" w:type="dxa"/>
            </w:tcMar>
            <w:vAlign w:val="bottom"/>
          </w:tcPr>
          <w:p w14:paraId="2A739FC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9FC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18,380</w:t>
            </w:r>
          </w:p>
        </w:tc>
        <w:tc>
          <w:tcPr>
            <w:tcW w:w="0" w:type="auto"/>
            <w:shd w:val="clear" w:color="auto" w:fill="EFEFEF"/>
            <w:vAlign w:val="bottom"/>
          </w:tcPr>
          <w:p w14:paraId="2A739FC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C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shd w:val="clear" w:color="auto" w:fill="EFEFEF"/>
            <w:tcMar>
              <w:top w:w="40" w:type="dxa"/>
              <w:bottom w:w="40" w:type="dxa"/>
              <w:right w:w="40" w:type="dxa"/>
            </w:tcMar>
            <w:vAlign w:val="bottom"/>
          </w:tcPr>
          <w:p w14:paraId="2A739FC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9FC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9FC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18,802</w:t>
            </w:r>
          </w:p>
        </w:tc>
        <w:tc>
          <w:tcPr>
            <w:tcW w:w="0" w:type="auto"/>
            <w:shd w:val="clear" w:color="auto" w:fill="EFEFEF"/>
            <w:vAlign w:val="bottom"/>
          </w:tcPr>
          <w:p w14:paraId="2A739FC8" w14:textId="77777777" w:rsidR="00FA5565" w:rsidRDefault="00FA5565">
            <w:pPr>
              <w:textAlignment w:val="bottom"/>
              <w:rPr>
                <w:rFonts w:ascii="Times New Roman" w:hAnsi="Times New Roman"/>
                <w:sz w:val="20"/>
                <w:szCs w:val="20"/>
              </w:rPr>
            </w:pPr>
          </w:p>
        </w:tc>
      </w:tr>
      <w:tr w:rsidR="00FA5565" w14:paraId="2A739FD9" w14:textId="77777777">
        <w:tc>
          <w:tcPr>
            <w:tcW w:w="0" w:type="auto"/>
            <w:shd w:val="clear" w:color="auto" w:fill="auto"/>
            <w:tcMar>
              <w:top w:w="40" w:type="dxa"/>
              <w:left w:w="40" w:type="dxa"/>
              <w:bottom w:w="40" w:type="dxa"/>
              <w:right w:w="40" w:type="dxa"/>
            </w:tcMar>
            <w:vAlign w:val="bottom"/>
          </w:tcPr>
          <w:p w14:paraId="2A739FCA" w14:textId="77777777" w:rsidR="00FA5565" w:rsidRDefault="00D804D1">
            <w:pPr>
              <w:ind w:firstLine="520"/>
              <w:textAlignment w:val="bottom"/>
              <w:rPr>
                <w:rFonts w:ascii="Times New Roman" w:hAnsi="Times New Roman"/>
                <w:sz w:val="18"/>
                <w:szCs w:val="18"/>
              </w:rPr>
            </w:pPr>
            <w:r>
              <w:rPr>
                <w:rFonts w:ascii="Helvetica" w:eastAsia="Helvetica" w:hAnsi="Helvetica" w:cs="Helvetica"/>
                <w:sz w:val="18"/>
                <w:szCs w:val="18"/>
              </w:rPr>
              <w:t>Wearables, Home and Accessories (1)(2)</w:t>
            </w:r>
          </w:p>
        </w:tc>
        <w:tc>
          <w:tcPr>
            <w:tcW w:w="0" w:type="auto"/>
            <w:gridSpan w:val="2"/>
            <w:shd w:val="clear" w:color="auto" w:fill="auto"/>
            <w:tcMar>
              <w:top w:w="40" w:type="dxa"/>
              <w:left w:w="40" w:type="dxa"/>
              <w:bottom w:w="40" w:type="dxa"/>
            </w:tcMar>
            <w:vAlign w:val="bottom"/>
          </w:tcPr>
          <w:p w14:paraId="2A739FC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24,482</w:t>
            </w:r>
          </w:p>
        </w:tc>
        <w:tc>
          <w:tcPr>
            <w:tcW w:w="0" w:type="auto"/>
            <w:shd w:val="clear" w:color="auto" w:fill="auto"/>
            <w:vAlign w:val="bottom"/>
          </w:tcPr>
          <w:p w14:paraId="2A739FC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C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C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bottom w:w="40" w:type="dxa"/>
              <w:right w:w="40" w:type="dxa"/>
            </w:tcMar>
            <w:vAlign w:val="bottom"/>
          </w:tcPr>
          <w:p w14:paraId="2A739FC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w:t>
            </w:r>
          </w:p>
        </w:tc>
        <w:tc>
          <w:tcPr>
            <w:tcW w:w="0" w:type="auto"/>
            <w:shd w:val="clear" w:color="auto" w:fill="auto"/>
            <w:tcMar>
              <w:top w:w="40" w:type="dxa"/>
              <w:left w:w="40" w:type="dxa"/>
              <w:bottom w:w="40" w:type="dxa"/>
              <w:right w:w="40" w:type="dxa"/>
            </w:tcMar>
            <w:vAlign w:val="bottom"/>
          </w:tcPr>
          <w:p w14:paraId="2A739FD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9FD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17,381</w:t>
            </w:r>
          </w:p>
        </w:tc>
        <w:tc>
          <w:tcPr>
            <w:tcW w:w="0" w:type="auto"/>
            <w:shd w:val="clear" w:color="auto" w:fill="auto"/>
            <w:vAlign w:val="bottom"/>
          </w:tcPr>
          <w:p w14:paraId="2A739FD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D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D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36</w:t>
            </w:r>
          </w:p>
        </w:tc>
        <w:tc>
          <w:tcPr>
            <w:tcW w:w="0" w:type="auto"/>
            <w:shd w:val="clear" w:color="auto" w:fill="auto"/>
            <w:tcMar>
              <w:top w:w="40" w:type="dxa"/>
              <w:bottom w:w="40" w:type="dxa"/>
              <w:right w:w="40" w:type="dxa"/>
            </w:tcMar>
            <w:vAlign w:val="bottom"/>
          </w:tcPr>
          <w:p w14:paraId="2A739FD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w:t>
            </w:r>
          </w:p>
        </w:tc>
        <w:tc>
          <w:tcPr>
            <w:tcW w:w="0" w:type="auto"/>
            <w:shd w:val="clear" w:color="auto" w:fill="auto"/>
            <w:tcMar>
              <w:top w:w="40" w:type="dxa"/>
              <w:left w:w="40" w:type="dxa"/>
              <w:bottom w:w="40" w:type="dxa"/>
              <w:right w:w="40" w:type="dxa"/>
            </w:tcMar>
            <w:vAlign w:val="bottom"/>
          </w:tcPr>
          <w:p w14:paraId="2A739FD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9FD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12,826</w:t>
            </w:r>
          </w:p>
        </w:tc>
        <w:tc>
          <w:tcPr>
            <w:tcW w:w="0" w:type="auto"/>
            <w:shd w:val="clear" w:color="auto" w:fill="auto"/>
            <w:vAlign w:val="bottom"/>
          </w:tcPr>
          <w:p w14:paraId="2A739FD8" w14:textId="77777777" w:rsidR="00FA5565" w:rsidRDefault="00FA5565">
            <w:pPr>
              <w:textAlignment w:val="bottom"/>
              <w:rPr>
                <w:rFonts w:ascii="Times New Roman" w:hAnsi="Times New Roman"/>
                <w:sz w:val="20"/>
                <w:szCs w:val="20"/>
              </w:rPr>
            </w:pPr>
          </w:p>
        </w:tc>
      </w:tr>
      <w:tr w:rsidR="00FA5565" w14:paraId="2A739FE9" w14:textId="77777777">
        <w:tc>
          <w:tcPr>
            <w:tcW w:w="0" w:type="auto"/>
            <w:shd w:val="clear" w:color="auto" w:fill="EFEFEF"/>
            <w:tcMar>
              <w:top w:w="40" w:type="dxa"/>
              <w:left w:w="40" w:type="dxa"/>
              <w:bottom w:w="40" w:type="dxa"/>
              <w:right w:w="40" w:type="dxa"/>
            </w:tcMar>
            <w:vAlign w:val="bottom"/>
          </w:tcPr>
          <w:p w14:paraId="2A739FDA" w14:textId="77777777" w:rsidR="00FA5565" w:rsidRDefault="00D804D1">
            <w:pPr>
              <w:ind w:firstLine="520"/>
              <w:textAlignment w:val="bottom"/>
              <w:rPr>
                <w:rFonts w:ascii="Times New Roman" w:hAnsi="Times New Roman"/>
                <w:sz w:val="18"/>
                <w:szCs w:val="18"/>
              </w:rPr>
            </w:pPr>
            <w:r>
              <w:rPr>
                <w:rFonts w:ascii="Helvetica" w:eastAsia="Helvetica" w:hAnsi="Helvetica" w:cs="Helvetica"/>
                <w:sz w:val="18"/>
                <w:szCs w:val="18"/>
              </w:rPr>
              <w:t>Services (3)</w:t>
            </w:r>
          </w:p>
        </w:tc>
        <w:tc>
          <w:tcPr>
            <w:tcW w:w="0" w:type="auto"/>
            <w:gridSpan w:val="2"/>
            <w:tcBorders>
              <w:bottom w:val="single" w:sz="8" w:space="0" w:color="000000"/>
            </w:tcBorders>
            <w:shd w:val="clear" w:color="auto" w:fill="EFEFEF"/>
            <w:tcMar>
              <w:top w:w="40" w:type="dxa"/>
              <w:left w:w="40" w:type="dxa"/>
              <w:bottom w:w="40" w:type="dxa"/>
            </w:tcMar>
            <w:vAlign w:val="bottom"/>
          </w:tcPr>
          <w:p w14:paraId="2A739FD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46,291</w:t>
            </w:r>
          </w:p>
        </w:tc>
        <w:tc>
          <w:tcPr>
            <w:tcW w:w="0" w:type="auto"/>
            <w:tcBorders>
              <w:bottom w:val="single" w:sz="8" w:space="0" w:color="000000"/>
            </w:tcBorders>
            <w:shd w:val="clear" w:color="auto" w:fill="EFEFEF"/>
            <w:vAlign w:val="bottom"/>
          </w:tcPr>
          <w:p w14:paraId="2A739FD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D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w:t>
            </w:r>
          </w:p>
        </w:tc>
        <w:tc>
          <w:tcPr>
            <w:tcW w:w="0" w:type="auto"/>
            <w:shd w:val="clear" w:color="auto" w:fill="EFEFEF"/>
            <w:tcMar>
              <w:top w:w="40" w:type="dxa"/>
              <w:bottom w:w="40" w:type="dxa"/>
              <w:right w:w="40" w:type="dxa"/>
            </w:tcMar>
            <w:vAlign w:val="bottom"/>
          </w:tcPr>
          <w:p w14:paraId="2A739FD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w:t>
            </w:r>
          </w:p>
        </w:tc>
        <w:tc>
          <w:tcPr>
            <w:tcW w:w="0" w:type="auto"/>
            <w:shd w:val="clear" w:color="auto" w:fill="EFEFEF"/>
            <w:tcMar>
              <w:top w:w="40" w:type="dxa"/>
              <w:left w:w="40" w:type="dxa"/>
              <w:bottom w:w="40" w:type="dxa"/>
              <w:right w:w="40" w:type="dxa"/>
            </w:tcMar>
            <w:vAlign w:val="bottom"/>
          </w:tcPr>
          <w:p w14:paraId="2A739FE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9FE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39,748</w:t>
            </w:r>
          </w:p>
        </w:tc>
        <w:tc>
          <w:tcPr>
            <w:tcW w:w="0" w:type="auto"/>
            <w:tcBorders>
              <w:bottom w:val="single" w:sz="8" w:space="0" w:color="000000"/>
            </w:tcBorders>
            <w:shd w:val="clear" w:color="auto" w:fill="EFEFEF"/>
            <w:vAlign w:val="bottom"/>
          </w:tcPr>
          <w:p w14:paraId="2A739FE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9FE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9FE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w:t>
            </w:r>
          </w:p>
        </w:tc>
        <w:tc>
          <w:tcPr>
            <w:tcW w:w="0" w:type="auto"/>
            <w:shd w:val="clear" w:color="auto" w:fill="EFEFEF"/>
            <w:tcMar>
              <w:top w:w="40" w:type="dxa"/>
              <w:bottom w:w="40" w:type="dxa"/>
              <w:right w:w="40" w:type="dxa"/>
            </w:tcMar>
            <w:vAlign w:val="bottom"/>
          </w:tcPr>
          <w:p w14:paraId="2A739FE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w:t>
            </w:r>
          </w:p>
        </w:tc>
        <w:tc>
          <w:tcPr>
            <w:tcW w:w="0" w:type="auto"/>
            <w:shd w:val="clear" w:color="auto" w:fill="EFEFEF"/>
            <w:tcMar>
              <w:top w:w="40" w:type="dxa"/>
              <w:left w:w="40" w:type="dxa"/>
              <w:bottom w:w="40" w:type="dxa"/>
              <w:right w:w="40" w:type="dxa"/>
            </w:tcMar>
            <w:vAlign w:val="bottom"/>
          </w:tcPr>
          <w:p w14:paraId="2A739FE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9FE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32,700</w:t>
            </w:r>
          </w:p>
        </w:tc>
        <w:tc>
          <w:tcPr>
            <w:tcW w:w="0" w:type="auto"/>
            <w:tcBorders>
              <w:bottom w:val="single" w:sz="8" w:space="0" w:color="000000"/>
            </w:tcBorders>
            <w:shd w:val="clear" w:color="auto" w:fill="EFEFEF"/>
            <w:vAlign w:val="bottom"/>
          </w:tcPr>
          <w:p w14:paraId="2A739FE8" w14:textId="77777777" w:rsidR="00FA5565" w:rsidRDefault="00FA5565">
            <w:pPr>
              <w:textAlignment w:val="bottom"/>
              <w:rPr>
                <w:rFonts w:ascii="Times New Roman" w:hAnsi="Times New Roman"/>
                <w:sz w:val="20"/>
                <w:szCs w:val="20"/>
              </w:rPr>
            </w:pPr>
          </w:p>
        </w:tc>
      </w:tr>
      <w:tr w:rsidR="00FA5565" w14:paraId="2A739FFC" w14:textId="77777777">
        <w:tc>
          <w:tcPr>
            <w:tcW w:w="0" w:type="auto"/>
            <w:shd w:val="clear" w:color="auto" w:fill="auto"/>
            <w:tcMar>
              <w:top w:w="40" w:type="dxa"/>
              <w:left w:w="1040" w:type="dxa"/>
              <w:bottom w:w="40" w:type="dxa"/>
              <w:right w:w="40" w:type="dxa"/>
            </w:tcMar>
            <w:vAlign w:val="bottom"/>
          </w:tcPr>
          <w:p w14:paraId="2A739FE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Total net sales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9FE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9FE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260,174</w:t>
            </w:r>
          </w:p>
        </w:tc>
        <w:tc>
          <w:tcPr>
            <w:tcW w:w="0" w:type="auto"/>
            <w:tcBorders>
              <w:top w:val="single" w:sz="8" w:space="0" w:color="000000"/>
              <w:bottom w:val="double" w:sz="6" w:space="0" w:color="000000"/>
            </w:tcBorders>
            <w:shd w:val="clear" w:color="auto" w:fill="auto"/>
            <w:vAlign w:val="bottom"/>
          </w:tcPr>
          <w:p w14:paraId="2A739FE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E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E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shd w:val="clear" w:color="auto" w:fill="auto"/>
            <w:tcMar>
              <w:top w:w="40" w:type="dxa"/>
              <w:bottom w:w="40" w:type="dxa"/>
              <w:right w:w="40" w:type="dxa"/>
            </w:tcMar>
            <w:vAlign w:val="bottom"/>
          </w:tcPr>
          <w:p w14:paraId="2A739FF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9F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9FF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9FF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265,595</w:t>
            </w:r>
          </w:p>
        </w:tc>
        <w:tc>
          <w:tcPr>
            <w:tcW w:w="0" w:type="auto"/>
            <w:tcBorders>
              <w:top w:val="single" w:sz="8" w:space="0" w:color="000000"/>
              <w:bottom w:val="double" w:sz="6" w:space="0" w:color="000000"/>
            </w:tcBorders>
            <w:shd w:val="clear" w:color="auto" w:fill="auto"/>
            <w:vAlign w:val="bottom"/>
          </w:tcPr>
          <w:p w14:paraId="2A739FF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9FF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9FF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w:t>
            </w:r>
          </w:p>
        </w:tc>
        <w:tc>
          <w:tcPr>
            <w:tcW w:w="0" w:type="auto"/>
            <w:shd w:val="clear" w:color="auto" w:fill="auto"/>
            <w:tcMar>
              <w:top w:w="40" w:type="dxa"/>
              <w:bottom w:w="40" w:type="dxa"/>
              <w:right w:w="40" w:type="dxa"/>
            </w:tcMar>
            <w:vAlign w:val="bottom"/>
          </w:tcPr>
          <w:p w14:paraId="2A739FF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w:t>
            </w:r>
          </w:p>
        </w:tc>
        <w:tc>
          <w:tcPr>
            <w:tcW w:w="0" w:type="auto"/>
            <w:shd w:val="clear" w:color="auto" w:fill="auto"/>
            <w:tcMar>
              <w:top w:w="40" w:type="dxa"/>
              <w:left w:w="40" w:type="dxa"/>
              <w:bottom w:w="40" w:type="dxa"/>
              <w:right w:w="40" w:type="dxa"/>
            </w:tcMar>
            <w:vAlign w:val="bottom"/>
          </w:tcPr>
          <w:p w14:paraId="2A739FF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9FF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9FF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229,234</w:t>
            </w:r>
          </w:p>
        </w:tc>
        <w:tc>
          <w:tcPr>
            <w:tcW w:w="0" w:type="auto"/>
            <w:tcBorders>
              <w:top w:val="single" w:sz="8" w:space="0" w:color="000000"/>
              <w:bottom w:val="double" w:sz="6" w:space="0" w:color="000000"/>
            </w:tcBorders>
            <w:shd w:val="clear" w:color="auto" w:fill="auto"/>
            <w:vAlign w:val="bottom"/>
          </w:tcPr>
          <w:p w14:paraId="2A739FFB" w14:textId="77777777" w:rsidR="00FA5565" w:rsidRDefault="00FA5565">
            <w:pPr>
              <w:textAlignment w:val="bottom"/>
              <w:rPr>
                <w:rFonts w:ascii="Times New Roman" w:hAnsi="Times New Roman"/>
                <w:sz w:val="20"/>
                <w:szCs w:val="20"/>
              </w:rPr>
            </w:pPr>
          </w:p>
        </w:tc>
      </w:tr>
    </w:tbl>
    <w:p w14:paraId="2A739FFD"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000" w14:textId="77777777">
        <w:trPr>
          <w:tblCellSpacing w:w="0" w:type="dxa"/>
        </w:trPr>
        <w:tc>
          <w:tcPr>
            <w:tcW w:w="960" w:type="dxa"/>
            <w:shd w:val="clear" w:color="auto" w:fill="auto"/>
            <w:vAlign w:val="center"/>
          </w:tcPr>
          <w:p w14:paraId="2A739FFE" w14:textId="77777777" w:rsidR="00FA5565" w:rsidRDefault="00FA5565">
            <w:pPr>
              <w:rPr>
                <w:rFonts w:ascii="Times New Roman" w:hAnsi="Times New Roman"/>
                <w:sz w:val="20"/>
                <w:szCs w:val="20"/>
              </w:rPr>
            </w:pPr>
          </w:p>
        </w:tc>
        <w:tc>
          <w:tcPr>
            <w:tcW w:w="0" w:type="auto"/>
            <w:shd w:val="clear" w:color="auto" w:fill="auto"/>
            <w:vAlign w:val="center"/>
          </w:tcPr>
          <w:p w14:paraId="2A739FFF" w14:textId="77777777" w:rsidR="00FA5565" w:rsidRDefault="00FA5565">
            <w:pPr>
              <w:rPr>
                <w:rFonts w:ascii="Times New Roman" w:hAnsi="Times New Roman"/>
                <w:sz w:val="20"/>
                <w:szCs w:val="20"/>
              </w:rPr>
            </w:pPr>
          </w:p>
        </w:tc>
      </w:tr>
      <w:tr w:rsidR="00FA5565" w14:paraId="2A73A003" w14:textId="77777777">
        <w:trPr>
          <w:tblCellSpacing w:w="0" w:type="dxa"/>
        </w:trPr>
        <w:tc>
          <w:tcPr>
            <w:tcW w:w="0" w:type="auto"/>
            <w:shd w:val="clear" w:color="auto" w:fill="auto"/>
          </w:tcPr>
          <w:p w14:paraId="2A73A001"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A002"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Products net sales include amortization of the deferred value of unspecified software upgrade rights, which are bundled in the sales price of the </w:t>
            </w:r>
            <w:r>
              <w:rPr>
                <w:rFonts w:ascii="Helvetica" w:eastAsia="Helvetica" w:hAnsi="Helvetica" w:cs="Helvetica"/>
                <w:sz w:val="16"/>
                <w:szCs w:val="16"/>
              </w:rPr>
              <w:t>respective product.</w:t>
            </w:r>
          </w:p>
        </w:tc>
      </w:tr>
    </w:tbl>
    <w:p w14:paraId="2A73A004"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007" w14:textId="77777777">
        <w:trPr>
          <w:tblCellSpacing w:w="0" w:type="dxa"/>
        </w:trPr>
        <w:tc>
          <w:tcPr>
            <w:tcW w:w="960" w:type="dxa"/>
            <w:shd w:val="clear" w:color="auto" w:fill="auto"/>
            <w:vAlign w:val="center"/>
          </w:tcPr>
          <w:p w14:paraId="2A73A005" w14:textId="77777777" w:rsidR="00FA5565" w:rsidRDefault="00FA5565">
            <w:pPr>
              <w:rPr>
                <w:rFonts w:ascii="Times New Roman" w:hAnsi="Times New Roman"/>
                <w:sz w:val="20"/>
                <w:szCs w:val="20"/>
              </w:rPr>
            </w:pPr>
          </w:p>
        </w:tc>
        <w:tc>
          <w:tcPr>
            <w:tcW w:w="0" w:type="auto"/>
            <w:shd w:val="clear" w:color="auto" w:fill="auto"/>
            <w:vAlign w:val="center"/>
          </w:tcPr>
          <w:p w14:paraId="2A73A006" w14:textId="77777777" w:rsidR="00FA5565" w:rsidRDefault="00FA5565">
            <w:pPr>
              <w:rPr>
                <w:rFonts w:ascii="Times New Roman" w:hAnsi="Times New Roman"/>
                <w:sz w:val="20"/>
                <w:szCs w:val="20"/>
              </w:rPr>
            </w:pPr>
          </w:p>
        </w:tc>
      </w:tr>
      <w:tr w:rsidR="00FA5565" w14:paraId="2A73A00A" w14:textId="77777777">
        <w:trPr>
          <w:tblCellSpacing w:w="0" w:type="dxa"/>
        </w:trPr>
        <w:tc>
          <w:tcPr>
            <w:tcW w:w="0" w:type="auto"/>
            <w:shd w:val="clear" w:color="auto" w:fill="auto"/>
          </w:tcPr>
          <w:p w14:paraId="2A73A008"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2A73A009"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Wearables, Home and Accessories net sales include sales of AirPods, Apple TV, Apple Watch, Beats products, HomePod, iPod touch and Apple-branded and third-party accessories.</w:t>
            </w:r>
          </w:p>
        </w:tc>
      </w:tr>
    </w:tbl>
    <w:p w14:paraId="2A73A00B"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00E" w14:textId="77777777">
        <w:trPr>
          <w:tblCellSpacing w:w="0" w:type="dxa"/>
        </w:trPr>
        <w:tc>
          <w:tcPr>
            <w:tcW w:w="960" w:type="dxa"/>
            <w:shd w:val="clear" w:color="auto" w:fill="auto"/>
            <w:vAlign w:val="center"/>
          </w:tcPr>
          <w:p w14:paraId="2A73A00C" w14:textId="77777777" w:rsidR="00FA5565" w:rsidRDefault="00FA5565">
            <w:pPr>
              <w:rPr>
                <w:rFonts w:ascii="Times New Roman" w:hAnsi="Times New Roman"/>
                <w:sz w:val="20"/>
                <w:szCs w:val="20"/>
              </w:rPr>
            </w:pPr>
          </w:p>
        </w:tc>
        <w:tc>
          <w:tcPr>
            <w:tcW w:w="0" w:type="auto"/>
            <w:shd w:val="clear" w:color="auto" w:fill="auto"/>
            <w:vAlign w:val="center"/>
          </w:tcPr>
          <w:p w14:paraId="2A73A00D" w14:textId="77777777" w:rsidR="00FA5565" w:rsidRDefault="00FA5565">
            <w:pPr>
              <w:rPr>
                <w:rFonts w:ascii="Times New Roman" w:hAnsi="Times New Roman"/>
                <w:sz w:val="20"/>
                <w:szCs w:val="20"/>
              </w:rPr>
            </w:pPr>
          </w:p>
        </w:tc>
      </w:tr>
      <w:tr w:rsidR="00FA5565" w14:paraId="2A73A011" w14:textId="77777777">
        <w:trPr>
          <w:tblCellSpacing w:w="0" w:type="dxa"/>
        </w:trPr>
        <w:tc>
          <w:tcPr>
            <w:tcW w:w="0" w:type="auto"/>
            <w:shd w:val="clear" w:color="auto" w:fill="auto"/>
          </w:tcPr>
          <w:p w14:paraId="2A73A00F"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(3)</w:t>
            </w:r>
          </w:p>
        </w:tc>
        <w:tc>
          <w:tcPr>
            <w:tcW w:w="0" w:type="auto"/>
            <w:shd w:val="clear" w:color="auto" w:fill="auto"/>
          </w:tcPr>
          <w:p w14:paraId="2A73A010"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Services net sales include sales from the </w:t>
            </w:r>
            <w:r>
              <w:rPr>
                <w:rFonts w:ascii="Helvetica" w:eastAsia="Helvetica" w:hAnsi="Helvetica" w:cs="Helvetica"/>
                <w:sz w:val="16"/>
                <w:szCs w:val="16"/>
              </w:rPr>
              <w:t>Company’s digital content stores and streaming services, AppleCare, licensing and other services. Services net sales also include amortization of the deferred value of Maps, Siri and free iCloud services, which are bundled in the sales price of certain pro</w:t>
            </w:r>
            <w:r>
              <w:rPr>
                <w:rFonts w:ascii="Helvetica" w:eastAsia="Helvetica" w:hAnsi="Helvetica" w:cs="Helvetica"/>
                <w:sz w:val="16"/>
                <w:szCs w:val="16"/>
              </w:rPr>
              <w:t>ducts.</w:t>
            </w:r>
          </w:p>
        </w:tc>
      </w:tr>
    </w:tbl>
    <w:p w14:paraId="2A73A012"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iPhone</w:t>
      </w:r>
    </w:p>
    <w:p w14:paraId="2A73A01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iPhone net sales decreased during 2019 compared to 2018 due primarily to lower iPhone unit sales.</w:t>
      </w:r>
    </w:p>
    <w:p w14:paraId="2A73A014"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Mac</w:t>
      </w:r>
    </w:p>
    <w:p w14:paraId="2A73A015"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8"/>
          <w:szCs w:val="18"/>
        </w:rPr>
        <w:t xml:space="preserve">Mac net sales increased during 2019 compared to 2018 due primarily to higher net sales of MacBook Air, partially offset by lower net </w:t>
      </w:r>
      <w:r>
        <w:rPr>
          <w:rFonts w:ascii="Helvetica" w:eastAsia="Helvetica" w:hAnsi="Helvetica" w:cs="Helvetica"/>
          <w:sz w:val="18"/>
          <w:szCs w:val="18"/>
        </w:rPr>
        <w:t>sales of MacBook</w:t>
      </w:r>
      <w:r>
        <w:rPr>
          <w:rFonts w:ascii="Helvetica" w:eastAsia="Helvetica" w:hAnsi="Helvetica" w:cs="Helvetica"/>
          <w:sz w:val="20"/>
          <w:szCs w:val="20"/>
        </w:rPr>
        <w:t>®</w:t>
      </w:r>
      <w:r>
        <w:rPr>
          <w:rFonts w:ascii="Helvetica" w:eastAsia="Helvetica" w:hAnsi="Helvetica" w:cs="Helvetica"/>
          <w:sz w:val="18"/>
          <w:szCs w:val="18"/>
        </w:rPr>
        <w:t xml:space="preserve"> and MacBook Pro</w:t>
      </w:r>
      <w:r>
        <w:rPr>
          <w:rFonts w:ascii="Helvetica" w:eastAsia="Helvetica" w:hAnsi="Helvetica" w:cs="Helvetica"/>
          <w:sz w:val="20"/>
          <w:szCs w:val="20"/>
        </w:rPr>
        <w:t>®</w:t>
      </w:r>
      <w:r>
        <w:rPr>
          <w:rFonts w:ascii="Helvetica" w:eastAsia="Helvetica" w:hAnsi="Helvetica" w:cs="Helvetica"/>
          <w:sz w:val="18"/>
          <w:szCs w:val="18"/>
        </w:rPr>
        <w:t>.</w:t>
      </w:r>
    </w:p>
    <w:p w14:paraId="2A73A016"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iPad</w:t>
      </w:r>
    </w:p>
    <w:p w14:paraId="2A73A01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iPad net sales increased during 2019 compared to 2018 due primarily to higher net sales of iPad Pro.</w:t>
      </w:r>
    </w:p>
    <w:p w14:paraId="2A73A018"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Wearables, Home and Accessories</w:t>
      </w:r>
    </w:p>
    <w:p w14:paraId="2A73A01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Wearables, Home and Accessories net sales increased during 2019 compared to 2018 d</w:t>
      </w:r>
      <w:r>
        <w:rPr>
          <w:rFonts w:ascii="Helvetica" w:eastAsia="Helvetica" w:hAnsi="Helvetica" w:cs="Helvetica"/>
          <w:sz w:val="18"/>
          <w:szCs w:val="18"/>
        </w:rPr>
        <w:t>ue primarily to higher net sales of AirPods and Apple Watch.</w:t>
      </w:r>
    </w:p>
    <w:p w14:paraId="2A73A01A"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Services</w:t>
      </w:r>
    </w:p>
    <w:p w14:paraId="2A73A01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Services net sales increased during 2019 compared to 2018 due primarily to higher net sales from the App Store, licensing and AppleCare.</w:t>
      </w:r>
    </w:p>
    <w:p w14:paraId="2A73A01C" w14:textId="77777777" w:rsidR="00FA5565" w:rsidRDefault="00FA5565">
      <w:pPr>
        <w:rPr>
          <w:rFonts w:ascii="Times New Roman" w:hAnsi="Times New Roman"/>
          <w:sz w:val="20"/>
          <w:szCs w:val="20"/>
        </w:rPr>
      </w:pPr>
    </w:p>
    <w:p w14:paraId="2A73A01D"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19</w:t>
      </w:r>
    </w:p>
    <w:p w14:paraId="2A73A01E" w14:textId="77777777" w:rsidR="00FA5565" w:rsidRDefault="00D804D1">
      <w:r>
        <w:rPr>
          <w:rFonts w:ascii="Times New Roman" w:hAnsi="Times New Roman"/>
          <w:sz w:val="16"/>
          <w:szCs w:val="16"/>
        </w:rPr>
        <w:pict w14:anchorId="2A73C0AF">
          <v:rect id="_x0000_i1045" style="width:415.3pt;height:1.5pt" o:hralign="center" o:hrstd="t" o:hr="t" fillcolor="#a0a0a0" stroked="f"/>
        </w:pict>
      </w:r>
    </w:p>
    <w:p w14:paraId="2A73A01F" w14:textId="77777777" w:rsidR="00FA5565" w:rsidRDefault="00FA5565">
      <w:pPr>
        <w:rPr>
          <w:rFonts w:ascii="Times New Roman" w:hAnsi="Times New Roman"/>
          <w:sz w:val="20"/>
          <w:szCs w:val="20"/>
        </w:rPr>
      </w:pPr>
    </w:p>
    <w:p w14:paraId="2A73A020"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Segment Operating Performance</w:t>
      </w:r>
    </w:p>
    <w:p w14:paraId="2A73A02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manages its business primarily on a geographic basis. The Company’s reportable segments consist of the Americas, Europe, Greater China, Japan and Rest of Asia Pacific. Americas includes both North and South America</w:t>
      </w:r>
      <w:r>
        <w:rPr>
          <w:rFonts w:ascii="Helvetica" w:eastAsia="Helvetica" w:hAnsi="Helvetica" w:cs="Helvetica"/>
          <w:sz w:val="18"/>
          <w:szCs w:val="18"/>
        </w:rPr>
        <w:t>. Europe includes European countries, as well as India, the Middle East and Africa. Greater China includes China, Hong Kong and Taiwan. Rest of Asia Pacific includes Australia and those Asian countries not included in the Company’s other reportable segment</w:t>
      </w:r>
      <w:r>
        <w:rPr>
          <w:rFonts w:ascii="Helvetica" w:eastAsia="Helvetica" w:hAnsi="Helvetica" w:cs="Helvetica"/>
          <w:sz w:val="18"/>
          <w:szCs w:val="18"/>
        </w:rPr>
        <w:t>s. Although the reportable segments provide similar hardware and software products and similar services, each one is managed separately to better align with the location of the Company’s customers and distribution partners and the unique market dynamics of</w:t>
      </w:r>
      <w:r>
        <w:rPr>
          <w:rFonts w:ascii="Helvetica" w:eastAsia="Helvetica" w:hAnsi="Helvetica" w:cs="Helvetica"/>
          <w:sz w:val="18"/>
          <w:szCs w:val="18"/>
        </w:rPr>
        <w:t xml:space="preserve"> each geographic region. Further information regarding the Company’s reportable segments can be found in Part II, Item 8 of this Form 10-K in the Notes to Consolidated Financial Statements in Note 11, “Segment Information and Geographic Data.”</w:t>
      </w:r>
    </w:p>
    <w:p w14:paraId="2A73A02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w:t>
      </w:r>
      <w:r>
        <w:rPr>
          <w:rFonts w:ascii="Helvetica" w:eastAsia="Helvetica" w:hAnsi="Helvetica" w:cs="Helvetica"/>
          <w:sz w:val="18"/>
          <w:szCs w:val="18"/>
        </w:rPr>
        <w:t>g table shows net sales by reportable segment for 2019, 2018 and 2017 (dollars in millions):</w:t>
      </w:r>
    </w:p>
    <w:tbl>
      <w:tblPr>
        <w:tblW w:w="5000" w:type="pct"/>
        <w:tblCellMar>
          <w:left w:w="0" w:type="dxa"/>
          <w:right w:w="0" w:type="dxa"/>
        </w:tblCellMar>
        <w:tblLook w:val="04A0" w:firstRow="1" w:lastRow="0" w:firstColumn="1" w:lastColumn="0" w:noHBand="0" w:noVBand="1"/>
      </w:tblPr>
      <w:tblGrid>
        <w:gridCol w:w="3248"/>
        <w:gridCol w:w="141"/>
        <w:gridCol w:w="758"/>
        <w:gridCol w:w="10"/>
        <w:gridCol w:w="130"/>
        <w:gridCol w:w="675"/>
        <w:gridCol w:w="260"/>
        <w:gridCol w:w="130"/>
        <w:gridCol w:w="141"/>
        <w:gridCol w:w="758"/>
        <w:gridCol w:w="10"/>
        <w:gridCol w:w="130"/>
        <w:gridCol w:w="675"/>
        <w:gridCol w:w="201"/>
        <w:gridCol w:w="130"/>
        <w:gridCol w:w="141"/>
        <w:gridCol w:w="758"/>
        <w:gridCol w:w="10"/>
      </w:tblGrid>
      <w:tr w:rsidR="00FA5565" w14:paraId="2A73A024" w14:textId="77777777">
        <w:tc>
          <w:tcPr>
            <w:tcW w:w="0" w:type="auto"/>
            <w:gridSpan w:val="18"/>
            <w:shd w:val="clear" w:color="auto" w:fill="auto"/>
            <w:vAlign w:val="center"/>
          </w:tcPr>
          <w:p w14:paraId="2A73A023" w14:textId="77777777" w:rsidR="00FA5565" w:rsidRDefault="00FA5565">
            <w:pPr>
              <w:rPr>
                <w:rFonts w:ascii="Times New Roman" w:hAnsi="Times New Roman"/>
                <w:sz w:val="20"/>
                <w:szCs w:val="20"/>
              </w:rPr>
            </w:pPr>
          </w:p>
        </w:tc>
      </w:tr>
      <w:tr w:rsidR="00FA5565" w14:paraId="2A73A037" w14:textId="77777777">
        <w:tc>
          <w:tcPr>
            <w:tcW w:w="2000" w:type="pct"/>
            <w:shd w:val="clear" w:color="auto" w:fill="auto"/>
            <w:vAlign w:val="center"/>
          </w:tcPr>
          <w:p w14:paraId="2A73A025" w14:textId="77777777" w:rsidR="00FA5565" w:rsidRDefault="00FA5565">
            <w:pPr>
              <w:rPr>
                <w:rFonts w:ascii="Times New Roman" w:hAnsi="Times New Roman"/>
                <w:sz w:val="20"/>
                <w:szCs w:val="20"/>
              </w:rPr>
            </w:pPr>
          </w:p>
        </w:tc>
        <w:tc>
          <w:tcPr>
            <w:tcW w:w="50" w:type="pct"/>
            <w:shd w:val="clear" w:color="auto" w:fill="auto"/>
            <w:vAlign w:val="center"/>
          </w:tcPr>
          <w:p w14:paraId="2A73A026" w14:textId="77777777" w:rsidR="00FA5565" w:rsidRDefault="00FA5565">
            <w:pPr>
              <w:rPr>
                <w:rFonts w:ascii="Times New Roman" w:hAnsi="Times New Roman"/>
                <w:sz w:val="20"/>
                <w:szCs w:val="20"/>
              </w:rPr>
            </w:pPr>
          </w:p>
        </w:tc>
        <w:tc>
          <w:tcPr>
            <w:tcW w:w="500" w:type="pct"/>
            <w:shd w:val="clear" w:color="auto" w:fill="auto"/>
            <w:vAlign w:val="center"/>
          </w:tcPr>
          <w:p w14:paraId="2A73A027" w14:textId="77777777" w:rsidR="00FA5565" w:rsidRDefault="00FA5565">
            <w:pPr>
              <w:rPr>
                <w:rFonts w:ascii="Times New Roman" w:hAnsi="Times New Roman"/>
                <w:sz w:val="20"/>
                <w:szCs w:val="20"/>
              </w:rPr>
            </w:pPr>
          </w:p>
        </w:tc>
        <w:tc>
          <w:tcPr>
            <w:tcW w:w="50" w:type="pct"/>
            <w:shd w:val="clear" w:color="auto" w:fill="auto"/>
            <w:vAlign w:val="center"/>
          </w:tcPr>
          <w:p w14:paraId="2A73A028" w14:textId="77777777" w:rsidR="00FA5565" w:rsidRDefault="00FA5565">
            <w:pPr>
              <w:rPr>
                <w:rFonts w:ascii="Times New Roman" w:hAnsi="Times New Roman"/>
                <w:sz w:val="20"/>
                <w:szCs w:val="20"/>
              </w:rPr>
            </w:pPr>
          </w:p>
        </w:tc>
        <w:tc>
          <w:tcPr>
            <w:tcW w:w="50" w:type="pct"/>
            <w:shd w:val="clear" w:color="auto" w:fill="auto"/>
            <w:vAlign w:val="center"/>
          </w:tcPr>
          <w:p w14:paraId="2A73A029" w14:textId="77777777" w:rsidR="00FA5565" w:rsidRDefault="00FA5565">
            <w:pPr>
              <w:rPr>
                <w:rFonts w:ascii="Times New Roman" w:hAnsi="Times New Roman"/>
                <w:sz w:val="20"/>
                <w:szCs w:val="20"/>
              </w:rPr>
            </w:pPr>
          </w:p>
        </w:tc>
        <w:tc>
          <w:tcPr>
            <w:tcW w:w="450" w:type="pct"/>
            <w:shd w:val="clear" w:color="auto" w:fill="auto"/>
            <w:vAlign w:val="center"/>
          </w:tcPr>
          <w:p w14:paraId="2A73A02A" w14:textId="77777777" w:rsidR="00FA5565" w:rsidRDefault="00FA5565">
            <w:pPr>
              <w:rPr>
                <w:rFonts w:ascii="Times New Roman" w:hAnsi="Times New Roman"/>
                <w:sz w:val="20"/>
                <w:szCs w:val="20"/>
              </w:rPr>
            </w:pPr>
          </w:p>
        </w:tc>
        <w:tc>
          <w:tcPr>
            <w:tcW w:w="50" w:type="pct"/>
            <w:shd w:val="clear" w:color="auto" w:fill="auto"/>
            <w:vAlign w:val="center"/>
          </w:tcPr>
          <w:p w14:paraId="2A73A02B" w14:textId="77777777" w:rsidR="00FA5565" w:rsidRDefault="00FA5565">
            <w:pPr>
              <w:rPr>
                <w:rFonts w:ascii="Times New Roman" w:hAnsi="Times New Roman"/>
                <w:sz w:val="20"/>
                <w:szCs w:val="20"/>
              </w:rPr>
            </w:pPr>
          </w:p>
        </w:tc>
        <w:tc>
          <w:tcPr>
            <w:tcW w:w="50" w:type="pct"/>
            <w:shd w:val="clear" w:color="auto" w:fill="auto"/>
            <w:vAlign w:val="center"/>
          </w:tcPr>
          <w:p w14:paraId="2A73A02C" w14:textId="77777777" w:rsidR="00FA5565" w:rsidRDefault="00FA5565">
            <w:pPr>
              <w:rPr>
                <w:rFonts w:ascii="Times New Roman" w:hAnsi="Times New Roman"/>
                <w:sz w:val="20"/>
                <w:szCs w:val="20"/>
              </w:rPr>
            </w:pPr>
          </w:p>
        </w:tc>
        <w:tc>
          <w:tcPr>
            <w:tcW w:w="50" w:type="pct"/>
            <w:shd w:val="clear" w:color="auto" w:fill="auto"/>
            <w:vAlign w:val="center"/>
          </w:tcPr>
          <w:p w14:paraId="2A73A02D" w14:textId="77777777" w:rsidR="00FA5565" w:rsidRDefault="00FA5565">
            <w:pPr>
              <w:rPr>
                <w:rFonts w:ascii="Times New Roman" w:hAnsi="Times New Roman"/>
                <w:sz w:val="20"/>
                <w:szCs w:val="20"/>
              </w:rPr>
            </w:pPr>
          </w:p>
        </w:tc>
        <w:tc>
          <w:tcPr>
            <w:tcW w:w="500" w:type="pct"/>
            <w:shd w:val="clear" w:color="auto" w:fill="auto"/>
            <w:vAlign w:val="center"/>
          </w:tcPr>
          <w:p w14:paraId="2A73A02E" w14:textId="77777777" w:rsidR="00FA5565" w:rsidRDefault="00FA5565">
            <w:pPr>
              <w:rPr>
                <w:rFonts w:ascii="Times New Roman" w:hAnsi="Times New Roman"/>
                <w:sz w:val="20"/>
                <w:szCs w:val="20"/>
              </w:rPr>
            </w:pPr>
          </w:p>
        </w:tc>
        <w:tc>
          <w:tcPr>
            <w:tcW w:w="50" w:type="pct"/>
            <w:shd w:val="clear" w:color="auto" w:fill="auto"/>
            <w:vAlign w:val="center"/>
          </w:tcPr>
          <w:p w14:paraId="2A73A02F" w14:textId="77777777" w:rsidR="00FA5565" w:rsidRDefault="00FA5565">
            <w:pPr>
              <w:rPr>
                <w:rFonts w:ascii="Times New Roman" w:hAnsi="Times New Roman"/>
                <w:sz w:val="20"/>
                <w:szCs w:val="20"/>
              </w:rPr>
            </w:pPr>
          </w:p>
        </w:tc>
        <w:tc>
          <w:tcPr>
            <w:tcW w:w="50" w:type="pct"/>
            <w:shd w:val="clear" w:color="auto" w:fill="auto"/>
            <w:vAlign w:val="center"/>
          </w:tcPr>
          <w:p w14:paraId="2A73A030" w14:textId="77777777" w:rsidR="00FA5565" w:rsidRDefault="00FA5565">
            <w:pPr>
              <w:rPr>
                <w:rFonts w:ascii="Times New Roman" w:hAnsi="Times New Roman"/>
                <w:sz w:val="20"/>
                <w:szCs w:val="20"/>
              </w:rPr>
            </w:pPr>
          </w:p>
        </w:tc>
        <w:tc>
          <w:tcPr>
            <w:tcW w:w="450" w:type="pct"/>
            <w:shd w:val="clear" w:color="auto" w:fill="auto"/>
            <w:vAlign w:val="center"/>
          </w:tcPr>
          <w:p w14:paraId="2A73A031" w14:textId="77777777" w:rsidR="00FA5565" w:rsidRDefault="00FA5565">
            <w:pPr>
              <w:rPr>
                <w:rFonts w:ascii="Times New Roman" w:hAnsi="Times New Roman"/>
                <w:sz w:val="20"/>
                <w:szCs w:val="20"/>
              </w:rPr>
            </w:pPr>
          </w:p>
        </w:tc>
        <w:tc>
          <w:tcPr>
            <w:tcW w:w="50" w:type="pct"/>
            <w:shd w:val="clear" w:color="auto" w:fill="auto"/>
            <w:vAlign w:val="center"/>
          </w:tcPr>
          <w:p w14:paraId="2A73A032" w14:textId="77777777" w:rsidR="00FA5565" w:rsidRDefault="00FA5565">
            <w:pPr>
              <w:rPr>
                <w:rFonts w:ascii="Times New Roman" w:hAnsi="Times New Roman"/>
                <w:sz w:val="20"/>
                <w:szCs w:val="20"/>
              </w:rPr>
            </w:pPr>
          </w:p>
        </w:tc>
        <w:tc>
          <w:tcPr>
            <w:tcW w:w="50" w:type="pct"/>
            <w:shd w:val="clear" w:color="auto" w:fill="auto"/>
            <w:vAlign w:val="center"/>
          </w:tcPr>
          <w:p w14:paraId="2A73A033" w14:textId="77777777" w:rsidR="00FA5565" w:rsidRDefault="00FA5565">
            <w:pPr>
              <w:rPr>
                <w:rFonts w:ascii="Times New Roman" w:hAnsi="Times New Roman"/>
                <w:sz w:val="20"/>
                <w:szCs w:val="20"/>
              </w:rPr>
            </w:pPr>
          </w:p>
        </w:tc>
        <w:tc>
          <w:tcPr>
            <w:tcW w:w="50" w:type="pct"/>
            <w:shd w:val="clear" w:color="auto" w:fill="auto"/>
            <w:vAlign w:val="center"/>
          </w:tcPr>
          <w:p w14:paraId="2A73A034" w14:textId="77777777" w:rsidR="00FA5565" w:rsidRDefault="00FA5565">
            <w:pPr>
              <w:rPr>
                <w:rFonts w:ascii="Times New Roman" w:hAnsi="Times New Roman"/>
                <w:sz w:val="20"/>
                <w:szCs w:val="20"/>
              </w:rPr>
            </w:pPr>
          </w:p>
        </w:tc>
        <w:tc>
          <w:tcPr>
            <w:tcW w:w="500" w:type="pct"/>
            <w:shd w:val="clear" w:color="auto" w:fill="auto"/>
            <w:vAlign w:val="center"/>
          </w:tcPr>
          <w:p w14:paraId="2A73A035" w14:textId="77777777" w:rsidR="00FA5565" w:rsidRDefault="00FA5565">
            <w:pPr>
              <w:rPr>
                <w:rFonts w:ascii="Times New Roman" w:hAnsi="Times New Roman"/>
                <w:sz w:val="20"/>
                <w:szCs w:val="20"/>
              </w:rPr>
            </w:pPr>
          </w:p>
        </w:tc>
        <w:tc>
          <w:tcPr>
            <w:tcW w:w="50" w:type="pct"/>
            <w:shd w:val="clear" w:color="auto" w:fill="auto"/>
            <w:vAlign w:val="center"/>
          </w:tcPr>
          <w:p w14:paraId="2A73A036" w14:textId="77777777" w:rsidR="00FA5565" w:rsidRDefault="00FA5565">
            <w:pPr>
              <w:rPr>
                <w:rFonts w:ascii="Times New Roman" w:hAnsi="Times New Roman"/>
                <w:sz w:val="20"/>
                <w:szCs w:val="20"/>
              </w:rPr>
            </w:pPr>
          </w:p>
        </w:tc>
      </w:tr>
      <w:tr w:rsidR="00FA5565" w14:paraId="2A73A042" w14:textId="77777777">
        <w:tc>
          <w:tcPr>
            <w:tcW w:w="0" w:type="auto"/>
            <w:shd w:val="clear" w:color="auto" w:fill="auto"/>
            <w:tcMar>
              <w:top w:w="40" w:type="dxa"/>
              <w:left w:w="40" w:type="dxa"/>
              <w:bottom w:w="40" w:type="dxa"/>
              <w:right w:w="40" w:type="dxa"/>
            </w:tcMar>
            <w:vAlign w:val="bottom"/>
          </w:tcPr>
          <w:p w14:paraId="2A73A0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03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A0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A03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Change</w:t>
            </w:r>
          </w:p>
        </w:tc>
        <w:tc>
          <w:tcPr>
            <w:tcW w:w="0" w:type="auto"/>
            <w:shd w:val="clear" w:color="auto" w:fill="auto"/>
            <w:tcMar>
              <w:top w:w="40" w:type="dxa"/>
              <w:left w:w="40" w:type="dxa"/>
              <w:bottom w:w="40" w:type="dxa"/>
              <w:right w:w="40" w:type="dxa"/>
            </w:tcMar>
            <w:vAlign w:val="bottom"/>
          </w:tcPr>
          <w:p w14:paraId="2A73A0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03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A03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A03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Change</w:t>
            </w:r>
          </w:p>
        </w:tc>
        <w:tc>
          <w:tcPr>
            <w:tcW w:w="0" w:type="auto"/>
            <w:shd w:val="clear" w:color="auto" w:fill="auto"/>
            <w:tcMar>
              <w:top w:w="40" w:type="dxa"/>
              <w:left w:w="40" w:type="dxa"/>
              <w:bottom w:w="40" w:type="dxa"/>
              <w:right w:w="40" w:type="dxa"/>
            </w:tcMar>
            <w:vAlign w:val="bottom"/>
          </w:tcPr>
          <w:p w14:paraId="2A73A04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04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A04D" w14:textId="77777777">
        <w:tc>
          <w:tcPr>
            <w:tcW w:w="0" w:type="auto"/>
            <w:shd w:val="clear" w:color="auto" w:fill="auto"/>
            <w:tcMar>
              <w:top w:w="40" w:type="dxa"/>
              <w:left w:w="40" w:type="dxa"/>
              <w:bottom w:w="40" w:type="dxa"/>
              <w:right w:w="40" w:type="dxa"/>
            </w:tcMar>
            <w:vAlign w:val="bottom"/>
          </w:tcPr>
          <w:p w14:paraId="2A73A04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Net sales by reportable segment:</w:t>
            </w:r>
          </w:p>
        </w:tc>
        <w:tc>
          <w:tcPr>
            <w:tcW w:w="0" w:type="auto"/>
            <w:gridSpan w:val="3"/>
            <w:shd w:val="clear" w:color="auto" w:fill="auto"/>
            <w:tcMar>
              <w:top w:w="40" w:type="dxa"/>
              <w:left w:w="40" w:type="dxa"/>
              <w:bottom w:w="40" w:type="dxa"/>
              <w:right w:w="40" w:type="dxa"/>
            </w:tcMar>
            <w:vAlign w:val="bottom"/>
          </w:tcPr>
          <w:p w14:paraId="2A73A04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0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A0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04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04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0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A04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0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04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060" w14:textId="77777777">
        <w:tc>
          <w:tcPr>
            <w:tcW w:w="0" w:type="auto"/>
            <w:shd w:val="clear" w:color="auto" w:fill="EFEFEF"/>
            <w:tcMar>
              <w:top w:w="40" w:type="dxa"/>
              <w:left w:w="40" w:type="dxa"/>
              <w:bottom w:w="40" w:type="dxa"/>
              <w:right w:w="40" w:type="dxa"/>
            </w:tcMar>
            <w:vAlign w:val="bottom"/>
          </w:tcPr>
          <w:p w14:paraId="2A73A04E" w14:textId="77777777" w:rsidR="00FA5565" w:rsidRDefault="00D804D1">
            <w:pPr>
              <w:ind w:firstLine="520"/>
              <w:textAlignment w:val="bottom"/>
              <w:rPr>
                <w:rFonts w:ascii="Times New Roman" w:hAnsi="Times New Roman"/>
                <w:sz w:val="18"/>
                <w:szCs w:val="18"/>
              </w:rPr>
            </w:pPr>
            <w:r>
              <w:rPr>
                <w:rFonts w:ascii="Helvetica" w:eastAsia="Helvetica" w:hAnsi="Helvetica" w:cs="Helvetica"/>
                <w:sz w:val="18"/>
                <w:szCs w:val="18"/>
              </w:rPr>
              <w:t>Americas</w:t>
            </w:r>
          </w:p>
        </w:tc>
        <w:tc>
          <w:tcPr>
            <w:tcW w:w="0" w:type="auto"/>
            <w:shd w:val="clear" w:color="auto" w:fill="EFEFEF"/>
            <w:tcMar>
              <w:top w:w="40" w:type="dxa"/>
              <w:left w:w="40" w:type="dxa"/>
              <w:bottom w:w="40" w:type="dxa"/>
            </w:tcMar>
            <w:vAlign w:val="bottom"/>
          </w:tcPr>
          <w:p w14:paraId="2A73A04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05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116,914</w:t>
            </w:r>
          </w:p>
        </w:tc>
        <w:tc>
          <w:tcPr>
            <w:tcW w:w="0" w:type="auto"/>
            <w:shd w:val="clear" w:color="auto" w:fill="EFEFEF"/>
            <w:vAlign w:val="bottom"/>
          </w:tcPr>
          <w:p w14:paraId="2A73A05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0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05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w:t>
            </w:r>
          </w:p>
        </w:tc>
        <w:tc>
          <w:tcPr>
            <w:tcW w:w="0" w:type="auto"/>
            <w:shd w:val="clear" w:color="auto" w:fill="EFEFEF"/>
            <w:tcMar>
              <w:top w:w="40" w:type="dxa"/>
              <w:bottom w:w="40" w:type="dxa"/>
              <w:right w:w="40" w:type="dxa"/>
            </w:tcMar>
            <w:vAlign w:val="bottom"/>
          </w:tcPr>
          <w:p w14:paraId="2A73A05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w:t>
            </w:r>
          </w:p>
        </w:tc>
        <w:tc>
          <w:tcPr>
            <w:tcW w:w="0" w:type="auto"/>
            <w:shd w:val="clear" w:color="auto" w:fill="EFEFEF"/>
            <w:tcMar>
              <w:top w:w="40" w:type="dxa"/>
              <w:left w:w="40" w:type="dxa"/>
              <w:bottom w:w="40" w:type="dxa"/>
              <w:right w:w="40" w:type="dxa"/>
            </w:tcMar>
            <w:vAlign w:val="bottom"/>
          </w:tcPr>
          <w:p w14:paraId="2A73A05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05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05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112,093</w:t>
            </w:r>
          </w:p>
        </w:tc>
        <w:tc>
          <w:tcPr>
            <w:tcW w:w="0" w:type="auto"/>
            <w:shd w:val="clear" w:color="auto" w:fill="EFEFEF"/>
            <w:vAlign w:val="bottom"/>
          </w:tcPr>
          <w:p w14:paraId="2A73A05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05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05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w:t>
            </w:r>
          </w:p>
        </w:tc>
        <w:tc>
          <w:tcPr>
            <w:tcW w:w="0" w:type="auto"/>
            <w:shd w:val="clear" w:color="auto" w:fill="EFEFEF"/>
            <w:tcMar>
              <w:top w:w="40" w:type="dxa"/>
              <w:bottom w:w="40" w:type="dxa"/>
              <w:right w:w="40" w:type="dxa"/>
            </w:tcMar>
            <w:vAlign w:val="bottom"/>
          </w:tcPr>
          <w:p w14:paraId="2A73A05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05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05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05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96,600</w:t>
            </w:r>
          </w:p>
        </w:tc>
        <w:tc>
          <w:tcPr>
            <w:tcW w:w="0" w:type="auto"/>
            <w:shd w:val="clear" w:color="auto" w:fill="EFEFEF"/>
            <w:vAlign w:val="bottom"/>
          </w:tcPr>
          <w:p w14:paraId="2A73A05F" w14:textId="77777777" w:rsidR="00FA5565" w:rsidRDefault="00FA5565">
            <w:pPr>
              <w:textAlignment w:val="bottom"/>
              <w:rPr>
                <w:rFonts w:ascii="Times New Roman" w:hAnsi="Times New Roman"/>
                <w:sz w:val="20"/>
                <w:szCs w:val="20"/>
              </w:rPr>
            </w:pPr>
          </w:p>
        </w:tc>
      </w:tr>
      <w:tr w:rsidR="00FA5565" w14:paraId="2A73A070" w14:textId="77777777">
        <w:tc>
          <w:tcPr>
            <w:tcW w:w="0" w:type="auto"/>
            <w:shd w:val="clear" w:color="auto" w:fill="auto"/>
            <w:tcMar>
              <w:top w:w="40" w:type="dxa"/>
              <w:left w:w="40" w:type="dxa"/>
              <w:bottom w:w="40" w:type="dxa"/>
              <w:right w:w="40" w:type="dxa"/>
            </w:tcMar>
            <w:vAlign w:val="bottom"/>
          </w:tcPr>
          <w:p w14:paraId="2A73A061" w14:textId="77777777" w:rsidR="00FA5565" w:rsidRDefault="00D804D1">
            <w:pPr>
              <w:ind w:firstLine="520"/>
              <w:textAlignment w:val="bottom"/>
              <w:rPr>
                <w:rFonts w:ascii="Times New Roman" w:hAnsi="Times New Roman"/>
                <w:sz w:val="18"/>
                <w:szCs w:val="18"/>
              </w:rPr>
            </w:pPr>
            <w:r>
              <w:rPr>
                <w:rFonts w:ascii="Helvetica" w:eastAsia="Helvetica" w:hAnsi="Helvetica" w:cs="Helvetica"/>
                <w:sz w:val="18"/>
                <w:szCs w:val="18"/>
              </w:rPr>
              <w:t>Europe</w:t>
            </w:r>
          </w:p>
        </w:tc>
        <w:tc>
          <w:tcPr>
            <w:tcW w:w="0" w:type="auto"/>
            <w:gridSpan w:val="2"/>
            <w:shd w:val="clear" w:color="auto" w:fill="auto"/>
            <w:tcMar>
              <w:top w:w="40" w:type="dxa"/>
              <w:left w:w="40" w:type="dxa"/>
              <w:bottom w:w="40" w:type="dxa"/>
            </w:tcMar>
            <w:vAlign w:val="bottom"/>
          </w:tcPr>
          <w:p w14:paraId="2A73A06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60,288</w:t>
            </w:r>
          </w:p>
        </w:tc>
        <w:tc>
          <w:tcPr>
            <w:tcW w:w="0" w:type="auto"/>
            <w:shd w:val="clear" w:color="auto" w:fill="auto"/>
            <w:vAlign w:val="bottom"/>
          </w:tcPr>
          <w:p w14:paraId="2A73A06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0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06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w:t>
            </w:r>
          </w:p>
        </w:tc>
        <w:tc>
          <w:tcPr>
            <w:tcW w:w="0" w:type="auto"/>
            <w:shd w:val="clear" w:color="auto" w:fill="auto"/>
            <w:tcMar>
              <w:top w:w="40" w:type="dxa"/>
              <w:bottom w:w="40" w:type="dxa"/>
              <w:right w:w="40" w:type="dxa"/>
            </w:tcMar>
            <w:vAlign w:val="bottom"/>
          </w:tcPr>
          <w:p w14:paraId="2A73A06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0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06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62,420</w:t>
            </w:r>
          </w:p>
        </w:tc>
        <w:tc>
          <w:tcPr>
            <w:tcW w:w="0" w:type="auto"/>
            <w:shd w:val="clear" w:color="auto" w:fill="auto"/>
            <w:vAlign w:val="bottom"/>
          </w:tcPr>
          <w:p w14:paraId="2A73A06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0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06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w:t>
            </w:r>
          </w:p>
        </w:tc>
        <w:tc>
          <w:tcPr>
            <w:tcW w:w="0" w:type="auto"/>
            <w:shd w:val="clear" w:color="auto" w:fill="auto"/>
            <w:tcMar>
              <w:top w:w="40" w:type="dxa"/>
              <w:bottom w:w="40" w:type="dxa"/>
              <w:right w:w="40" w:type="dxa"/>
            </w:tcMar>
            <w:vAlign w:val="bottom"/>
          </w:tcPr>
          <w:p w14:paraId="2A73A06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0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06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54,938</w:t>
            </w:r>
          </w:p>
        </w:tc>
        <w:tc>
          <w:tcPr>
            <w:tcW w:w="0" w:type="auto"/>
            <w:shd w:val="clear" w:color="auto" w:fill="auto"/>
            <w:vAlign w:val="bottom"/>
          </w:tcPr>
          <w:p w14:paraId="2A73A06F" w14:textId="77777777" w:rsidR="00FA5565" w:rsidRDefault="00FA5565">
            <w:pPr>
              <w:textAlignment w:val="bottom"/>
              <w:rPr>
                <w:rFonts w:ascii="Times New Roman" w:hAnsi="Times New Roman"/>
                <w:sz w:val="20"/>
                <w:szCs w:val="20"/>
              </w:rPr>
            </w:pPr>
          </w:p>
        </w:tc>
      </w:tr>
      <w:tr w:rsidR="00FA5565" w14:paraId="2A73A080" w14:textId="77777777">
        <w:tc>
          <w:tcPr>
            <w:tcW w:w="0" w:type="auto"/>
            <w:shd w:val="clear" w:color="auto" w:fill="EFEFEF"/>
            <w:tcMar>
              <w:top w:w="40" w:type="dxa"/>
              <w:left w:w="40" w:type="dxa"/>
              <w:bottom w:w="40" w:type="dxa"/>
              <w:right w:w="40" w:type="dxa"/>
            </w:tcMar>
            <w:vAlign w:val="bottom"/>
          </w:tcPr>
          <w:p w14:paraId="2A73A071" w14:textId="77777777" w:rsidR="00FA5565" w:rsidRDefault="00D804D1">
            <w:pPr>
              <w:ind w:firstLine="520"/>
              <w:textAlignment w:val="bottom"/>
              <w:rPr>
                <w:rFonts w:ascii="Times New Roman" w:hAnsi="Times New Roman"/>
                <w:sz w:val="18"/>
                <w:szCs w:val="18"/>
              </w:rPr>
            </w:pPr>
            <w:r>
              <w:rPr>
                <w:rFonts w:ascii="Helvetica" w:eastAsia="Helvetica" w:hAnsi="Helvetica" w:cs="Helvetica"/>
                <w:sz w:val="18"/>
                <w:szCs w:val="18"/>
              </w:rPr>
              <w:t>Greater China</w:t>
            </w:r>
          </w:p>
        </w:tc>
        <w:tc>
          <w:tcPr>
            <w:tcW w:w="0" w:type="auto"/>
            <w:gridSpan w:val="2"/>
            <w:shd w:val="clear" w:color="auto" w:fill="EFEFEF"/>
            <w:tcMar>
              <w:top w:w="40" w:type="dxa"/>
              <w:left w:w="40" w:type="dxa"/>
              <w:bottom w:w="40" w:type="dxa"/>
            </w:tcMar>
            <w:vAlign w:val="bottom"/>
          </w:tcPr>
          <w:p w14:paraId="2A73A07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43,678</w:t>
            </w:r>
          </w:p>
        </w:tc>
        <w:tc>
          <w:tcPr>
            <w:tcW w:w="0" w:type="auto"/>
            <w:shd w:val="clear" w:color="auto" w:fill="EFEFEF"/>
            <w:vAlign w:val="bottom"/>
          </w:tcPr>
          <w:p w14:paraId="2A73A07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0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07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w:t>
            </w:r>
          </w:p>
        </w:tc>
        <w:tc>
          <w:tcPr>
            <w:tcW w:w="0" w:type="auto"/>
            <w:shd w:val="clear" w:color="auto" w:fill="EFEFEF"/>
            <w:tcMar>
              <w:top w:w="40" w:type="dxa"/>
              <w:bottom w:w="40" w:type="dxa"/>
              <w:right w:w="40" w:type="dxa"/>
            </w:tcMar>
            <w:vAlign w:val="bottom"/>
          </w:tcPr>
          <w:p w14:paraId="2A73A07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0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07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51,942</w:t>
            </w:r>
          </w:p>
        </w:tc>
        <w:tc>
          <w:tcPr>
            <w:tcW w:w="0" w:type="auto"/>
            <w:shd w:val="clear" w:color="auto" w:fill="EFEFEF"/>
            <w:vAlign w:val="bottom"/>
          </w:tcPr>
          <w:p w14:paraId="2A73A07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07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07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w:t>
            </w:r>
          </w:p>
        </w:tc>
        <w:tc>
          <w:tcPr>
            <w:tcW w:w="0" w:type="auto"/>
            <w:shd w:val="clear" w:color="auto" w:fill="EFEFEF"/>
            <w:tcMar>
              <w:top w:w="40" w:type="dxa"/>
              <w:bottom w:w="40" w:type="dxa"/>
              <w:right w:w="40" w:type="dxa"/>
            </w:tcMar>
            <w:vAlign w:val="bottom"/>
          </w:tcPr>
          <w:p w14:paraId="2A73A07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07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07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44,764</w:t>
            </w:r>
          </w:p>
        </w:tc>
        <w:tc>
          <w:tcPr>
            <w:tcW w:w="0" w:type="auto"/>
            <w:shd w:val="clear" w:color="auto" w:fill="EFEFEF"/>
            <w:vAlign w:val="bottom"/>
          </w:tcPr>
          <w:p w14:paraId="2A73A07F" w14:textId="77777777" w:rsidR="00FA5565" w:rsidRDefault="00FA5565">
            <w:pPr>
              <w:textAlignment w:val="bottom"/>
              <w:rPr>
                <w:rFonts w:ascii="Times New Roman" w:hAnsi="Times New Roman"/>
                <w:sz w:val="20"/>
                <w:szCs w:val="20"/>
              </w:rPr>
            </w:pPr>
          </w:p>
        </w:tc>
      </w:tr>
      <w:tr w:rsidR="00FA5565" w14:paraId="2A73A090" w14:textId="77777777">
        <w:tc>
          <w:tcPr>
            <w:tcW w:w="0" w:type="auto"/>
            <w:shd w:val="clear" w:color="auto" w:fill="auto"/>
            <w:tcMar>
              <w:top w:w="40" w:type="dxa"/>
              <w:left w:w="40" w:type="dxa"/>
              <w:bottom w:w="40" w:type="dxa"/>
              <w:right w:w="40" w:type="dxa"/>
            </w:tcMar>
            <w:vAlign w:val="bottom"/>
          </w:tcPr>
          <w:p w14:paraId="2A73A081" w14:textId="77777777" w:rsidR="00FA5565" w:rsidRDefault="00D804D1">
            <w:pPr>
              <w:ind w:firstLine="520"/>
              <w:textAlignment w:val="bottom"/>
              <w:rPr>
                <w:rFonts w:ascii="Times New Roman" w:hAnsi="Times New Roman"/>
                <w:sz w:val="18"/>
                <w:szCs w:val="18"/>
              </w:rPr>
            </w:pPr>
            <w:r>
              <w:rPr>
                <w:rFonts w:ascii="Helvetica" w:eastAsia="Helvetica" w:hAnsi="Helvetica" w:cs="Helvetica"/>
                <w:sz w:val="18"/>
                <w:szCs w:val="18"/>
              </w:rPr>
              <w:t>Japan</w:t>
            </w:r>
          </w:p>
        </w:tc>
        <w:tc>
          <w:tcPr>
            <w:tcW w:w="0" w:type="auto"/>
            <w:gridSpan w:val="2"/>
            <w:shd w:val="clear" w:color="auto" w:fill="auto"/>
            <w:tcMar>
              <w:top w:w="40" w:type="dxa"/>
              <w:left w:w="40" w:type="dxa"/>
              <w:bottom w:w="40" w:type="dxa"/>
            </w:tcMar>
            <w:vAlign w:val="bottom"/>
          </w:tcPr>
          <w:p w14:paraId="2A73A08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21,506</w:t>
            </w:r>
          </w:p>
        </w:tc>
        <w:tc>
          <w:tcPr>
            <w:tcW w:w="0" w:type="auto"/>
            <w:shd w:val="clear" w:color="auto" w:fill="auto"/>
            <w:vAlign w:val="bottom"/>
          </w:tcPr>
          <w:p w14:paraId="2A73A08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08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08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w:t>
            </w:r>
          </w:p>
        </w:tc>
        <w:tc>
          <w:tcPr>
            <w:tcW w:w="0" w:type="auto"/>
            <w:shd w:val="clear" w:color="auto" w:fill="auto"/>
            <w:tcMar>
              <w:top w:w="40" w:type="dxa"/>
              <w:bottom w:w="40" w:type="dxa"/>
              <w:right w:w="40" w:type="dxa"/>
            </w:tcMar>
            <w:vAlign w:val="bottom"/>
          </w:tcPr>
          <w:p w14:paraId="2A73A08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08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08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21,733</w:t>
            </w:r>
          </w:p>
        </w:tc>
        <w:tc>
          <w:tcPr>
            <w:tcW w:w="0" w:type="auto"/>
            <w:shd w:val="clear" w:color="auto" w:fill="auto"/>
            <w:vAlign w:val="bottom"/>
          </w:tcPr>
          <w:p w14:paraId="2A73A08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08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08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w:t>
            </w:r>
          </w:p>
        </w:tc>
        <w:tc>
          <w:tcPr>
            <w:tcW w:w="0" w:type="auto"/>
            <w:shd w:val="clear" w:color="auto" w:fill="auto"/>
            <w:tcMar>
              <w:top w:w="40" w:type="dxa"/>
              <w:bottom w:w="40" w:type="dxa"/>
              <w:right w:w="40" w:type="dxa"/>
            </w:tcMar>
            <w:vAlign w:val="bottom"/>
          </w:tcPr>
          <w:p w14:paraId="2A73A08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0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08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17,733</w:t>
            </w:r>
          </w:p>
        </w:tc>
        <w:tc>
          <w:tcPr>
            <w:tcW w:w="0" w:type="auto"/>
            <w:shd w:val="clear" w:color="auto" w:fill="auto"/>
            <w:vAlign w:val="bottom"/>
          </w:tcPr>
          <w:p w14:paraId="2A73A08F" w14:textId="77777777" w:rsidR="00FA5565" w:rsidRDefault="00FA5565">
            <w:pPr>
              <w:textAlignment w:val="bottom"/>
              <w:rPr>
                <w:rFonts w:ascii="Times New Roman" w:hAnsi="Times New Roman"/>
                <w:sz w:val="20"/>
                <w:szCs w:val="20"/>
              </w:rPr>
            </w:pPr>
          </w:p>
        </w:tc>
      </w:tr>
      <w:tr w:rsidR="00FA5565" w14:paraId="2A73A0A0" w14:textId="77777777">
        <w:tc>
          <w:tcPr>
            <w:tcW w:w="0" w:type="auto"/>
            <w:shd w:val="clear" w:color="auto" w:fill="EFEFEF"/>
            <w:tcMar>
              <w:top w:w="40" w:type="dxa"/>
              <w:left w:w="40" w:type="dxa"/>
              <w:bottom w:w="40" w:type="dxa"/>
              <w:right w:w="40" w:type="dxa"/>
            </w:tcMar>
            <w:vAlign w:val="bottom"/>
          </w:tcPr>
          <w:p w14:paraId="2A73A091" w14:textId="77777777" w:rsidR="00FA5565" w:rsidRDefault="00D804D1">
            <w:pPr>
              <w:ind w:firstLine="520"/>
              <w:textAlignment w:val="bottom"/>
              <w:rPr>
                <w:rFonts w:ascii="Times New Roman" w:hAnsi="Times New Roman"/>
                <w:sz w:val="18"/>
                <w:szCs w:val="18"/>
              </w:rPr>
            </w:pPr>
            <w:r>
              <w:rPr>
                <w:rFonts w:ascii="Helvetica" w:eastAsia="Helvetica" w:hAnsi="Helvetica" w:cs="Helvetica"/>
                <w:sz w:val="18"/>
                <w:szCs w:val="18"/>
              </w:rPr>
              <w:t>Rest of Asia Pacific</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09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17,788</w:t>
            </w:r>
          </w:p>
        </w:tc>
        <w:tc>
          <w:tcPr>
            <w:tcW w:w="0" w:type="auto"/>
            <w:tcBorders>
              <w:bottom w:val="single" w:sz="8" w:space="0" w:color="000000"/>
            </w:tcBorders>
            <w:shd w:val="clear" w:color="auto" w:fill="EFEFEF"/>
            <w:vAlign w:val="bottom"/>
          </w:tcPr>
          <w:p w14:paraId="2A73A09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09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09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shd w:val="clear" w:color="auto" w:fill="EFEFEF"/>
            <w:tcMar>
              <w:top w:w="40" w:type="dxa"/>
              <w:bottom w:w="40" w:type="dxa"/>
              <w:right w:w="40" w:type="dxa"/>
            </w:tcMar>
            <w:vAlign w:val="bottom"/>
          </w:tcPr>
          <w:p w14:paraId="2A73A09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w:t>
            </w:r>
          </w:p>
        </w:tc>
        <w:tc>
          <w:tcPr>
            <w:tcW w:w="0" w:type="auto"/>
            <w:shd w:val="clear" w:color="auto" w:fill="EFEFEF"/>
            <w:tcMar>
              <w:top w:w="40" w:type="dxa"/>
              <w:left w:w="40" w:type="dxa"/>
              <w:bottom w:w="40" w:type="dxa"/>
              <w:right w:w="40" w:type="dxa"/>
            </w:tcMar>
            <w:vAlign w:val="bottom"/>
          </w:tcPr>
          <w:p w14:paraId="2A73A09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09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17,407</w:t>
            </w:r>
          </w:p>
        </w:tc>
        <w:tc>
          <w:tcPr>
            <w:tcW w:w="0" w:type="auto"/>
            <w:tcBorders>
              <w:bottom w:val="single" w:sz="8" w:space="0" w:color="000000"/>
            </w:tcBorders>
            <w:shd w:val="clear" w:color="auto" w:fill="EFEFEF"/>
            <w:vAlign w:val="bottom"/>
          </w:tcPr>
          <w:p w14:paraId="2A73A09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09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09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w:t>
            </w:r>
          </w:p>
        </w:tc>
        <w:tc>
          <w:tcPr>
            <w:tcW w:w="0" w:type="auto"/>
            <w:shd w:val="clear" w:color="auto" w:fill="EFEFEF"/>
            <w:tcMar>
              <w:top w:w="40" w:type="dxa"/>
              <w:bottom w:w="40" w:type="dxa"/>
              <w:right w:w="40" w:type="dxa"/>
            </w:tcMar>
            <w:vAlign w:val="bottom"/>
          </w:tcPr>
          <w:p w14:paraId="2A73A09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09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09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15,199</w:t>
            </w:r>
          </w:p>
        </w:tc>
        <w:tc>
          <w:tcPr>
            <w:tcW w:w="0" w:type="auto"/>
            <w:tcBorders>
              <w:bottom w:val="single" w:sz="8" w:space="0" w:color="000000"/>
            </w:tcBorders>
            <w:shd w:val="clear" w:color="auto" w:fill="EFEFEF"/>
            <w:vAlign w:val="bottom"/>
          </w:tcPr>
          <w:p w14:paraId="2A73A09F" w14:textId="77777777" w:rsidR="00FA5565" w:rsidRDefault="00FA5565">
            <w:pPr>
              <w:textAlignment w:val="bottom"/>
              <w:rPr>
                <w:rFonts w:ascii="Times New Roman" w:hAnsi="Times New Roman"/>
                <w:sz w:val="20"/>
                <w:szCs w:val="20"/>
              </w:rPr>
            </w:pPr>
          </w:p>
        </w:tc>
      </w:tr>
      <w:tr w:rsidR="00FA5565" w14:paraId="2A73A0B3" w14:textId="77777777">
        <w:tc>
          <w:tcPr>
            <w:tcW w:w="0" w:type="auto"/>
            <w:shd w:val="clear" w:color="auto" w:fill="auto"/>
            <w:tcMar>
              <w:top w:w="40" w:type="dxa"/>
              <w:left w:w="1040" w:type="dxa"/>
              <w:bottom w:w="40" w:type="dxa"/>
              <w:right w:w="40" w:type="dxa"/>
            </w:tcMar>
            <w:vAlign w:val="bottom"/>
          </w:tcPr>
          <w:p w14:paraId="2A73A0A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Total net sales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A0A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A0A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260,174</w:t>
            </w:r>
          </w:p>
        </w:tc>
        <w:tc>
          <w:tcPr>
            <w:tcW w:w="0" w:type="auto"/>
            <w:tcBorders>
              <w:top w:val="single" w:sz="8" w:space="0" w:color="000000"/>
              <w:bottom w:val="double" w:sz="6" w:space="0" w:color="000000"/>
            </w:tcBorders>
            <w:shd w:val="clear" w:color="auto" w:fill="auto"/>
            <w:vAlign w:val="bottom"/>
          </w:tcPr>
          <w:p w14:paraId="2A73A0A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0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0A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shd w:val="clear" w:color="auto" w:fill="auto"/>
            <w:tcMar>
              <w:top w:w="40" w:type="dxa"/>
              <w:bottom w:w="40" w:type="dxa"/>
              <w:right w:w="40" w:type="dxa"/>
            </w:tcMar>
            <w:vAlign w:val="bottom"/>
          </w:tcPr>
          <w:p w14:paraId="2A73A0A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0A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A0A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A0A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265,595</w:t>
            </w:r>
          </w:p>
        </w:tc>
        <w:tc>
          <w:tcPr>
            <w:tcW w:w="0" w:type="auto"/>
            <w:tcBorders>
              <w:top w:val="single" w:sz="8" w:space="0" w:color="000000"/>
              <w:bottom w:val="double" w:sz="6" w:space="0" w:color="000000"/>
            </w:tcBorders>
            <w:shd w:val="clear" w:color="auto" w:fill="auto"/>
            <w:vAlign w:val="bottom"/>
          </w:tcPr>
          <w:p w14:paraId="2A73A0A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0A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0A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w:t>
            </w:r>
          </w:p>
        </w:tc>
        <w:tc>
          <w:tcPr>
            <w:tcW w:w="0" w:type="auto"/>
            <w:shd w:val="clear" w:color="auto" w:fill="auto"/>
            <w:tcMar>
              <w:top w:w="40" w:type="dxa"/>
              <w:bottom w:w="40" w:type="dxa"/>
              <w:right w:w="40" w:type="dxa"/>
            </w:tcMar>
            <w:vAlign w:val="bottom"/>
          </w:tcPr>
          <w:p w14:paraId="2A73A0A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0A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A0B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A0B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229,234</w:t>
            </w:r>
          </w:p>
        </w:tc>
        <w:tc>
          <w:tcPr>
            <w:tcW w:w="0" w:type="auto"/>
            <w:tcBorders>
              <w:top w:val="single" w:sz="8" w:space="0" w:color="000000"/>
              <w:bottom w:val="double" w:sz="6" w:space="0" w:color="000000"/>
            </w:tcBorders>
            <w:shd w:val="clear" w:color="auto" w:fill="auto"/>
            <w:vAlign w:val="bottom"/>
          </w:tcPr>
          <w:p w14:paraId="2A73A0B2" w14:textId="77777777" w:rsidR="00FA5565" w:rsidRDefault="00FA5565">
            <w:pPr>
              <w:textAlignment w:val="bottom"/>
              <w:rPr>
                <w:rFonts w:ascii="Times New Roman" w:hAnsi="Times New Roman"/>
                <w:sz w:val="20"/>
                <w:szCs w:val="20"/>
              </w:rPr>
            </w:pPr>
          </w:p>
        </w:tc>
      </w:tr>
    </w:tbl>
    <w:p w14:paraId="2A73A0B4"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Americas</w:t>
      </w:r>
    </w:p>
    <w:p w14:paraId="2A73A0B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Americas net sales increased during 2019 compared to 2018 due primarily to higher Services and Wearables, Home and Accessories net sales, partially offset by lower iPhone net sales. The weakness in foreign curren</w:t>
      </w:r>
      <w:r>
        <w:rPr>
          <w:rFonts w:ascii="Helvetica" w:eastAsia="Helvetica" w:hAnsi="Helvetica" w:cs="Helvetica"/>
          <w:sz w:val="18"/>
          <w:szCs w:val="18"/>
        </w:rPr>
        <w:t>cies relative to the U.S. dollar had an unfavorable impact on Americas net sales during 2019.</w:t>
      </w:r>
    </w:p>
    <w:p w14:paraId="2A73A0B6"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Europe</w:t>
      </w:r>
    </w:p>
    <w:p w14:paraId="2A73A0B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Europe net sales decreased during 2019 compared to 2018 due to lower iPhone net sales, partially offset by higher Wearables, Home and Accessories and Servi</w:t>
      </w:r>
      <w:r>
        <w:rPr>
          <w:rFonts w:ascii="Helvetica" w:eastAsia="Helvetica" w:hAnsi="Helvetica" w:cs="Helvetica"/>
          <w:sz w:val="18"/>
          <w:szCs w:val="18"/>
        </w:rPr>
        <w:t>ces net sales. The weakness in foreign currencies relative to the U.S. dollar had a significant unfavorable impact on Europe net sales during 2019.</w:t>
      </w:r>
    </w:p>
    <w:p w14:paraId="2A73A0B8"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Greater China</w:t>
      </w:r>
    </w:p>
    <w:p w14:paraId="2A73A0B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Greater China net sales decreased during 2019 compared to 2018 due primarily to lower </w:t>
      </w:r>
      <w:r>
        <w:rPr>
          <w:rFonts w:ascii="Helvetica" w:eastAsia="Helvetica" w:hAnsi="Helvetica" w:cs="Helvetica"/>
          <w:sz w:val="18"/>
          <w:szCs w:val="18"/>
        </w:rPr>
        <w:t>iPhone net sales, partially offset by higher Wearables, Home and Accessories and Services net sales. The weakness in foreign currencies relative to the U.S. dollar had an unfavorable impact on Greater China net sales during 2019.</w:t>
      </w:r>
    </w:p>
    <w:p w14:paraId="2A73A0BA"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Japan</w:t>
      </w:r>
    </w:p>
    <w:p w14:paraId="2A73A0B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Japan net sales decr</w:t>
      </w:r>
      <w:r>
        <w:rPr>
          <w:rFonts w:ascii="Helvetica" w:eastAsia="Helvetica" w:hAnsi="Helvetica" w:cs="Helvetica"/>
          <w:sz w:val="18"/>
          <w:szCs w:val="18"/>
        </w:rPr>
        <w:t xml:space="preserve">eased during 2019 compared to 2018 due to lower iPhone net sales, partially offset by higher Services and Wearables, Home and Accessories net sales. The value of the Japanese Yen relative to the U.S. dollar had a favorable impact on Japan net sales during </w:t>
      </w:r>
      <w:r>
        <w:rPr>
          <w:rFonts w:ascii="Helvetica" w:eastAsia="Helvetica" w:hAnsi="Helvetica" w:cs="Helvetica"/>
          <w:sz w:val="18"/>
          <w:szCs w:val="18"/>
        </w:rPr>
        <w:t>2019.</w:t>
      </w:r>
    </w:p>
    <w:p w14:paraId="2A73A0BC"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Rest of Asia Pacific</w:t>
      </w:r>
    </w:p>
    <w:p w14:paraId="2A73A0B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Rest of Asia Pacific net sales increased during 2019 compared to 2018 due primarily to higher Wearables, Home and Accessories and Services net sales, partially offset by lower iPhone net sales. The weakness in foreign currencies </w:t>
      </w:r>
      <w:r>
        <w:rPr>
          <w:rFonts w:ascii="Helvetica" w:eastAsia="Helvetica" w:hAnsi="Helvetica" w:cs="Helvetica"/>
          <w:sz w:val="18"/>
          <w:szCs w:val="18"/>
        </w:rPr>
        <w:t>relative to the U.S. dollar had a significant unfavorable impact on Rest of Asia Pacific net sales during 2019.</w:t>
      </w:r>
    </w:p>
    <w:p w14:paraId="2A73A0BE" w14:textId="77777777" w:rsidR="00FA5565" w:rsidRDefault="00FA5565">
      <w:pPr>
        <w:rPr>
          <w:rFonts w:ascii="Times New Roman" w:hAnsi="Times New Roman"/>
          <w:sz w:val="20"/>
          <w:szCs w:val="20"/>
        </w:rPr>
      </w:pPr>
    </w:p>
    <w:p w14:paraId="2A73A0BF"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20</w:t>
      </w:r>
    </w:p>
    <w:p w14:paraId="2A73A0C0" w14:textId="77777777" w:rsidR="00FA5565" w:rsidRDefault="00D804D1">
      <w:r>
        <w:rPr>
          <w:rFonts w:ascii="Times New Roman" w:hAnsi="Times New Roman"/>
          <w:sz w:val="16"/>
          <w:szCs w:val="16"/>
        </w:rPr>
        <w:pict w14:anchorId="2A73C0B0">
          <v:rect id="_x0000_i1046" style="width:415.3pt;height:1.5pt" o:hralign="center" o:hrstd="t" o:hr="t" fillcolor="#a0a0a0" stroked="f"/>
        </w:pict>
      </w:r>
    </w:p>
    <w:p w14:paraId="2A73A0C1" w14:textId="77777777" w:rsidR="00FA5565" w:rsidRDefault="00FA5565">
      <w:pPr>
        <w:rPr>
          <w:rFonts w:ascii="Times New Roman" w:hAnsi="Times New Roman"/>
          <w:sz w:val="20"/>
          <w:szCs w:val="20"/>
        </w:rPr>
      </w:pPr>
    </w:p>
    <w:p w14:paraId="2A73A0C2"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Gross Margin</w:t>
      </w:r>
    </w:p>
    <w:p w14:paraId="2A73A0C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Products and Services gross margin and gross margin percentage for 2019, 2018 and 2017 </w:t>
      </w:r>
      <w:r>
        <w:rPr>
          <w:rFonts w:ascii="Helvetica" w:eastAsia="Helvetica" w:hAnsi="Helvetica" w:cs="Helvetica"/>
          <w:sz w:val="18"/>
          <w:szCs w:val="18"/>
        </w:rPr>
        <w:t>were as follows (dollars in millions):</w:t>
      </w:r>
    </w:p>
    <w:tbl>
      <w:tblPr>
        <w:tblW w:w="5000" w:type="pct"/>
        <w:tblCellMar>
          <w:left w:w="0" w:type="dxa"/>
          <w:right w:w="0" w:type="dxa"/>
        </w:tblCellMar>
        <w:tblLook w:val="04A0" w:firstRow="1" w:lastRow="0" w:firstColumn="1" w:lastColumn="0" w:noHBand="0" w:noVBand="1"/>
      </w:tblPr>
      <w:tblGrid>
        <w:gridCol w:w="4745"/>
        <w:gridCol w:w="141"/>
        <w:gridCol w:w="758"/>
        <w:gridCol w:w="201"/>
        <w:gridCol w:w="130"/>
        <w:gridCol w:w="141"/>
        <w:gridCol w:w="758"/>
        <w:gridCol w:w="201"/>
        <w:gridCol w:w="130"/>
        <w:gridCol w:w="141"/>
        <w:gridCol w:w="759"/>
        <w:gridCol w:w="201"/>
      </w:tblGrid>
      <w:tr w:rsidR="00FA5565" w14:paraId="2A73A0C5" w14:textId="77777777">
        <w:tc>
          <w:tcPr>
            <w:tcW w:w="0" w:type="auto"/>
            <w:gridSpan w:val="12"/>
            <w:shd w:val="clear" w:color="auto" w:fill="auto"/>
            <w:vAlign w:val="center"/>
          </w:tcPr>
          <w:p w14:paraId="2A73A0C4" w14:textId="77777777" w:rsidR="00FA5565" w:rsidRDefault="00FA5565">
            <w:pPr>
              <w:rPr>
                <w:rFonts w:ascii="Times New Roman" w:hAnsi="Times New Roman"/>
                <w:sz w:val="20"/>
                <w:szCs w:val="20"/>
              </w:rPr>
            </w:pPr>
          </w:p>
        </w:tc>
      </w:tr>
      <w:tr w:rsidR="00FA5565" w14:paraId="2A73A0D2" w14:textId="77777777">
        <w:tc>
          <w:tcPr>
            <w:tcW w:w="2950" w:type="pct"/>
            <w:shd w:val="clear" w:color="auto" w:fill="auto"/>
            <w:vAlign w:val="center"/>
          </w:tcPr>
          <w:p w14:paraId="2A73A0C6" w14:textId="77777777" w:rsidR="00FA5565" w:rsidRDefault="00FA5565">
            <w:pPr>
              <w:rPr>
                <w:rFonts w:ascii="Times New Roman" w:hAnsi="Times New Roman"/>
                <w:sz w:val="20"/>
                <w:szCs w:val="20"/>
              </w:rPr>
            </w:pPr>
          </w:p>
        </w:tc>
        <w:tc>
          <w:tcPr>
            <w:tcW w:w="50" w:type="pct"/>
            <w:shd w:val="clear" w:color="auto" w:fill="auto"/>
            <w:vAlign w:val="center"/>
          </w:tcPr>
          <w:p w14:paraId="2A73A0C7" w14:textId="77777777" w:rsidR="00FA5565" w:rsidRDefault="00FA5565">
            <w:pPr>
              <w:rPr>
                <w:rFonts w:ascii="Times New Roman" w:hAnsi="Times New Roman"/>
                <w:sz w:val="20"/>
                <w:szCs w:val="20"/>
              </w:rPr>
            </w:pPr>
          </w:p>
        </w:tc>
        <w:tc>
          <w:tcPr>
            <w:tcW w:w="550" w:type="pct"/>
            <w:shd w:val="clear" w:color="auto" w:fill="auto"/>
            <w:vAlign w:val="center"/>
          </w:tcPr>
          <w:p w14:paraId="2A73A0C8" w14:textId="77777777" w:rsidR="00FA5565" w:rsidRDefault="00FA5565">
            <w:pPr>
              <w:rPr>
                <w:rFonts w:ascii="Times New Roman" w:hAnsi="Times New Roman"/>
                <w:sz w:val="20"/>
                <w:szCs w:val="20"/>
              </w:rPr>
            </w:pPr>
          </w:p>
        </w:tc>
        <w:tc>
          <w:tcPr>
            <w:tcW w:w="50" w:type="pct"/>
            <w:shd w:val="clear" w:color="auto" w:fill="auto"/>
            <w:vAlign w:val="center"/>
          </w:tcPr>
          <w:p w14:paraId="2A73A0C9" w14:textId="77777777" w:rsidR="00FA5565" w:rsidRDefault="00FA5565">
            <w:pPr>
              <w:rPr>
                <w:rFonts w:ascii="Times New Roman" w:hAnsi="Times New Roman"/>
                <w:sz w:val="20"/>
                <w:szCs w:val="20"/>
              </w:rPr>
            </w:pPr>
          </w:p>
        </w:tc>
        <w:tc>
          <w:tcPr>
            <w:tcW w:w="50" w:type="pct"/>
            <w:shd w:val="clear" w:color="auto" w:fill="auto"/>
            <w:vAlign w:val="center"/>
          </w:tcPr>
          <w:p w14:paraId="2A73A0CA" w14:textId="77777777" w:rsidR="00FA5565" w:rsidRDefault="00FA5565">
            <w:pPr>
              <w:rPr>
                <w:rFonts w:ascii="Times New Roman" w:hAnsi="Times New Roman"/>
                <w:sz w:val="20"/>
                <w:szCs w:val="20"/>
              </w:rPr>
            </w:pPr>
          </w:p>
        </w:tc>
        <w:tc>
          <w:tcPr>
            <w:tcW w:w="50" w:type="pct"/>
            <w:shd w:val="clear" w:color="auto" w:fill="auto"/>
            <w:vAlign w:val="center"/>
          </w:tcPr>
          <w:p w14:paraId="2A73A0CB" w14:textId="77777777" w:rsidR="00FA5565" w:rsidRDefault="00FA5565">
            <w:pPr>
              <w:rPr>
                <w:rFonts w:ascii="Times New Roman" w:hAnsi="Times New Roman"/>
                <w:sz w:val="20"/>
                <w:szCs w:val="20"/>
              </w:rPr>
            </w:pPr>
          </w:p>
        </w:tc>
        <w:tc>
          <w:tcPr>
            <w:tcW w:w="550" w:type="pct"/>
            <w:shd w:val="clear" w:color="auto" w:fill="auto"/>
            <w:vAlign w:val="center"/>
          </w:tcPr>
          <w:p w14:paraId="2A73A0CC" w14:textId="77777777" w:rsidR="00FA5565" w:rsidRDefault="00FA5565">
            <w:pPr>
              <w:rPr>
                <w:rFonts w:ascii="Times New Roman" w:hAnsi="Times New Roman"/>
                <w:sz w:val="20"/>
                <w:szCs w:val="20"/>
              </w:rPr>
            </w:pPr>
          </w:p>
        </w:tc>
        <w:tc>
          <w:tcPr>
            <w:tcW w:w="50" w:type="pct"/>
            <w:shd w:val="clear" w:color="auto" w:fill="auto"/>
            <w:vAlign w:val="center"/>
          </w:tcPr>
          <w:p w14:paraId="2A73A0CD" w14:textId="77777777" w:rsidR="00FA5565" w:rsidRDefault="00FA5565">
            <w:pPr>
              <w:rPr>
                <w:rFonts w:ascii="Times New Roman" w:hAnsi="Times New Roman"/>
                <w:sz w:val="20"/>
                <w:szCs w:val="20"/>
              </w:rPr>
            </w:pPr>
          </w:p>
        </w:tc>
        <w:tc>
          <w:tcPr>
            <w:tcW w:w="50" w:type="pct"/>
            <w:shd w:val="clear" w:color="auto" w:fill="auto"/>
            <w:vAlign w:val="center"/>
          </w:tcPr>
          <w:p w14:paraId="2A73A0CE" w14:textId="77777777" w:rsidR="00FA5565" w:rsidRDefault="00FA5565">
            <w:pPr>
              <w:rPr>
                <w:rFonts w:ascii="Times New Roman" w:hAnsi="Times New Roman"/>
                <w:sz w:val="20"/>
                <w:szCs w:val="20"/>
              </w:rPr>
            </w:pPr>
          </w:p>
        </w:tc>
        <w:tc>
          <w:tcPr>
            <w:tcW w:w="50" w:type="pct"/>
            <w:shd w:val="clear" w:color="auto" w:fill="auto"/>
            <w:vAlign w:val="center"/>
          </w:tcPr>
          <w:p w14:paraId="2A73A0CF" w14:textId="77777777" w:rsidR="00FA5565" w:rsidRDefault="00FA5565">
            <w:pPr>
              <w:rPr>
                <w:rFonts w:ascii="Times New Roman" w:hAnsi="Times New Roman"/>
                <w:sz w:val="20"/>
                <w:szCs w:val="20"/>
              </w:rPr>
            </w:pPr>
          </w:p>
        </w:tc>
        <w:tc>
          <w:tcPr>
            <w:tcW w:w="550" w:type="pct"/>
            <w:shd w:val="clear" w:color="auto" w:fill="auto"/>
            <w:vAlign w:val="center"/>
          </w:tcPr>
          <w:p w14:paraId="2A73A0D0" w14:textId="77777777" w:rsidR="00FA5565" w:rsidRDefault="00FA5565">
            <w:pPr>
              <w:rPr>
                <w:rFonts w:ascii="Times New Roman" w:hAnsi="Times New Roman"/>
                <w:sz w:val="20"/>
                <w:szCs w:val="20"/>
              </w:rPr>
            </w:pPr>
          </w:p>
        </w:tc>
        <w:tc>
          <w:tcPr>
            <w:tcW w:w="50" w:type="pct"/>
            <w:shd w:val="clear" w:color="auto" w:fill="auto"/>
            <w:vAlign w:val="center"/>
          </w:tcPr>
          <w:p w14:paraId="2A73A0D1" w14:textId="77777777" w:rsidR="00FA5565" w:rsidRDefault="00FA5565">
            <w:pPr>
              <w:rPr>
                <w:rFonts w:ascii="Times New Roman" w:hAnsi="Times New Roman"/>
                <w:sz w:val="20"/>
                <w:szCs w:val="20"/>
              </w:rPr>
            </w:pPr>
          </w:p>
        </w:tc>
      </w:tr>
      <w:tr w:rsidR="00FA5565" w14:paraId="2A73A0D9" w14:textId="77777777">
        <w:tc>
          <w:tcPr>
            <w:tcW w:w="0" w:type="auto"/>
            <w:shd w:val="clear" w:color="auto" w:fill="auto"/>
            <w:tcMar>
              <w:top w:w="40" w:type="dxa"/>
              <w:left w:w="40" w:type="dxa"/>
              <w:bottom w:w="40" w:type="dxa"/>
              <w:right w:w="40" w:type="dxa"/>
            </w:tcMar>
            <w:vAlign w:val="bottom"/>
          </w:tcPr>
          <w:p w14:paraId="2A73A0D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0D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A0D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0D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A0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0D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A0E0" w14:textId="77777777">
        <w:tc>
          <w:tcPr>
            <w:tcW w:w="0" w:type="auto"/>
            <w:shd w:val="clear" w:color="auto" w:fill="auto"/>
            <w:tcMar>
              <w:top w:w="40" w:type="dxa"/>
              <w:left w:w="40" w:type="dxa"/>
              <w:bottom w:w="40" w:type="dxa"/>
              <w:right w:w="40" w:type="dxa"/>
            </w:tcMar>
            <w:vAlign w:val="bottom"/>
          </w:tcPr>
          <w:p w14:paraId="2A73A0D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Gross margin:</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2A73A0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0D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2A73A0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0D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2A73A0D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0ED" w14:textId="77777777">
        <w:tc>
          <w:tcPr>
            <w:tcW w:w="0" w:type="auto"/>
            <w:shd w:val="clear" w:color="auto" w:fill="EFEFEF"/>
            <w:tcMar>
              <w:top w:w="40" w:type="dxa"/>
              <w:left w:w="560" w:type="dxa"/>
              <w:bottom w:w="40" w:type="dxa"/>
              <w:right w:w="40" w:type="dxa"/>
            </w:tcMar>
            <w:vAlign w:val="bottom"/>
          </w:tcPr>
          <w:p w14:paraId="2A73A0E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Products</w:t>
            </w:r>
          </w:p>
        </w:tc>
        <w:tc>
          <w:tcPr>
            <w:tcW w:w="0" w:type="auto"/>
            <w:shd w:val="clear" w:color="auto" w:fill="EFEFEF"/>
            <w:tcMar>
              <w:top w:w="40" w:type="dxa"/>
              <w:left w:w="40" w:type="dxa"/>
              <w:bottom w:w="40" w:type="dxa"/>
            </w:tcMar>
            <w:vAlign w:val="bottom"/>
          </w:tcPr>
          <w:p w14:paraId="2A73A0E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0E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68,887</w:t>
            </w:r>
          </w:p>
        </w:tc>
        <w:tc>
          <w:tcPr>
            <w:tcW w:w="0" w:type="auto"/>
            <w:shd w:val="clear" w:color="auto" w:fill="EFEFEF"/>
            <w:vAlign w:val="bottom"/>
          </w:tcPr>
          <w:p w14:paraId="2A73A0E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0E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0E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0E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77,683</w:t>
            </w:r>
          </w:p>
        </w:tc>
        <w:tc>
          <w:tcPr>
            <w:tcW w:w="0" w:type="auto"/>
            <w:shd w:val="clear" w:color="auto" w:fill="EFEFEF"/>
            <w:vAlign w:val="bottom"/>
          </w:tcPr>
          <w:p w14:paraId="2A73A0E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0E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0E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0E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70,197</w:t>
            </w:r>
          </w:p>
        </w:tc>
        <w:tc>
          <w:tcPr>
            <w:tcW w:w="0" w:type="auto"/>
            <w:shd w:val="clear" w:color="auto" w:fill="EFEFEF"/>
            <w:vAlign w:val="bottom"/>
          </w:tcPr>
          <w:p w14:paraId="2A73A0EC" w14:textId="77777777" w:rsidR="00FA5565" w:rsidRDefault="00FA5565">
            <w:pPr>
              <w:textAlignment w:val="bottom"/>
              <w:rPr>
                <w:rFonts w:ascii="Times New Roman" w:hAnsi="Times New Roman"/>
                <w:sz w:val="20"/>
                <w:szCs w:val="20"/>
              </w:rPr>
            </w:pPr>
          </w:p>
        </w:tc>
      </w:tr>
      <w:tr w:rsidR="00FA5565" w14:paraId="2A73A0F7" w14:textId="77777777">
        <w:tc>
          <w:tcPr>
            <w:tcW w:w="0" w:type="auto"/>
            <w:shd w:val="clear" w:color="auto" w:fill="auto"/>
            <w:tcMar>
              <w:top w:w="40" w:type="dxa"/>
              <w:left w:w="560" w:type="dxa"/>
              <w:bottom w:w="40" w:type="dxa"/>
              <w:right w:w="40" w:type="dxa"/>
            </w:tcMar>
            <w:vAlign w:val="bottom"/>
          </w:tcPr>
          <w:p w14:paraId="2A73A0E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Services</w:t>
            </w:r>
          </w:p>
        </w:tc>
        <w:tc>
          <w:tcPr>
            <w:tcW w:w="0" w:type="auto"/>
            <w:gridSpan w:val="2"/>
            <w:tcBorders>
              <w:bottom w:val="single" w:sz="8" w:space="0" w:color="000000"/>
            </w:tcBorders>
            <w:shd w:val="clear" w:color="auto" w:fill="auto"/>
            <w:tcMar>
              <w:top w:w="40" w:type="dxa"/>
              <w:left w:w="40" w:type="dxa"/>
              <w:bottom w:w="40" w:type="dxa"/>
            </w:tcMar>
            <w:vAlign w:val="bottom"/>
          </w:tcPr>
          <w:p w14:paraId="2A73A0E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29,505</w:t>
            </w:r>
          </w:p>
        </w:tc>
        <w:tc>
          <w:tcPr>
            <w:tcW w:w="0" w:type="auto"/>
            <w:tcBorders>
              <w:bottom w:val="single" w:sz="8" w:space="0" w:color="000000"/>
            </w:tcBorders>
            <w:shd w:val="clear" w:color="auto" w:fill="auto"/>
            <w:vAlign w:val="bottom"/>
          </w:tcPr>
          <w:p w14:paraId="2A73A0F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0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0F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24,156</w:t>
            </w:r>
          </w:p>
        </w:tc>
        <w:tc>
          <w:tcPr>
            <w:tcW w:w="0" w:type="auto"/>
            <w:tcBorders>
              <w:bottom w:val="single" w:sz="8" w:space="0" w:color="000000"/>
            </w:tcBorders>
            <w:shd w:val="clear" w:color="auto" w:fill="auto"/>
            <w:vAlign w:val="bottom"/>
          </w:tcPr>
          <w:p w14:paraId="2A73A0F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0F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0F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17,989</w:t>
            </w:r>
          </w:p>
        </w:tc>
        <w:tc>
          <w:tcPr>
            <w:tcW w:w="0" w:type="auto"/>
            <w:tcBorders>
              <w:bottom w:val="single" w:sz="8" w:space="0" w:color="000000"/>
            </w:tcBorders>
            <w:shd w:val="clear" w:color="auto" w:fill="auto"/>
            <w:vAlign w:val="bottom"/>
          </w:tcPr>
          <w:p w14:paraId="2A73A0F6" w14:textId="77777777" w:rsidR="00FA5565" w:rsidRDefault="00FA5565">
            <w:pPr>
              <w:textAlignment w:val="bottom"/>
              <w:rPr>
                <w:rFonts w:ascii="Times New Roman" w:hAnsi="Times New Roman"/>
                <w:sz w:val="20"/>
                <w:szCs w:val="20"/>
              </w:rPr>
            </w:pPr>
          </w:p>
        </w:tc>
      </w:tr>
      <w:tr w:rsidR="00FA5565" w14:paraId="2A73A104" w14:textId="77777777">
        <w:tc>
          <w:tcPr>
            <w:tcW w:w="0" w:type="auto"/>
            <w:shd w:val="clear" w:color="auto" w:fill="EFEFEF"/>
            <w:tcMar>
              <w:top w:w="40" w:type="dxa"/>
              <w:left w:w="1040" w:type="dxa"/>
              <w:bottom w:w="40" w:type="dxa"/>
              <w:right w:w="40" w:type="dxa"/>
            </w:tcMar>
            <w:vAlign w:val="bottom"/>
          </w:tcPr>
          <w:p w14:paraId="2A73A0F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Total gross margin</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A0F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A0F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98,392</w:t>
            </w:r>
          </w:p>
        </w:tc>
        <w:tc>
          <w:tcPr>
            <w:tcW w:w="0" w:type="auto"/>
            <w:tcBorders>
              <w:top w:val="single" w:sz="8" w:space="0" w:color="000000"/>
              <w:bottom w:val="double" w:sz="6" w:space="0" w:color="000000"/>
            </w:tcBorders>
            <w:shd w:val="clear" w:color="auto" w:fill="EFEFEF"/>
            <w:vAlign w:val="bottom"/>
          </w:tcPr>
          <w:p w14:paraId="2A73A0F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0F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A0F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A0F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101,839</w:t>
            </w:r>
          </w:p>
        </w:tc>
        <w:tc>
          <w:tcPr>
            <w:tcW w:w="0" w:type="auto"/>
            <w:tcBorders>
              <w:top w:val="single" w:sz="8" w:space="0" w:color="000000"/>
              <w:bottom w:val="double" w:sz="6" w:space="0" w:color="000000"/>
            </w:tcBorders>
            <w:shd w:val="clear" w:color="auto" w:fill="EFEFEF"/>
            <w:vAlign w:val="bottom"/>
          </w:tcPr>
          <w:p w14:paraId="2A73A0F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10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A10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A10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88,186</w:t>
            </w:r>
          </w:p>
        </w:tc>
        <w:tc>
          <w:tcPr>
            <w:tcW w:w="0" w:type="auto"/>
            <w:tcBorders>
              <w:top w:val="single" w:sz="8" w:space="0" w:color="000000"/>
              <w:bottom w:val="double" w:sz="6" w:space="0" w:color="000000"/>
            </w:tcBorders>
            <w:shd w:val="clear" w:color="auto" w:fill="EFEFEF"/>
            <w:vAlign w:val="bottom"/>
          </w:tcPr>
          <w:p w14:paraId="2A73A103" w14:textId="77777777" w:rsidR="00FA5565" w:rsidRDefault="00FA5565">
            <w:pPr>
              <w:textAlignment w:val="bottom"/>
              <w:rPr>
                <w:rFonts w:ascii="Times New Roman" w:hAnsi="Times New Roman"/>
                <w:sz w:val="20"/>
                <w:szCs w:val="20"/>
              </w:rPr>
            </w:pPr>
          </w:p>
        </w:tc>
      </w:tr>
      <w:tr w:rsidR="00FA5565" w14:paraId="2A73A10B" w14:textId="77777777">
        <w:tc>
          <w:tcPr>
            <w:tcW w:w="0" w:type="auto"/>
            <w:shd w:val="clear" w:color="auto" w:fill="auto"/>
            <w:tcMar>
              <w:top w:w="40" w:type="dxa"/>
              <w:left w:w="40" w:type="dxa"/>
              <w:bottom w:w="40" w:type="dxa"/>
              <w:right w:w="40" w:type="dxa"/>
            </w:tcMar>
            <w:vAlign w:val="bottom"/>
          </w:tcPr>
          <w:p w14:paraId="2A73A10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1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10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1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10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10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112" w14:textId="77777777">
        <w:tc>
          <w:tcPr>
            <w:tcW w:w="0" w:type="auto"/>
            <w:shd w:val="clear" w:color="auto" w:fill="EFEFEF"/>
            <w:tcMar>
              <w:top w:w="40" w:type="dxa"/>
              <w:left w:w="40" w:type="dxa"/>
              <w:bottom w:w="40" w:type="dxa"/>
              <w:right w:w="40" w:type="dxa"/>
            </w:tcMar>
            <w:vAlign w:val="bottom"/>
          </w:tcPr>
          <w:p w14:paraId="2A73A10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Gross margin percentage:</w:t>
            </w:r>
          </w:p>
        </w:tc>
        <w:tc>
          <w:tcPr>
            <w:tcW w:w="0" w:type="auto"/>
            <w:gridSpan w:val="3"/>
            <w:shd w:val="clear" w:color="auto" w:fill="EFEFEF"/>
            <w:tcMar>
              <w:top w:w="40" w:type="dxa"/>
              <w:left w:w="40" w:type="dxa"/>
              <w:bottom w:w="40" w:type="dxa"/>
              <w:right w:w="40" w:type="dxa"/>
            </w:tcMar>
            <w:vAlign w:val="bottom"/>
          </w:tcPr>
          <w:p w14:paraId="2A73A1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10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10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1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11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11C" w14:textId="77777777">
        <w:tc>
          <w:tcPr>
            <w:tcW w:w="0" w:type="auto"/>
            <w:shd w:val="clear" w:color="auto" w:fill="auto"/>
            <w:tcMar>
              <w:top w:w="40" w:type="dxa"/>
              <w:left w:w="560" w:type="dxa"/>
              <w:bottom w:w="40" w:type="dxa"/>
              <w:right w:w="40" w:type="dxa"/>
            </w:tcMar>
            <w:vAlign w:val="bottom"/>
          </w:tcPr>
          <w:p w14:paraId="2A73A11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Products</w:t>
            </w:r>
          </w:p>
        </w:tc>
        <w:tc>
          <w:tcPr>
            <w:tcW w:w="0" w:type="auto"/>
            <w:gridSpan w:val="2"/>
            <w:shd w:val="clear" w:color="auto" w:fill="auto"/>
            <w:tcMar>
              <w:top w:w="40" w:type="dxa"/>
              <w:left w:w="40" w:type="dxa"/>
              <w:bottom w:w="40" w:type="dxa"/>
            </w:tcMar>
            <w:vAlign w:val="bottom"/>
          </w:tcPr>
          <w:p w14:paraId="2A73A11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32.2</w:t>
            </w:r>
          </w:p>
        </w:tc>
        <w:tc>
          <w:tcPr>
            <w:tcW w:w="0" w:type="auto"/>
            <w:shd w:val="clear" w:color="auto" w:fill="auto"/>
            <w:tcMar>
              <w:top w:w="40" w:type="dxa"/>
              <w:bottom w:w="40" w:type="dxa"/>
              <w:right w:w="40" w:type="dxa"/>
            </w:tcMar>
            <w:vAlign w:val="bottom"/>
          </w:tcPr>
          <w:p w14:paraId="2A73A11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1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11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34.4</w:t>
            </w:r>
          </w:p>
        </w:tc>
        <w:tc>
          <w:tcPr>
            <w:tcW w:w="0" w:type="auto"/>
            <w:shd w:val="clear" w:color="auto" w:fill="auto"/>
            <w:tcMar>
              <w:top w:w="40" w:type="dxa"/>
              <w:bottom w:w="40" w:type="dxa"/>
              <w:right w:w="40" w:type="dxa"/>
            </w:tcMar>
            <w:vAlign w:val="bottom"/>
          </w:tcPr>
          <w:p w14:paraId="2A73A11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1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11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35.7</w:t>
            </w:r>
          </w:p>
        </w:tc>
        <w:tc>
          <w:tcPr>
            <w:tcW w:w="0" w:type="auto"/>
            <w:shd w:val="clear" w:color="auto" w:fill="auto"/>
            <w:tcMar>
              <w:top w:w="40" w:type="dxa"/>
              <w:bottom w:w="40" w:type="dxa"/>
              <w:right w:w="40" w:type="dxa"/>
            </w:tcMar>
            <w:vAlign w:val="bottom"/>
          </w:tcPr>
          <w:p w14:paraId="2A73A11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126" w14:textId="77777777">
        <w:tc>
          <w:tcPr>
            <w:tcW w:w="0" w:type="auto"/>
            <w:shd w:val="clear" w:color="auto" w:fill="EFEFEF"/>
            <w:tcMar>
              <w:top w:w="40" w:type="dxa"/>
              <w:left w:w="560" w:type="dxa"/>
              <w:bottom w:w="40" w:type="dxa"/>
              <w:right w:w="40" w:type="dxa"/>
            </w:tcMar>
            <w:vAlign w:val="bottom"/>
          </w:tcPr>
          <w:p w14:paraId="2A73A11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Services</w:t>
            </w:r>
          </w:p>
        </w:tc>
        <w:tc>
          <w:tcPr>
            <w:tcW w:w="0" w:type="auto"/>
            <w:gridSpan w:val="2"/>
            <w:shd w:val="clear" w:color="auto" w:fill="EFEFEF"/>
            <w:tcMar>
              <w:top w:w="40" w:type="dxa"/>
              <w:left w:w="40" w:type="dxa"/>
              <w:bottom w:w="40" w:type="dxa"/>
            </w:tcMar>
            <w:vAlign w:val="bottom"/>
          </w:tcPr>
          <w:p w14:paraId="2A73A11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63.7</w:t>
            </w:r>
          </w:p>
        </w:tc>
        <w:tc>
          <w:tcPr>
            <w:tcW w:w="0" w:type="auto"/>
            <w:shd w:val="clear" w:color="auto" w:fill="EFEFEF"/>
            <w:tcMar>
              <w:top w:w="40" w:type="dxa"/>
              <w:bottom w:w="40" w:type="dxa"/>
              <w:right w:w="40" w:type="dxa"/>
            </w:tcMar>
            <w:vAlign w:val="bottom"/>
          </w:tcPr>
          <w:p w14:paraId="2A73A11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1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12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60.8</w:t>
            </w:r>
          </w:p>
        </w:tc>
        <w:tc>
          <w:tcPr>
            <w:tcW w:w="0" w:type="auto"/>
            <w:shd w:val="clear" w:color="auto" w:fill="EFEFEF"/>
            <w:tcMar>
              <w:top w:w="40" w:type="dxa"/>
              <w:bottom w:w="40" w:type="dxa"/>
              <w:right w:w="40" w:type="dxa"/>
            </w:tcMar>
            <w:vAlign w:val="bottom"/>
          </w:tcPr>
          <w:p w14:paraId="2A73A12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1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12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55.0</w:t>
            </w:r>
          </w:p>
        </w:tc>
        <w:tc>
          <w:tcPr>
            <w:tcW w:w="0" w:type="auto"/>
            <w:shd w:val="clear" w:color="auto" w:fill="EFEFEF"/>
            <w:tcMar>
              <w:top w:w="40" w:type="dxa"/>
              <w:bottom w:w="40" w:type="dxa"/>
              <w:right w:w="40" w:type="dxa"/>
            </w:tcMar>
            <w:vAlign w:val="bottom"/>
          </w:tcPr>
          <w:p w14:paraId="2A73A12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130" w14:textId="77777777">
        <w:tc>
          <w:tcPr>
            <w:tcW w:w="0" w:type="auto"/>
            <w:shd w:val="clear" w:color="auto" w:fill="auto"/>
            <w:tcMar>
              <w:top w:w="40" w:type="dxa"/>
              <w:left w:w="1040" w:type="dxa"/>
              <w:bottom w:w="40" w:type="dxa"/>
              <w:right w:w="40" w:type="dxa"/>
            </w:tcMar>
            <w:vAlign w:val="bottom"/>
          </w:tcPr>
          <w:p w14:paraId="2A73A12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Total gross margin percentage</w:t>
            </w:r>
          </w:p>
        </w:tc>
        <w:tc>
          <w:tcPr>
            <w:tcW w:w="0" w:type="auto"/>
            <w:gridSpan w:val="2"/>
            <w:shd w:val="clear" w:color="auto" w:fill="auto"/>
            <w:tcMar>
              <w:top w:w="40" w:type="dxa"/>
              <w:left w:w="40" w:type="dxa"/>
              <w:bottom w:w="40" w:type="dxa"/>
            </w:tcMar>
            <w:vAlign w:val="bottom"/>
          </w:tcPr>
          <w:p w14:paraId="2A73A12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37.8</w:t>
            </w:r>
          </w:p>
        </w:tc>
        <w:tc>
          <w:tcPr>
            <w:tcW w:w="0" w:type="auto"/>
            <w:shd w:val="clear" w:color="auto" w:fill="auto"/>
            <w:tcMar>
              <w:top w:w="40" w:type="dxa"/>
              <w:bottom w:w="40" w:type="dxa"/>
              <w:right w:w="40" w:type="dxa"/>
            </w:tcMar>
            <w:vAlign w:val="bottom"/>
          </w:tcPr>
          <w:p w14:paraId="2A73A12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1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12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38.3</w:t>
            </w:r>
          </w:p>
        </w:tc>
        <w:tc>
          <w:tcPr>
            <w:tcW w:w="0" w:type="auto"/>
            <w:shd w:val="clear" w:color="auto" w:fill="auto"/>
            <w:tcMar>
              <w:top w:w="40" w:type="dxa"/>
              <w:bottom w:w="40" w:type="dxa"/>
              <w:right w:w="40" w:type="dxa"/>
            </w:tcMar>
            <w:vAlign w:val="bottom"/>
          </w:tcPr>
          <w:p w14:paraId="2A73A12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12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12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38.5</w:t>
            </w:r>
          </w:p>
        </w:tc>
        <w:tc>
          <w:tcPr>
            <w:tcW w:w="0" w:type="auto"/>
            <w:shd w:val="clear" w:color="auto" w:fill="auto"/>
            <w:tcMar>
              <w:top w:w="40" w:type="dxa"/>
              <w:bottom w:w="40" w:type="dxa"/>
              <w:right w:w="40" w:type="dxa"/>
            </w:tcMar>
            <w:vAlign w:val="bottom"/>
          </w:tcPr>
          <w:p w14:paraId="2A73A12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bl>
    <w:p w14:paraId="2A73A131"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Products Gross Margin</w:t>
      </w:r>
    </w:p>
    <w:p w14:paraId="2A73A13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Products gross margin and Products gross margin percentage </w:t>
      </w:r>
      <w:r>
        <w:rPr>
          <w:rFonts w:ascii="Helvetica" w:eastAsia="Helvetica" w:hAnsi="Helvetica" w:cs="Helvetica"/>
          <w:sz w:val="18"/>
          <w:szCs w:val="18"/>
        </w:rPr>
        <w:t>decreased during 2019 compared to 2018 due primarily to lower iPhone unit sales and the weakness in foreign currencies relative to the U.S. dollar.</w:t>
      </w:r>
    </w:p>
    <w:p w14:paraId="2A73A13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Products gross margin increased during 2018 compared to 2017 due primarily to a favorable shift in mix of </w:t>
      </w:r>
      <w:r>
        <w:rPr>
          <w:rFonts w:ascii="Helvetica" w:eastAsia="Helvetica" w:hAnsi="Helvetica" w:cs="Helvetica"/>
          <w:sz w:val="18"/>
          <w:szCs w:val="18"/>
        </w:rPr>
        <w:t>iPhones and the strength in foreign currencies relative to the U.S. dollar, partially offset by higher product cost structures. Year-over-year Products gross margin percentage decreased during 2018 due primarily to higher product cost structures, partially</w:t>
      </w:r>
      <w:r>
        <w:rPr>
          <w:rFonts w:ascii="Helvetica" w:eastAsia="Helvetica" w:hAnsi="Helvetica" w:cs="Helvetica"/>
          <w:sz w:val="18"/>
          <w:szCs w:val="18"/>
        </w:rPr>
        <w:t xml:space="preserve"> offset by the strength in foreign currencies relative to the U.S. dollar.</w:t>
      </w:r>
    </w:p>
    <w:p w14:paraId="2A73A134"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Services Gross Margin</w:t>
      </w:r>
    </w:p>
    <w:p w14:paraId="2A73A13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Year-over-year Services gross margin increased during 2019 and 2018 due primarily to higher Services net sales and a different services mix. Year-over-year Ser</w:t>
      </w:r>
      <w:r>
        <w:rPr>
          <w:rFonts w:ascii="Helvetica" w:eastAsia="Helvetica" w:hAnsi="Helvetica" w:cs="Helvetica"/>
          <w:sz w:val="18"/>
          <w:szCs w:val="18"/>
        </w:rPr>
        <w:t>vices gross margin percentage increased during 2019 and 2018 due primarily to a different services mix and leverage of the Company’s services fixed cost structure from higher Services net sales.</w:t>
      </w:r>
    </w:p>
    <w:p w14:paraId="2A73A13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future gross margins can be impacted by a varie</w:t>
      </w:r>
      <w:r>
        <w:rPr>
          <w:rFonts w:ascii="Helvetica" w:eastAsia="Helvetica" w:hAnsi="Helvetica" w:cs="Helvetica"/>
          <w:sz w:val="18"/>
          <w:szCs w:val="18"/>
        </w:rPr>
        <w:t>ty of factors, as set forth in Part I, Item 1A of this Form 10-K under the heading “Risk Factors”. As a result, the Company believes, in general, gross margins will be subject to volatility and remain under downward pressure.</w:t>
      </w:r>
    </w:p>
    <w:p w14:paraId="2A73A137"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Operating Expenses</w:t>
      </w:r>
    </w:p>
    <w:p w14:paraId="2A73A13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Operating expenses for 2019, 2018 and 2017 were as follows (dollars in millions):</w:t>
      </w:r>
    </w:p>
    <w:tbl>
      <w:tblPr>
        <w:tblW w:w="5000" w:type="pct"/>
        <w:tblCellMar>
          <w:left w:w="0" w:type="dxa"/>
          <w:right w:w="0" w:type="dxa"/>
        </w:tblCellMar>
        <w:tblLook w:val="04A0" w:firstRow="1" w:lastRow="0" w:firstColumn="1" w:lastColumn="0" w:noHBand="0" w:noVBand="1"/>
      </w:tblPr>
      <w:tblGrid>
        <w:gridCol w:w="3163"/>
        <w:gridCol w:w="141"/>
        <w:gridCol w:w="672"/>
        <w:gridCol w:w="201"/>
        <w:gridCol w:w="130"/>
        <w:gridCol w:w="601"/>
        <w:gridCol w:w="201"/>
        <w:gridCol w:w="130"/>
        <w:gridCol w:w="141"/>
        <w:gridCol w:w="660"/>
        <w:gridCol w:w="201"/>
        <w:gridCol w:w="130"/>
        <w:gridCol w:w="601"/>
        <w:gridCol w:w="201"/>
        <w:gridCol w:w="130"/>
        <w:gridCol w:w="141"/>
        <w:gridCol w:w="661"/>
        <w:gridCol w:w="201"/>
      </w:tblGrid>
      <w:tr w:rsidR="00FA5565" w14:paraId="2A73A13A" w14:textId="77777777">
        <w:tc>
          <w:tcPr>
            <w:tcW w:w="0" w:type="auto"/>
            <w:gridSpan w:val="18"/>
            <w:shd w:val="clear" w:color="auto" w:fill="auto"/>
            <w:vAlign w:val="center"/>
          </w:tcPr>
          <w:p w14:paraId="2A73A139" w14:textId="77777777" w:rsidR="00FA5565" w:rsidRDefault="00FA5565">
            <w:pPr>
              <w:rPr>
                <w:rFonts w:ascii="Times New Roman" w:hAnsi="Times New Roman"/>
                <w:sz w:val="20"/>
                <w:szCs w:val="20"/>
              </w:rPr>
            </w:pPr>
          </w:p>
        </w:tc>
      </w:tr>
      <w:tr w:rsidR="00FA5565" w14:paraId="2A73A14D" w14:textId="77777777">
        <w:tc>
          <w:tcPr>
            <w:tcW w:w="2000" w:type="pct"/>
            <w:shd w:val="clear" w:color="auto" w:fill="auto"/>
            <w:vAlign w:val="center"/>
          </w:tcPr>
          <w:p w14:paraId="2A73A13B" w14:textId="77777777" w:rsidR="00FA5565" w:rsidRDefault="00FA5565">
            <w:pPr>
              <w:rPr>
                <w:rFonts w:ascii="Times New Roman" w:hAnsi="Times New Roman"/>
                <w:sz w:val="20"/>
                <w:szCs w:val="20"/>
              </w:rPr>
            </w:pPr>
          </w:p>
        </w:tc>
        <w:tc>
          <w:tcPr>
            <w:tcW w:w="50" w:type="pct"/>
            <w:shd w:val="clear" w:color="auto" w:fill="auto"/>
            <w:vAlign w:val="center"/>
          </w:tcPr>
          <w:p w14:paraId="2A73A13C" w14:textId="77777777" w:rsidR="00FA5565" w:rsidRDefault="00FA5565">
            <w:pPr>
              <w:rPr>
                <w:rFonts w:ascii="Times New Roman" w:hAnsi="Times New Roman"/>
                <w:sz w:val="20"/>
                <w:szCs w:val="20"/>
              </w:rPr>
            </w:pPr>
          </w:p>
        </w:tc>
        <w:tc>
          <w:tcPr>
            <w:tcW w:w="500" w:type="pct"/>
            <w:shd w:val="clear" w:color="auto" w:fill="auto"/>
            <w:vAlign w:val="center"/>
          </w:tcPr>
          <w:p w14:paraId="2A73A13D" w14:textId="77777777" w:rsidR="00FA5565" w:rsidRDefault="00FA5565">
            <w:pPr>
              <w:rPr>
                <w:rFonts w:ascii="Times New Roman" w:hAnsi="Times New Roman"/>
                <w:sz w:val="20"/>
                <w:szCs w:val="20"/>
              </w:rPr>
            </w:pPr>
          </w:p>
        </w:tc>
        <w:tc>
          <w:tcPr>
            <w:tcW w:w="50" w:type="pct"/>
            <w:shd w:val="clear" w:color="auto" w:fill="auto"/>
            <w:vAlign w:val="center"/>
          </w:tcPr>
          <w:p w14:paraId="2A73A13E" w14:textId="77777777" w:rsidR="00FA5565" w:rsidRDefault="00FA5565">
            <w:pPr>
              <w:rPr>
                <w:rFonts w:ascii="Times New Roman" w:hAnsi="Times New Roman"/>
                <w:sz w:val="20"/>
                <w:szCs w:val="20"/>
              </w:rPr>
            </w:pPr>
          </w:p>
        </w:tc>
        <w:tc>
          <w:tcPr>
            <w:tcW w:w="50" w:type="pct"/>
            <w:shd w:val="clear" w:color="auto" w:fill="auto"/>
            <w:vAlign w:val="center"/>
          </w:tcPr>
          <w:p w14:paraId="2A73A13F" w14:textId="77777777" w:rsidR="00FA5565" w:rsidRDefault="00FA5565">
            <w:pPr>
              <w:rPr>
                <w:rFonts w:ascii="Times New Roman" w:hAnsi="Times New Roman"/>
                <w:sz w:val="20"/>
                <w:szCs w:val="20"/>
              </w:rPr>
            </w:pPr>
          </w:p>
        </w:tc>
        <w:tc>
          <w:tcPr>
            <w:tcW w:w="450" w:type="pct"/>
            <w:shd w:val="clear" w:color="auto" w:fill="auto"/>
            <w:vAlign w:val="center"/>
          </w:tcPr>
          <w:p w14:paraId="2A73A140" w14:textId="77777777" w:rsidR="00FA5565" w:rsidRDefault="00FA5565">
            <w:pPr>
              <w:rPr>
                <w:rFonts w:ascii="Times New Roman" w:hAnsi="Times New Roman"/>
                <w:sz w:val="20"/>
                <w:szCs w:val="20"/>
              </w:rPr>
            </w:pPr>
          </w:p>
        </w:tc>
        <w:tc>
          <w:tcPr>
            <w:tcW w:w="50" w:type="pct"/>
            <w:shd w:val="clear" w:color="auto" w:fill="auto"/>
            <w:vAlign w:val="center"/>
          </w:tcPr>
          <w:p w14:paraId="2A73A141" w14:textId="77777777" w:rsidR="00FA5565" w:rsidRDefault="00FA5565">
            <w:pPr>
              <w:rPr>
                <w:rFonts w:ascii="Times New Roman" w:hAnsi="Times New Roman"/>
                <w:sz w:val="20"/>
                <w:szCs w:val="20"/>
              </w:rPr>
            </w:pPr>
          </w:p>
        </w:tc>
        <w:tc>
          <w:tcPr>
            <w:tcW w:w="50" w:type="pct"/>
            <w:shd w:val="clear" w:color="auto" w:fill="auto"/>
            <w:vAlign w:val="center"/>
          </w:tcPr>
          <w:p w14:paraId="2A73A142" w14:textId="77777777" w:rsidR="00FA5565" w:rsidRDefault="00FA5565">
            <w:pPr>
              <w:rPr>
                <w:rFonts w:ascii="Times New Roman" w:hAnsi="Times New Roman"/>
                <w:sz w:val="20"/>
                <w:szCs w:val="20"/>
              </w:rPr>
            </w:pPr>
          </w:p>
        </w:tc>
        <w:tc>
          <w:tcPr>
            <w:tcW w:w="50" w:type="pct"/>
            <w:shd w:val="clear" w:color="auto" w:fill="auto"/>
            <w:vAlign w:val="center"/>
          </w:tcPr>
          <w:p w14:paraId="2A73A143" w14:textId="77777777" w:rsidR="00FA5565" w:rsidRDefault="00FA5565">
            <w:pPr>
              <w:rPr>
                <w:rFonts w:ascii="Times New Roman" w:hAnsi="Times New Roman"/>
                <w:sz w:val="20"/>
                <w:szCs w:val="20"/>
              </w:rPr>
            </w:pPr>
          </w:p>
        </w:tc>
        <w:tc>
          <w:tcPr>
            <w:tcW w:w="500" w:type="pct"/>
            <w:shd w:val="clear" w:color="auto" w:fill="auto"/>
            <w:vAlign w:val="center"/>
          </w:tcPr>
          <w:p w14:paraId="2A73A144" w14:textId="77777777" w:rsidR="00FA5565" w:rsidRDefault="00FA5565">
            <w:pPr>
              <w:rPr>
                <w:rFonts w:ascii="Times New Roman" w:hAnsi="Times New Roman"/>
                <w:sz w:val="20"/>
                <w:szCs w:val="20"/>
              </w:rPr>
            </w:pPr>
          </w:p>
        </w:tc>
        <w:tc>
          <w:tcPr>
            <w:tcW w:w="50" w:type="pct"/>
            <w:shd w:val="clear" w:color="auto" w:fill="auto"/>
            <w:vAlign w:val="center"/>
          </w:tcPr>
          <w:p w14:paraId="2A73A145" w14:textId="77777777" w:rsidR="00FA5565" w:rsidRDefault="00FA5565">
            <w:pPr>
              <w:rPr>
                <w:rFonts w:ascii="Times New Roman" w:hAnsi="Times New Roman"/>
                <w:sz w:val="20"/>
                <w:szCs w:val="20"/>
              </w:rPr>
            </w:pPr>
          </w:p>
        </w:tc>
        <w:tc>
          <w:tcPr>
            <w:tcW w:w="50" w:type="pct"/>
            <w:shd w:val="clear" w:color="auto" w:fill="auto"/>
            <w:vAlign w:val="center"/>
          </w:tcPr>
          <w:p w14:paraId="2A73A146" w14:textId="77777777" w:rsidR="00FA5565" w:rsidRDefault="00FA5565">
            <w:pPr>
              <w:rPr>
                <w:rFonts w:ascii="Times New Roman" w:hAnsi="Times New Roman"/>
                <w:sz w:val="20"/>
                <w:szCs w:val="20"/>
              </w:rPr>
            </w:pPr>
          </w:p>
        </w:tc>
        <w:tc>
          <w:tcPr>
            <w:tcW w:w="450" w:type="pct"/>
            <w:shd w:val="clear" w:color="auto" w:fill="auto"/>
            <w:vAlign w:val="center"/>
          </w:tcPr>
          <w:p w14:paraId="2A73A147" w14:textId="77777777" w:rsidR="00FA5565" w:rsidRDefault="00FA5565">
            <w:pPr>
              <w:rPr>
                <w:rFonts w:ascii="Times New Roman" w:hAnsi="Times New Roman"/>
                <w:sz w:val="20"/>
                <w:szCs w:val="20"/>
              </w:rPr>
            </w:pPr>
          </w:p>
        </w:tc>
        <w:tc>
          <w:tcPr>
            <w:tcW w:w="50" w:type="pct"/>
            <w:shd w:val="clear" w:color="auto" w:fill="auto"/>
            <w:vAlign w:val="center"/>
          </w:tcPr>
          <w:p w14:paraId="2A73A148" w14:textId="77777777" w:rsidR="00FA5565" w:rsidRDefault="00FA5565">
            <w:pPr>
              <w:rPr>
                <w:rFonts w:ascii="Times New Roman" w:hAnsi="Times New Roman"/>
                <w:sz w:val="20"/>
                <w:szCs w:val="20"/>
              </w:rPr>
            </w:pPr>
          </w:p>
        </w:tc>
        <w:tc>
          <w:tcPr>
            <w:tcW w:w="50" w:type="pct"/>
            <w:shd w:val="clear" w:color="auto" w:fill="auto"/>
            <w:vAlign w:val="center"/>
          </w:tcPr>
          <w:p w14:paraId="2A73A149" w14:textId="77777777" w:rsidR="00FA5565" w:rsidRDefault="00FA5565">
            <w:pPr>
              <w:rPr>
                <w:rFonts w:ascii="Times New Roman" w:hAnsi="Times New Roman"/>
                <w:sz w:val="20"/>
                <w:szCs w:val="20"/>
              </w:rPr>
            </w:pPr>
          </w:p>
        </w:tc>
        <w:tc>
          <w:tcPr>
            <w:tcW w:w="50" w:type="pct"/>
            <w:shd w:val="clear" w:color="auto" w:fill="auto"/>
            <w:vAlign w:val="center"/>
          </w:tcPr>
          <w:p w14:paraId="2A73A14A" w14:textId="77777777" w:rsidR="00FA5565" w:rsidRDefault="00FA5565">
            <w:pPr>
              <w:rPr>
                <w:rFonts w:ascii="Times New Roman" w:hAnsi="Times New Roman"/>
                <w:sz w:val="20"/>
                <w:szCs w:val="20"/>
              </w:rPr>
            </w:pPr>
          </w:p>
        </w:tc>
        <w:tc>
          <w:tcPr>
            <w:tcW w:w="500" w:type="pct"/>
            <w:shd w:val="clear" w:color="auto" w:fill="auto"/>
            <w:vAlign w:val="center"/>
          </w:tcPr>
          <w:p w14:paraId="2A73A14B" w14:textId="77777777" w:rsidR="00FA5565" w:rsidRDefault="00FA5565">
            <w:pPr>
              <w:rPr>
                <w:rFonts w:ascii="Times New Roman" w:hAnsi="Times New Roman"/>
                <w:sz w:val="20"/>
                <w:szCs w:val="20"/>
              </w:rPr>
            </w:pPr>
          </w:p>
        </w:tc>
        <w:tc>
          <w:tcPr>
            <w:tcW w:w="50" w:type="pct"/>
            <w:shd w:val="clear" w:color="auto" w:fill="auto"/>
            <w:vAlign w:val="center"/>
          </w:tcPr>
          <w:p w14:paraId="2A73A14C" w14:textId="77777777" w:rsidR="00FA5565" w:rsidRDefault="00FA5565">
            <w:pPr>
              <w:rPr>
                <w:rFonts w:ascii="Times New Roman" w:hAnsi="Times New Roman"/>
                <w:sz w:val="20"/>
                <w:szCs w:val="20"/>
              </w:rPr>
            </w:pPr>
          </w:p>
        </w:tc>
      </w:tr>
      <w:tr w:rsidR="00FA5565" w14:paraId="2A73A158" w14:textId="77777777">
        <w:tc>
          <w:tcPr>
            <w:tcW w:w="0" w:type="auto"/>
            <w:shd w:val="clear" w:color="auto" w:fill="auto"/>
            <w:tcMar>
              <w:top w:w="40" w:type="dxa"/>
              <w:left w:w="40" w:type="dxa"/>
              <w:bottom w:w="40" w:type="dxa"/>
              <w:right w:w="40" w:type="dxa"/>
            </w:tcMar>
            <w:vAlign w:val="bottom"/>
          </w:tcPr>
          <w:p w14:paraId="2A73A1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14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A15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A15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Change</w:t>
            </w:r>
          </w:p>
        </w:tc>
        <w:tc>
          <w:tcPr>
            <w:tcW w:w="0" w:type="auto"/>
            <w:shd w:val="clear" w:color="auto" w:fill="auto"/>
            <w:tcMar>
              <w:top w:w="40" w:type="dxa"/>
              <w:left w:w="40" w:type="dxa"/>
              <w:bottom w:w="40" w:type="dxa"/>
              <w:right w:w="40" w:type="dxa"/>
            </w:tcMar>
            <w:vAlign w:val="bottom"/>
          </w:tcPr>
          <w:p w14:paraId="2A73A1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15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A15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A15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Change</w:t>
            </w:r>
          </w:p>
        </w:tc>
        <w:tc>
          <w:tcPr>
            <w:tcW w:w="0" w:type="auto"/>
            <w:shd w:val="clear" w:color="auto" w:fill="auto"/>
            <w:tcMar>
              <w:top w:w="40" w:type="dxa"/>
              <w:left w:w="40" w:type="dxa"/>
              <w:bottom w:w="40" w:type="dxa"/>
              <w:right w:w="40" w:type="dxa"/>
            </w:tcMar>
            <w:vAlign w:val="bottom"/>
          </w:tcPr>
          <w:p w14:paraId="2A73A1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15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A16B" w14:textId="77777777">
        <w:tc>
          <w:tcPr>
            <w:tcW w:w="0" w:type="auto"/>
            <w:shd w:val="clear" w:color="auto" w:fill="auto"/>
            <w:tcMar>
              <w:top w:w="40" w:type="dxa"/>
              <w:left w:w="40" w:type="dxa"/>
              <w:bottom w:w="40" w:type="dxa"/>
              <w:right w:w="40" w:type="dxa"/>
            </w:tcMar>
            <w:vAlign w:val="bottom"/>
          </w:tcPr>
          <w:p w14:paraId="2A73A159"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Research and development</w:t>
            </w:r>
          </w:p>
        </w:tc>
        <w:tc>
          <w:tcPr>
            <w:tcW w:w="0" w:type="auto"/>
            <w:tcBorders>
              <w:top w:val="single" w:sz="8" w:space="0" w:color="000000"/>
            </w:tcBorders>
            <w:shd w:val="clear" w:color="auto" w:fill="auto"/>
            <w:tcMar>
              <w:top w:w="40" w:type="dxa"/>
              <w:left w:w="40" w:type="dxa"/>
              <w:bottom w:w="40" w:type="dxa"/>
            </w:tcMar>
            <w:vAlign w:val="bottom"/>
          </w:tcPr>
          <w:p w14:paraId="2A73A15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15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16,217</w:t>
            </w:r>
          </w:p>
        </w:tc>
        <w:tc>
          <w:tcPr>
            <w:tcW w:w="0" w:type="auto"/>
            <w:tcBorders>
              <w:top w:val="single" w:sz="8" w:space="0" w:color="000000"/>
            </w:tcBorders>
            <w:shd w:val="clear" w:color="auto" w:fill="auto"/>
            <w:vAlign w:val="bottom"/>
          </w:tcPr>
          <w:p w14:paraId="2A73A15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1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15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w:t>
            </w:r>
          </w:p>
        </w:tc>
        <w:tc>
          <w:tcPr>
            <w:tcW w:w="0" w:type="auto"/>
            <w:tcBorders>
              <w:top w:val="single" w:sz="8" w:space="0" w:color="000000"/>
            </w:tcBorders>
            <w:shd w:val="clear" w:color="auto" w:fill="auto"/>
            <w:tcMar>
              <w:top w:w="40" w:type="dxa"/>
              <w:bottom w:w="40" w:type="dxa"/>
              <w:right w:w="40" w:type="dxa"/>
            </w:tcMar>
            <w:vAlign w:val="bottom"/>
          </w:tcPr>
          <w:p w14:paraId="2A73A15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1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16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16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14,236</w:t>
            </w:r>
          </w:p>
        </w:tc>
        <w:tc>
          <w:tcPr>
            <w:tcW w:w="0" w:type="auto"/>
            <w:shd w:val="clear" w:color="auto" w:fill="auto"/>
            <w:vAlign w:val="bottom"/>
          </w:tcPr>
          <w:p w14:paraId="2A73A16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1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16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w:t>
            </w:r>
          </w:p>
        </w:tc>
        <w:tc>
          <w:tcPr>
            <w:tcW w:w="0" w:type="auto"/>
            <w:shd w:val="clear" w:color="auto" w:fill="auto"/>
            <w:tcMar>
              <w:top w:w="40" w:type="dxa"/>
              <w:bottom w:w="40" w:type="dxa"/>
              <w:right w:w="40" w:type="dxa"/>
            </w:tcMar>
            <w:vAlign w:val="bottom"/>
          </w:tcPr>
          <w:p w14:paraId="2A73A16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1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16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16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11,581</w:t>
            </w:r>
          </w:p>
        </w:tc>
        <w:tc>
          <w:tcPr>
            <w:tcW w:w="0" w:type="auto"/>
            <w:tcBorders>
              <w:top w:val="single" w:sz="8" w:space="0" w:color="000000"/>
            </w:tcBorders>
            <w:shd w:val="clear" w:color="auto" w:fill="auto"/>
            <w:vAlign w:val="bottom"/>
          </w:tcPr>
          <w:p w14:paraId="2A73A16A" w14:textId="77777777" w:rsidR="00FA5565" w:rsidRDefault="00FA5565">
            <w:pPr>
              <w:textAlignment w:val="bottom"/>
              <w:rPr>
                <w:rFonts w:ascii="Times New Roman" w:hAnsi="Times New Roman"/>
                <w:sz w:val="20"/>
                <w:szCs w:val="20"/>
              </w:rPr>
            </w:pPr>
          </w:p>
        </w:tc>
      </w:tr>
      <w:tr w:rsidR="00FA5565" w14:paraId="2A73A179" w14:textId="77777777">
        <w:tc>
          <w:tcPr>
            <w:tcW w:w="0" w:type="auto"/>
            <w:shd w:val="clear" w:color="auto" w:fill="EFEFEF"/>
            <w:tcMar>
              <w:top w:w="40" w:type="dxa"/>
              <w:left w:w="560" w:type="dxa"/>
              <w:bottom w:w="40" w:type="dxa"/>
              <w:right w:w="40" w:type="dxa"/>
            </w:tcMar>
            <w:vAlign w:val="bottom"/>
          </w:tcPr>
          <w:p w14:paraId="2A73A16C"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Percentage of total net sales</w:t>
            </w:r>
          </w:p>
        </w:tc>
        <w:tc>
          <w:tcPr>
            <w:tcW w:w="0" w:type="auto"/>
            <w:gridSpan w:val="2"/>
            <w:shd w:val="clear" w:color="auto" w:fill="EFEFEF"/>
            <w:tcMar>
              <w:top w:w="40" w:type="dxa"/>
              <w:left w:w="40" w:type="dxa"/>
              <w:bottom w:w="40" w:type="dxa"/>
            </w:tcMar>
            <w:vAlign w:val="bottom"/>
          </w:tcPr>
          <w:p w14:paraId="2A73A16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w:t>
            </w:r>
          </w:p>
        </w:tc>
        <w:tc>
          <w:tcPr>
            <w:tcW w:w="0" w:type="auto"/>
            <w:shd w:val="clear" w:color="auto" w:fill="EFEFEF"/>
            <w:tcMar>
              <w:top w:w="40" w:type="dxa"/>
              <w:bottom w:w="40" w:type="dxa"/>
              <w:right w:w="40" w:type="dxa"/>
            </w:tcMar>
            <w:vAlign w:val="bottom"/>
          </w:tcPr>
          <w:p w14:paraId="2A73A16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16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A17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17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17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w:t>
            </w:r>
          </w:p>
        </w:tc>
        <w:tc>
          <w:tcPr>
            <w:tcW w:w="0" w:type="auto"/>
            <w:shd w:val="clear" w:color="auto" w:fill="EFEFEF"/>
            <w:tcMar>
              <w:top w:w="40" w:type="dxa"/>
              <w:bottom w:w="40" w:type="dxa"/>
              <w:right w:w="40" w:type="dxa"/>
            </w:tcMar>
            <w:vAlign w:val="bottom"/>
          </w:tcPr>
          <w:p w14:paraId="2A73A17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1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A17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17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17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w:t>
            </w:r>
          </w:p>
        </w:tc>
        <w:tc>
          <w:tcPr>
            <w:tcW w:w="0" w:type="auto"/>
            <w:shd w:val="clear" w:color="auto" w:fill="EFEFEF"/>
            <w:tcMar>
              <w:top w:w="40" w:type="dxa"/>
              <w:bottom w:w="40" w:type="dxa"/>
              <w:right w:w="40" w:type="dxa"/>
            </w:tcMar>
            <w:vAlign w:val="bottom"/>
          </w:tcPr>
          <w:p w14:paraId="2A73A17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18C" w14:textId="77777777">
        <w:tc>
          <w:tcPr>
            <w:tcW w:w="0" w:type="auto"/>
            <w:shd w:val="clear" w:color="auto" w:fill="auto"/>
            <w:tcMar>
              <w:top w:w="40" w:type="dxa"/>
              <w:left w:w="40" w:type="dxa"/>
              <w:bottom w:w="40" w:type="dxa"/>
              <w:right w:w="40" w:type="dxa"/>
            </w:tcMar>
            <w:vAlign w:val="bottom"/>
          </w:tcPr>
          <w:p w14:paraId="2A73A17A"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Selling, general and administrative</w:t>
            </w:r>
          </w:p>
        </w:tc>
        <w:tc>
          <w:tcPr>
            <w:tcW w:w="0" w:type="auto"/>
            <w:shd w:val="clear" w:color="auto" w:fill="auto"/>
            <w:tcMar>
              <w:top w:w="40" w:type="dxa"/>
              <w:left w:w="40" w:type="dxa"/>
              <w:bottom w:w="40" w:type="dxa"/>
            </w:tcMar>
            <w:vAlign w:val="bottom"/>
          </w:tcPr>
          <w:p w14:paraId="2A73A17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17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18,245</w:t>
            </w:r>
          </w:p>
        </w:tc>
        <w:tc>
          <w:tcPr>
            <w:tcW w:w="0" w:type="auto"/>
            <w:shd w:val="clear" w:color="auto" w:fill="auto"/>
            <w:vAlign w:val="bottom"/>
          </w:tcPr>
          <w:p w14:paraId="2A73A17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17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17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w:t>
            </w:r>
          </w:p>
        </w:tc>
        <w:tc>
          <w:tcPr>
            <w:tcW w:w="0" w:type="auto"/>
            <w:shd w:val="clear" w:color="auto" w:fill="auto"/>
            <w:tcMar>
              <w:top w:w="40" w:type="dxa"/>
              <w:bottom w:w="40" w:type="dxa"/>
              <w:right w:w="40" w:type="dxa"/>
            </w:tcMar>
            <w:vAlign w:val="bottom"/>
          </w:tcPr>
          <w:p w14:paraId="2A73A18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1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18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18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16,705</w:t>
            </w:r>
          </w:p>
        </w:tc>
        <w:tc>
          <w:tcPr>
            <w:tcW w:w="0" w:type="auto"/>
            <w:shd w:val="clear" w:color="auto" w:fill="auto"/>
            <w:vAlign w:val="bottom"/>
          </w:tcPr>
          <w:p w14:paraId="2A73A18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1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18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w:t>
            </w:r>
          </w:p>
        </w:tc>
        <w:tc>
          <w:tcPr>
            <w:tcW w:w="0" w:type="auto"/>
            <w:shd w:val="clear" w:color="auto" w:fill="auto"/>
            <w:tcMar>
              <w:top w:w="40" w:type="dxa"/>
              <w:bottom w:w="40" w:type="dxa"/>
              <w:right w:w="40" w:type="dxa"/>
            </w:tcMar>
            <w:vAlign w:val="bottom"/>
          </w:tcPr>
          <w:p w14:paraId="2A73A18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1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18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18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15,261</w:t>
            </w:r>
          </w:p>
        </w:tc>
        <w:tc>
          <w:tcPr>
            <w:tcW w:w="0" w:type="auto"/>
            <w:shd w:val="clear" w:color="auto" w:fill="auto"/>
            <w:vAlign w:val="bottom"/>
          </w:tcPr>
          <w:p w14:paraId="2A73A18B" w14:textId="77777777" w:rsidR="00FA5565" w:rsidRDefault="00FA5565">
            <w:pPr>
              <w:textAlignment w:val="bottom"/>
              <w:rPr>
                <w:rFonts w:ascii="Times New Roman" w:hAnsi="Times New Roman"/>
                <w:sz w:val="20"/>
                <w:szCs w:val="20"/>
              </w:rPr>
            </w:pPr>
          </w:p>
        </w:tc>
      </w:tr>
      <w:tr w:rsidR="00FA5565" w14:paraId="2A73A19A" w14:textId="77777777">
        <w:tc>
          <w:tcPr>
            <w:tcW w:w="0" w:type="auto"/>
            <w:shd w:val="clear" w:color="auto" w:fill="EFEFEF"/>
            <w:tcMar>
              <w:top w:w="40" w:type="dxa"/>
              <w:left w:w="560" w:type="dxa"/>
              <w:bottom w:w="40" w:type="dxa"/>
              <w:right w:w="40" w:type="dxa"/>
            </w:tcMar>
            <w:vAlign w:val="bottom"/>
          </w:tcPr>
          <w:p w14:paraId="2A73A18D"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Percentage of total net sales</w:t>
            </w:r>
          </w:p>
        </w:tc>
        <w:tc>
          <w:tcPr>
            <w:tcW w:w="0" w:type="auto"/>
            <w:gridSpan w:val="2"/>
            <w:shd w:val="clear" w:color="auto" w:fill="EFEFEF"/>
            <w:tcMar>
              <w:top w:w="40" w:type="dxa"/>
              <w:left w:w="40" w:type="dxa"/>
              <w:bottom w:w="40" w:type="dxa"/>
            </w:tcMar>
            <w:vAlign w:val="bottom"/>
          </w:tcPr>
          <w:p w14:paraId="2A73A18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w:t>
            </w:r>
          </w:p>
        </w:tc>
        <w:tc>
          <w:tcPr>
            <w:tcW w:w="0" w:type="auto"/>
            <w:shd w:val="clear" w:color="auto" w:fill="EFEFEF"/>
            <w:tcMar>
              <w:top w:w="40" w:type="dxa"/>
              <w:bottom w:w="40" w:type="dxa"/>
              <w:right w:w="40" w:type="dxa"/>
            </w:tcMar>
            <w:vAlign w:val="bottom"/>
          </w:tcPr>
          <w:p w14:paraId="2A73A18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1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A1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19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19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w:t>
            </w:r>
          </w:p>
        </w:tc>
        <w:tc>
          <w:tcPr>
            <w:tcW w:w="0" w:type="auto"/>
            <w:shd w:val="clear" w:color="auto" w:fill="EFEFEF"/>
            <w:tcMar>
              <w:top w:w="40" w:type="dxa"/>
              <w:bottom w:w="40" w:type="dxa"/>
              <w:right w:w="40" w:type="dxa"/>
            </w:tcMar>
            <w:vAlign w:val="bottom"/>
          </w:tcPr>
          <w:p w14:paraId="2A73A19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1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A19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19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19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w:t>
            </w:r>
          </w:p>
        </w:tc>
        <w:tc>
          <w:tcPr>
            <w:tcW w:w="0" w:type="auto"/>
            <w:shd w:val="clear" w:color="auto" w:fill="EFEFEF"/>
            <w:tcMar>
              <w:top w:w="40" w:type="dxa"/>
              <w:bottom w:w="40" w:type="dxa"/>
              <w:right w:w="40" w:type="dxa"/>
            </w:tcMar>
            <w:vAlign w:val="bottom"/>
          </w:tcPr>
          <w:p w14:paraId="2A73A19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1AD" w14:textId="77777777">
        <w:tc>
          <w:tcPr>
            <w:tcW w:w="0" w:type="auto"/>
            <w:shd w:val="clear" w:color="auto" w:fill="auto"/>
            <w:tcMar>
              <w:top w:w="40" w:type="dxa"/>
              <w:left w:w="40" w:type="dxa"/>
              <w:bottom w:w="40" w:type="dxa"/>
              <w:right w:w="40" w:type="dxa"/>
            </w:tcMar>
            <w:vAlign w:val="bottom"/>
          </w:tcPr>
          <w:p w14:paraId="2A73A19B"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Total operating expenses</w:t>
            </w:r>
          </w:p>
        </w:tc>
        <w:tc>
          <w:tcPr>
            <w:tcW w:w="0" w:type="auto"/>
            <w:shd w:val="clear" w:color="auto" w:fill="auto"/>
            <w:tcMar>
              <w:top w:w="40" w:type="dxa"/>
              <w:left w:w="40" w:type="dxa"/>
              <w:bottom w:w="40" w:type="dxa"/>
            </w:tcMar>
            <w:vAlign w:val="bottom"/>
          </w:tcPr>
          <w:p w14:paraId="2A73A19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19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34,462</w:t>
            </w:r>
          </w:p>
        </w:tc>
        <w:tc>
          <w:tcPr>
            <w:tcW w:w="0" w:type="auto"/>
            <w:shd w:val="clear" w:color="auto" w:fill="auto"/>
            <w:vAlign w:val="bottom"/>
          </w:tcPr>
          <w:p w14:paraId="2A73A19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19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1A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w:t>
            </w:r>
          </w:p>
        </w:tc>
        <w:tc>
          <w:tcPr>
            <w:tcW w:w="0" w:type="auto"/>
            <w:shd w:val="clear" w:color="auto" w:fill="auto"/>
            <w:tcMar>
              <w:top w:w="40" w:type="dxa"/>
              <w:bottom w:w="40" w:type="dxa"/>
              <w:right w:w="40" w:type="dxa"/>
            </w:tcMar>
            <w:vAlign w:val="bottom"/>
          </w:tcPr>
          <w:p w14:paraId="2A73A1A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1A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1A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1A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30,941</w:t>
            </w:r>
          </w:p>
        </w:tc>
        <w:tc>
          <w:tcPr>
            <w:tcW w:w="0" w:type="auto"/>
            <w:shd w:val="clear" w:color="auto" w:fill="auto"/>
            <w:vAlign w:val="bottom"/>
          </w:tcPr>
          <w:p w14:paraId="2A73A1A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1A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1A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w:t>
            </w:r>
          </w:p>
        </w:tc>
        <w:tc>
          <w:tcPr>
            <w:tcW w:w="0" w:type="auto"/>
            <w:shd w:val="clear" w:color="auto" w:fill="auto"/>
            <w:tcMar>
              <w:top w:w="40" w:type="dxa"/>
              <w:bottom w:w="40" w:type="dxa"/>
              <w:right w:w="40" w:type="dxa"/>
            </w:tcMar>
            <w:vAlign w:val="bottom"/>
          </w:tcPr>
          <w:p w14:paraId="2A73A1A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1A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1A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1A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26,842</w:t>
            </w:r>
          </w:p>
        </w:tc>
        <w:tc>
          <w:tcPr>
            <w:tcW w:w="0" w:type="auto"/>
            <w:shd w:val="clear" w:color="auto" w:fill="auto"/>
            <w:vAlign w:val="bottom"/>
          </w:tcPr>
          <w:p w14:paraId="2A73A1AC" w14:textId="77777777" w:rsidR="00FA5565" w:rsidRDefault="00FA5565">
            <w:pPr>
              <w:textAlignment w:val="bottom"/>
              <w:rPr>
                <w:rFonts w:ascii="Times New Roman" w:hAnsi="Times New Roman"/>
                <w:sz w:val="20"/>
                <w:szCs w:val="20"/>
              </w:rPr>
            </w:pPr>
          </w:p>
        </w:tc>
      </w:tr>
      <w:tr w:rsidR="00FA5565" w14:paraId="2A73A1BB" w14:textId="77777777">
        <w:tc>
          <w:tcPr>
            <w:tcW w:w="0" w:type="auto"/>
            <w:shd w:val="clear" w:color="auto" w:fill="EFEFEF"/>
            <w:tcMar>
              <w:top w:w="40" w:type="dxa"/>
              <w:left w:w="560" w:type="dxa"/>
              <w:bottom w:w="40" w:type="dxa"/>
              <w:right w:w="40" w:type="dxa"/>
            </w:tcMar>
            <w:vAlign w:val="bottom"/>
          </w:tcPr>
          <w:p w14:paraId="2A73A1AE"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Percentage of total net sales</w:t>
            </w:r>
          </w:p>
        </w:tc>
        <w:tc>
          <w:tcPr>
            <w:tcW w:w="0" w:type="auto"/>
            <w:gridSpan w:val="2"/>
            <w:shd w:val="clear" w:color="auto" w:fill="EFEFEF"/>
            <w:tcMar>
              <w:top w:w="40" w:type="dxa"/>
              <w:left w:w="40" w:type="dxa"/>
              <w:bottom w:w="40" w:type="dxa"/>
            </w:tcMar>
            <w:vAlign w:val="bottom"/>
          </w:tcPr>
          <w:p w14:paraId="2A73A1A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w:t>
            </w:r>
          </w:p>
        </w:tc>
        <w:tc>
          <w:tcPr>
            <w:tcW w:w="0" w:type="auto"/>
            <w:shd w:val="clear" w:color="auto" w:fill="EFEFEF"/>
            <w:tcMar>
              <w:top w:w="40" w:type="dxa"/>
              <w:bottom w:w="40" w:type="dxa"/>
              <w:right w:w="40" w:type="dxa"/>
            </w:tcMar>
            <w:vAlign w:val="bottom"/>
          </w:tcPr>
          <w:p w14:paraId="2A73A1B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1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A1B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1B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1B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w:t>
            </w:r>
          </w:p>
        </w:tc>
        <w:tc>
          <w:tcPr>
            <w:tcW w:w="0" w:type="auto"/>
            <w:shd w:val="clear" w:color="auto" w:fill="EFEFEF"/>
            <w:tcMar>
              <w:top w:w="40" w:type="dxa"/>
              <w:bottom w:w="40" w:type="dxa"/>
              <w:right w:w="40" w:type="dxa"/>
            </w:tcMar>
            <w:vAlign w:val="bottom"/>
          </w:tcPr>
          <w:p w14:paraId="2A73A1B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1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A1B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1B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1B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w:t>
            </w:r>
          </w:p>
        </w:tc>
        <w:tc>
          <w:tcPr>
            <w:tcW w:w="0" w:type="auto"/>
            <w:shd w:val="clear" w:color="auto" w:fill="EFEFEF"/>
            <w:tcMar>
              <w:top w:w="40" w:type="dxa"/>
              <w:bottom w:w="40" w:type="dxa"/>
              <w:right w:w="40" w:type="dxa"/>
            </w:tcMar>
            <w:vAlign w:val="bottom"/>
          </w:tcPr>
          <w:p w14:paraId="2A73A1B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bl>
    <w:p w14:paraId="2A73A1BC"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Research and Development</w:t>
      </w:r>
    </w:p>
    <w:p w14:paraId="2A73A1B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year-over-year growth in R&amp;D expense in 2019 was driven primarily by increases in headcount-related expenses. The Company continues to </w:t>
      </w:r>
      <w:r>
        <w:rPr>
          <w:rFonts w:ascii="Helvetica" w:eastAsia="Helvetica" w:hAnsi="Helvetica" w:cs="Helvetica"/>
          <w:sz w:val="18"/>
          <w:szCs w:val="18"/>
        </w:rPr>
        <w:t>believe that focused investments in R&amp;D are critical to its future growth and competitive position in the marketplace, and to the development of new and updated products and services that are central to the Company’s core business strategy.</w:t>
      </w:r>
    </w:p>
    <w:p w14:paraId="2A73A1BE"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Selling, Genera</w:t>
      </w:r>
      <w:r>
        <w:rPr>
          <w:rFonts w:ascii="Helvetica" w:eastAsia="Helvetica" w:hAnsi="Helvetica" w:cs="Helvetica"/>
          <w:i/>
          <w:iCs/>
          <w:sz w:val="18"/>
          <w:szCs w:val="18"/>
        </w:rPr>
        <w:t>l and Administrative</w:t>
      </w:r>
    </w:p>
    <w:p w14:paraId="2A73A1B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year-over-year growth in selling, general and administrative expense in 2019 was driven primarily by increases in headcount-related expenses and higher spending on marketing and advertising and infrastructure-related costs.</w:t>
      </w:r>
    </w:p>
    <w:p w14:paraId="2A73A1C0" w14:textId="77777777" w:rsidR="00FA5565" w:rsidRDefault="00FA5565">
      <w:pPr>
        <w:rPr>
          <w:rFonts w:ascii="Times New Roman" w:hAnsi="Times New Roman"/>
          <w:sz w:val="20"/>
          <w:szCs w:val="20"/>
        </w:rPr>
      </w:pPr>
    </w:p>
    <w:p w14:paraId="2A73A1C1"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21</w:t>
      </w:r>
    </w:p>
    <w:p w14:paraId="2A73A1C2" w14:textId="77777777" w:rsidR="00FA5565" w:rsidRDefault="00D804D1">
      <w:r>
        <w:rPr>
          <w:rFonts w:ascii="Times New Roman" w:hAnsi="Times New Roman"/>
          <w:sz w:val="16"/>
          <w:szCs w:val="16"/>
        </w:rPr>
        <w:pict w14:anchorId="2A73C0B1">
          <v:rect id="_x0000_i1047" style="width:415.3pt;height:1.5pt" o:hralign="center" o:hrstd="t" o:hr="t" fillcolor="#a0a0a0" stroked="f"/>
        </w:pict>
      </w:r>
    </w:p>
    <w:p w14:paraId="2A73A1C3" w14:textId="77777777" w:rsidR="00FA5565" w:rsidRDefault="00FA5565">
      <w:pPr>
        <w:rPr>
          <w:rFonts w:ascii="Times New Roman" w:hAnsi="Times New Roman"/>
          <w:sz w:val="20"/>
          <w:szCs w:val="20"/>
        </w:rPr>
      </w:pPr>
    </w:p>
    <w:p w14:paraId="2A73A1C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Other Income/(Expense), Net</w:t>
      </w:r>
    </w:p>
    <w:p w14:paraId="2A73A1C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Other income/(expense), net (“OI&amp;E”) for 2019, 2018 and 2017 was as follows (dollars in millions):</w:t>
      </w:r>
    </w:p>
    <w:tbl>
      <w:tblPr>
        <w:tblW w:w="5000" w:type="pct"/>
        <w:tblCellMar>
          <w:left w:w="0" w:type="dxa"/>
          <w:right w:w="0" w:type="dxa"/>
        </w:tblCellMar>
        <w:tblLook w:val="04A0" w:firstRow="1" w:lastRow="0" w:firstColumn="1" w:lastColumn="0" w:noHBand="0" w:noVBand="1"/>
      </w:tblPr>
      <w:tblGrid>
        <w:gridCol w:w="3194"/>
        <w:gridCol w:w="141"/>
        <w:gridCol w:w="703"/>
        <w:gridCol w:w="100"/>
        <w:gridCol w:w="130"/>
        <w:gridCol w:w="620"/>
        <w:gridCol w:w="260"/>
        <w:gridCol w:w="130"/>
        <w:gridCol w:w="141"/>
        <w:gridCol w:w="703"/>
        <w:gridCol w:w="100"/>
        <w:gridCol w:w="130"/>
        <w:gridCol w:w="620"/>
        <w:gridCol w:w="260"/>
        <w:gridCol w:w="130"/>
        <w:gridCol w:w="141"/>
        <w:gridCol w:w="703"/>
        <w:gridCol w:w="100"/>
      </w:tblGrid>
      <w:tr w:rsidR="00FA5565" w14:paraId="2A73A1C7" w14:textId="77777777">
        <w:tc>
          <w:tcPr>
            <w:tcW w:w="0" w:type="auto"/>
            <w:gridSpan w:val="18"/>
            <w:shd w:val="clear" w:color="auto" w:fill="auto"/>
            <w:vAlign w:val="center"/>
          </w:tcPr>
          <w:p w14:paraId="2A73A1C6" w14:textId="77777777" w:rsidR="00FA5565" w:rsidRDefault="00FA5565">
            <w:pPr>
              <w:rPr>
                <w:rFonts w:ascii="Times New Roman" w:hAnsi="Times New Roman"/>
                <w:sz w:val="20"/>
                <w:szCs w:val="20"/>
              </w:rPr>
            </w:pPr>
          </w:p>
        </w:tc>
      </w:tr>
      <w:tr w:rsidR="00FA5565" w14:paraId="2A73A1DA" w14:textId="77777777">
        <w:tc>
          <w:tcPr>
            <w:tcW w:w="2000" w:type="pct"/>
            <w:shd w:val="clear" w:color="auto" w:fill="auto"/>
            <w:vAlign w:val="center"/>
          </w:tcPr>
          <w:p w14:paraId="2A73A1C8" w14:textId="77777777" w:rsidR="00FA5565" w:rsidRDefault="00FA5565">
            <w:pPr>
              <w:rPr>
                <w:rFonts w:ascii="Times New Roman" w:hAnsi="Times New Roman"/>
                <w:sz w:val="20"/>
                <w:szCs w:val="20"/>
              </w:rPr>
            </w:pPr>
          </w:p>
        </w:tc>
        <w:tc>
          <w:tcPr>
            <w:tcW w:w="50" w:type="pct"/>
            <w:shd w:val="clear" w:color="auto" w:fill="auto"/>
            <w:vAlign w:val="center"/>
          </w:tcPr>
          <w:p w14:paraId="2A73A1C9" w14:textId="77777777" w:rsidR="00FA5565" w:rsidRDefault="00FA5565">
            <w:pPr>
              <w:rPr>
                <w:rFonts w:ascii="Times New Roman" w:hAnsi="Times New Roman"/>
                <w:sz w:val="20"/>
                <w:szCs w:val="20"/>
              </w:rPr>
            </w:pPr>
          </w:p>
        </w:tc>
        <w:tc>
          <w:tcPr>
            <w:tcW w:w="500" w:type="pct"/>
            <w:shd w:val="clear" w:color="auto" w:fill="auto"/>
            <w:vAlign w:val="center"/>
          </w:tcPr>
          <w:p w14:paraId="2A73A1CA" w14:textId="77777777" w:rsidR="00FA5565" w:rsidRDefault="00FA5565">
            <w:pPr>
              <w:rPr>
                <w:rFonts w:ascii="Times New Roman" w:hAnsi="Times New Roman"/>
                <w:sz w:val="20"/>
                <w:szCs w:val="20"/>
              </w:rPr>
            </w:pPr>
          </w:p>
        </w:tc>
        <w:tc>
          <w:tcPr>
            <w:tcW w:w="50" w:type="pct"/>
            <w:shd w:val="clear" w:color="auto" w:fill="auto"/>
            <w:vAlign w:val="center"/>
          </w:tcPr>
          <w:p w14:paraId="2A73A1CB" w14:textId="77777777" w:rsidR="00FA5565" w:rsidRDefault="00FA5565">
            <w:pPr>
              <w:rPr>
                <w:rFonts w:ascii="Times New Roman" w:hAnsi="Times New Roman"/>
                <w:sz w:val="20"/>
                <w:szCs w:val="20"/>
              </w:rPr>
            </w:pPr>
          </w:p>
        </w:tc>
        <w:tc>
          <w:tcPr>
            <w:tcW w:w="50" w:type="pct"/>
            <w:shd w:val="clear" w:color="auto" w:fill="auto"/>
            <w:vAlign w:val="center"/>
          </w:tcPr>
          <w:p w14:paraId="2A73A1CC" w14:textId="77777777" w:rsidR="00FA5565" w:rsidRDefault="00FA5565">
            <w:pPr>
              <w:rPr>
                <w:rFonts w:ascii="Times New Roman" w:hAnsi="Times New Roman"/>
                <w:sz w:val="20"/>
                <w:szCs w:val="20"/>
              </w:rPr>
            </w:pPr>
          </w:p>
        </w:tc>
        <w:tc>
          <w:tcPr>
            <w:tcW w:w="450" w:type="pct"/>
            <w:shd w:val="clear" w:color="auto" w:fill="auto"/>
            <w:vAlign w:val="center"/>
          </w:tcPr>
          <w:p w14:paraId="2A73A1CD" w14:textId="77777777" w:rsidR="00FA5565" w:rsidRDefault="00FA5565">
            <w:pPr>
              <w:rPr>
                <w:rFonts w:ascii="Times New Roman" w:hAnsi="Times New Roman"/>
                <w:sz w:val="20"/>
                <w:szCs w:val="20"/>
              </w:rPr>
            </w:pPr>
          </w:p>
        </w:tc>
        <w:tc>
          <w:tcPr>
            <w:tcW w:w="50" w:type="pct"/>
            <w:shd w:val="clear" w:color="auto" w:fill="auto"/>
            <w:vAlign w:val="center"/>
          </w:tcPr>
          <w:p w14:paraId="2A73A1CE" w14:textId="77777777" w:rsidR="00FA5565" w:rsidRDefault="00FA5565">
            <w:pPr>
              <w:rPr>
                <w:rFonts w:ascii="Times New Roman" w:hAnsi="Times New Roman"/>
                <w:sz w:val="20"/>
                <w:szCs w:val="20"/>
              </w:rPr>
            </w:pPr>
          </w:p>
        </w:tc>
        <w:tc>
          <w:tcPr>
            <w:tcW w:w="50" w:type="pct"/>
            <w:shd w:val="clear" w:color="auto" w:fill="auto"/>
            <w:vAlign w:val="center"/>
          </w:tcPr>
          <w:p w14:paraId="2A73A1CF" w14:textId="77777777" w:rsidR="00FA5565" w:rsidRDefault="00FA5565">
            <w:pPr>
              <w:rPr>
                <w:rFonts w:ascii="Times New Roman" w:hAnsi="Times New Roman"/>
                <w:sz w:val="20"/>
                <w:szCs w:val="20"/>
              </w:rPr>
            </w:pPr>
          </w:p>
        </w:tc>
        <w:tc>
          <w:tcPr>
            <w:tcW w:w="50" w:type="pct"/>
            <w:shd w:val="clear" w:color="auto" w:fill="auto"/>
            <w:vAlign w:val="center"/>
          </w:tcPr>
          <w:p w14:paraId="2A73A1D0" w14:textId="77777777" w:rsidR="00FA5565" w:rsidRDefault="00FA5565">
            <w:pPr>
              <w:rPr>
                <w:rFonts w:ascii="Times New Roman" w:hAnsi="Times New Roman"/>
                <w:sz w:val="20"/>
                <w:szCs w:val="20"/>
              </w:rPr>
            </w:pPr>
          </w:p>
        </w:tc>
        <w:tc>
          <w:tcPr>
            <w:tcW w:w="500" w:type="pct"/>
            <w:shd w:val="clear" w:color="auto" w:fill="auto"/>
            <w:vAlign w:val="center"/>
          </w:tcPr>
          <w:p w14:paraId="2A73A1D1" w14:textId="77777777" w:rsidR="00FA5565" w:rsidRDefault="00FA5565">
            <w:pPr>
              <w:rPr>
                <w:rFonts w:ascii="Times New Roman" w:hAnsi="Times New Roman"/>
                <w:sz w:val="20"/>
                <w:szCs w:val="20"/>
              </w:rPr>
            </w:pPr>
          </w:p>
        </w:tc>
        <w:tc>
          <w:tcPr>
            <w:tcW w:w="50" w:type="pct"/>
            <w:shd w:val="clear" w:color="auto" w:fill="auto"/>
            <w:vAlign w:val="center"/>
          </w:tcPr>
          <w:p w14:paraId="2A73A1D2" w14:textId="77777777" w:rsidR="00FA5565" w:rsidRDefault="00FA5565">
            <w:pPr>
              <w:rPr>
                <w:rFonts w:ascii="Times New Roman" w:hAnsi="Times New Roman"/>
                <w:sz w:val="20"/>
                <w:szCs w:val="20"/>
              </w:rPr>
            </w:pPr>
          </w:p>
        </w:tc>
        <w:tc>
          <w:tcPr>
            <w:tcW w:w="50" w:type="pct"/>
            <w:shd w:val="clear" w:color="auto" w:fill="auto"/>
            <w:vAlign w:val="center"/>
          </w:tcPr>
          <w:p w14:paraId="2A73A1D3" w14:textId="77777777" w:rsidR="00FA5565" w:rsidRDefault="00FA5565">
            <w:pPr>
              <w:rPr>
                <w:rFonts w:ascii="Times New Roman" w:hAnsi="Times New Roman"/>
                <w:sz w:val="20"/>
                <w:szCs w:val="20"/>
              </w:rPr>
            </w:pPr>
          </w:p>
        </w:tc>
        <w:tc>
          <w:tcPr>
            <w:tcW w:w="450" w:type="pct"/>
            <w:shd w:val="clear" w:color="auto" w:fill="auto"/>
            <w:vAlign w:val="center"/>
          </w:tcPr>
          <w:p w14:paraId="2A73A1D4" w14:textId="77777777" w:rsidR="00FA5565" w:rsidRDefault="00FA5565">
            <w:pPr>
              <w:rPr>
                <w:rFonts w:ascii="Times New Roman" w:hAnsi="Times New Roman"/>
                <w:sz w:val="20"/>
                <w:szCs w:val="20"/>
              </w:rPr>
            </w:pPr>
          </w:p>
        </w:tc>
        <w:tc>
          <w:tcPr>
            <w:tcW w:w="50" w:type="pct"/>
            <w:shd w:val="clear" w:color="auto" w:fill="auto"/>
            <w:vAlign w:val="center"/>
          </w:tcPr>
          <w:p w14:paraId="2A73A1D5" w14:textId="77777777" w:rsidR="00FA5565" w:rsidRDefault="00FA5565">
            <w:pPr>
              <w:rPr>
                <w:rFonts w:ascii="Times New Roman" w:hAnsi="Times New Roman"/>
                <w:sz w:val="20"/>
                <w:szCs w:val="20"/>
              </w:rPr>
            </w:pPr>
          </w:p>
        </w:tc>
        <w:tc>
          <w:tcPr>
            <w:tcW w:w="50" w:type="pct"/>
            <w:shd w:val="clear" w:color="auto" w:fill="auto"/>
            <w:vAlign w:val="center"/>
          </w:tcPr>
          <w:p w14:paraId="2A73A1D6" w14:textId="77777777" w:rsidR="00FA5565" w:rsidRDefault="00FA5565">
            <w:pPr>
              <w:rPr>
                <w:rFonts w:ascii="Times New Roman" w:hAnsi="Times New Roman"/>
                <w:sz w:val="20"/>
                <w:szCs w:val="20"/>
              </w:rPr>
            </w:pPr>
          </w:p>
        </w:tc>
        <w:tc>
          <w:tcPr>
            <w:tcW w:w="50" w:type="pct"/>
            <w:shd w:val="clear" w:color="auto" w:fill="auto"/>
            <w:vAlign w:val="center"/>
          </w:tcPr>
          <w:p w14:paraId="2A73A1D7" w14:textId="77777777" w:rsidR="00FA5565" w:rsidRDefault="00FA5565">
            <w:pPr>
              <w:rPr>
                <w:rFonts w:ascii="Times New Roman" w:hAnsi="Times New Roman"/>
                <w:sz w:val="20"/>
                <w:szCs w:val="20"/>
              </w:rPr>
            </w:pPr>
          </w:p>
        </w:tc>
        <w:tc>
          <w:tcPr>
            <w:tcW w:w="500" w:type="pct"/>
            <w:shd w:val="clear" w:color="auto" w:fill="auto"/>
            <w:vAlign w:val="center"/>
          </w:tcPr>
          <w:p w14:paraId="2A73A1D8" w14:textId="77777777" w:rsidR="00FA5565" w:rsidRDefault="00FA5565">
            <w:pPr>
              <w:rPr>
                <w:rFonts w:ascii="Times New Roman" w:hAnsi="Times New Roman"/>
                <w:sz w:val="20"/>
                <w:szCs w:val="20"/>
              </w:rPr>
            </w:pPr>
          </w:p>
        </w:tc>
        <w:tc>
          <w:tcPr>
            <w:tcW w:w="50" w:type="pct"/>
            <w:shd w:val="clear" w:color="auto" w:fill="auto"/>
            <w:vAlign w:val="center"/>
          </w:tcPr>
          <w:p w14:paraId="2A73A1D9" w14:textId="77777777" w:rsidR="00FA5565" w:rsidRDefault="00FA5565">
            <w:pPr>
              <w:rPr>
                <w:rFonts w:ascii="Times New Roman" w:hAnsi="Times New Roman"/>
                <w:sz w:val="20"/>
                <w:szCs w:val="20"/>
              </w:rPr>
            </w:pPr>
          </w:p>
        </w:tc>
      </w:tr>
      <w:tr w:rsidR="00FA5565" w14:paraId="2A73A1E5" w14:textId="77777777">
        <w:tc>
          <w:tcPr>
            <w:tcW w:w="0" w:type="auto"/>
            <w:shd w:val="clear" w:color="auto" w:fill="auto"/>
            <w:tcMar>
              <w:top w:w="40" w:type="dxa"/>
              <w:left w:w="40" w:type="dxa"/>
              <w:bottom w:w="40" w:type="dxa"/>
              <w:right w:w="40" w:type="dxa"/>
            </w:tcMar>
            <w:vAlign w:val="bottom"/>
          </w:tcPr>
          <w:p w14:paraId="2A73A1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1D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A1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A1DE"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Change</w:t>
            </w:r>
          </w:p>
        </w:tc>
        <w:tc>
          <w:tcPr>
            <w:tcW w:w="0" w:type="auto"/>
            <w:shd w:val="clear" w:color="auto" w:fill="auto"/>
            <w:tcMar>
              <w:top w:w="40" w:type="dxa"/>
              <w:left w:w="40" w:type="dxa"/>
              <w:bottom w:w="40" w:type="dxa"/>
              <w:right w:w="40" w:type="dxa"/>
            </w:tcMar>
            <w:vAlign w:val="bottom"/>
          </w:tcPr>
          <w:p w14:paraId="2A73A1D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1E0"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A1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A1E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Change</w:t>
            </w:r>
          </w:p>
        </w:tc>
        <w:tc>
          <w:tcPr>
            <w:tcW w:w="0" w:type="auto"/>
            <w:shd w:val="clear" w:color="auto" w:fill="auto"/>
            <w:tcMar>
              <w:top w:w="40" w:type="dxa"/>
              <w:left w:w="40" w:type="dxa"/>
              <w:bottom w:w="40" w:type="dxa"/>
              <w:right w:w="40" w:type="dxa"/>
            </w:tcMar>
            <w:vAlign w:val="bottom"/>
          </w:tcPr>
          <w:p w14:paraId="2A73A1E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1E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A1F6" w14:textId="77777777">
        <w:tc>
          <w:tcPr>
            <w:tcW w:w="0" w:type="auto"/>
            <w:shd w:val="clear" w:color="auto" w:fill="auto"/>
            <w:tcMar>
              <w:top w:w="40" w:type="dxa"/>
              <w:left w:w="40" w:type="dxa"/>
              <w:bottom w:w="40" w:type="dxa"/>
              <w:right w:w="40" w:type="dxa"/>
            </w:tcMar>
          </w:tcPr>
          <w:p w14:paraId="2A73A1E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Interest and dividend </w:t>
            </w:r>
            <w:r>
              <w:rPr>
                <w:rFonts w:ascii="Helvetica" w:eastAsia="Helvetica" w:hAnsi="Helvetica" w:cs="Helvetica"/>
                <w:sz w:val="18"/>
                <w:szCs w:val="18"/>
              </w:rPr>
              <w:t>income</w:t>
            </w:r>
          </w:p>
        </w:tc>
        <w:tc>
          <w:tcPr>
            <w:tcW w:w="0" w:type="auto"/>
            <w:tcBorders>
              <w:top w:val="single" w:sz="8" w:space="0" w:color="000000"/>
            </w:tcBorders>
            <w:shd w:val="clear" w:color="auto" w:fill="auto"/>
            <w:tcMar>
              <w:top w:w="40" w:type="dxa"/>
              <w:left w:w="40" w:type="dxa"/>
              <w:bottom w:w="40" w:type="dxa"/>
            </w:tcMar>
            <w:vAlign w:val="bottom"/>
          </w:tcPr>
          <w:p w14:paraId="2A73A1E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1E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4,961</w:t>
            </w:r>
          </w:p>
        </w:tc>
        <w:tc>
          <w:tcPr>
            <w:tcW w:w="0" w:type="auto"/>
            <w:tcBorders>
              <w:top w:val="single" w:sz="8" w:space="0" w:color="000000"/>
            </w:tcBorders>
            <w:shd w:val="clear" w:color="auto" w:fill="auto"/>
            <w:vAlign w:val="bottom"/>
          </w:tcPr>
          <w:p w14:paraId="2A73A1E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1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A1E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1E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1E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1E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5,686</w:t>
            </w:r>
          </w:p>
        </w:tc>
        <w:tc>
          <w:tcPr>
            <w:tcW w:w="0" w:type="auto"/>
            <w:tcBorders>
              <w:top w:val="single" w:sz="8" w:space="0" w:color="000000"/>
            </w:tcBorders>
            <w:shd w:val="clear" w:color="auto" w:fill="auto"/>
            <w:vAlign w:val="bottom"/>
          </w:tcPr>
          <w:p w14:paraId="2A73A1E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1F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A1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1F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1F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1F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5,201</w:t>
            </w:r>
          </w:p>
        </w:tc>
        <w:tc>
          <w:tcPr>
            <w:tcW w:w="0" w:type="auto"/>
            <w:tcBorders>
              <w:top w:val="single" w:sz="8" w:space="0" w:color="000000"/>
            </w:tcBorders>
            <w:shd w:val="clear" w:color="auto" w:fill="auto"/>
            <w:vAlign w:val="bottom"/>
          </w:tcPr>
          <w:p w14:paraId="2A73A1F5" w14:textId="77777777" w:rsidR="00FA5565" w:rsidRDefault="00FA5565">
            <w:pPr>
              <w:textAlignment w:val="bottom"/>
              <w:rPr>
                <w:rFonts w:ascii="Times New Roman" w:hAnsi="Times New Roman"/>
                <w:sz w:val="20"/>
                <w:szCs w:val="20"/>
              </w:rPr>
            </w:pPr>
          </w:p>
        </w:tc>
      </w:tr>
      <w:tr w:rsidR="00FA5565" w14:paraId="2A73A204" w14:textId="77777777">
        <w:tc>
          <w:tcPr>
            <w:tcW w:w="0" w:type="auto"/>
            <w:shd w:val="clear" w:color="auto" w:fill="EFEFEF"/>
            <w:tcMar>
              <w:top w:w="40" w:type="dxa"/>
              <w:left w:w="40" w:type="dxa"/>
              <w:bottom w:w="40" w:type="dxa"/>
              <w:right w:w="40" w:type="dxa"/>
            </w:tcMar>
          </w:tcPr>
          <w:p w14:paraId="2A73A1F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Interest expense</w:t>
            </w:r>
          </w:p>
        </w:tc>
        <w:tc>
          <w:tcPr>
            <w:tcW w:w="0" w:type="auto"/>
            <w:gridSpan w:val="2"/>
            <w:shd w:val="clear" w:color="auto" w:fill="EFEFEF"/>
            <w:tcMar>
              <w:top w:w="40" w:type="dxa"/>
              <w:left w:w="40" w:type="dxa"/>
              <w:bottom w:w="40" w:type="dxa"/>
            </w:tcMar>
            <w:vAlign w:val="bottom"/>
          </w:tcPr>
          <w:p w14:paraId="2A73A1F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(3,576</w:t>
            </w:r>
          </w:p>
        </w:tc>
        <w:tc>
          <w:tcPr>
            <w:tcW w:w="0" w:type="auto"/>
            <w:shd w:val="clear" w:color="auto" w:fill="EFEFEF"/>
            <w:tcMar>
              <w:top w:w="40" w:type="dxa"/>
              <w:bottom w:w="40" w:type="dxa"/>
              <w:right w:w="40" w:type="dxa"/>
            </w:tcMar>
            <w:vAlign w:val="bottom"/>
          </w:tcPr>
          <w:p w14:paraId="2A73A1F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1F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A1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1F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1F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(3,240</w:t>
            </w:r>
          </w:p>
        </w:tc>
        <w:tc>
          <w:tcPr>
            <w:tcW w:w="0" w:type="auto"/>
            <w:shd w:val="clear" w:color="auto" w:fill="EFEFEF"/>
            <w:tcMar>
              <w:top w:w="40" w:type="dxa"/>
              <w:bottom w:w="40" w:type="dxa"/>
              <w:right w:w="40" w:type="dxa"/>
            </w:tcMar>
            <w:vAlign w:val="bottom"/>
          </w:tcPr>
          <w:p w14:paraId="2A73A1F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1F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A20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2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20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(2,323</w:t>
            </w:r>
          </w:p>
        </w:tc>
        <w:tc>
          <w:tcPr>
            <w:tcW w:w="0" w:type="auto"/>
            <w:shd w:val="clear" w:color="auto" w:fill="EFEFEF"/>
            <w:tcMar>
              <w:top w:w="40" w:type="dxa"/>
              <w:bottom w:w="40" w:type="dxa"/>
              <w:right w:w="40" w:type="dxa"/>
            </w:tcMar>
            <w:vAlign w:val="bottom"/>
          </w:tcPr>
          <w:p w14:paraId="2A73A20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212" w14:textId="77777777">
        <w:tc>
          <w:tcPr>
            <w:tcW w:w="0" w:type="auto"/>
            <w:shd w:val="clear" w:color="auto" w:fill="auto"/>
            <w:tcMar>
              <w:top w:w="40" w:type="dxa"/>
              <w:left w:w="40" w:type="dxa"/>
              <w:bottom w:w="40" w:type="dxa"/>
              <w:right w:w="40" w:type="dxa"/>
            </w:tcMar>
          </w:tcPr>
          <w:p w14:paraId="2A73A20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income/(expense), net</w:t>
            </w:r>
          </w:p>
        </w:tc>
        <w:tc>
          <w:tcPr>
            <w:tcW w:w="0" w:type="auto"/>
            <w:gridSpan w:val="2"/>
            <w:tcBorders>
              <w:bottom w:val="single" w:sz="8" w:space="0" w:color="000000"/>
            </w:tcBorders>
            <w:shd w:val="clear" w:color="auto" w:fill="auto"/>
            <w:tcMar>
              <w:top w:w="40" w:type="dxa"/>
              <w:left w:w="40" w:type="dxa"/>
              <w:bottom w:w="40" w:type="dxa"/>
            </w:tcMar>
            <w:vAlign w:val="bottom"/>
          </w:tcPr>
          <w:p w14:paraId="2A73A20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422</w:t>
            </w:r>
          </w:p>
        </w:tc>
        <w:tc>
          <w:tcPr>
            <w:tcW w:w="0" w:type="auto"/>
            <w:tcBorders>
              <w:bottom w:val="single" w:sz="8" w:space="0" w:color="000000"/>
            </w:tcBorders>
            <w:shd w:val="clear" w:color="auto" w:fill="auto"/>
            <w:vAlign w:val="bottom"/>
          </w:tcPr>
          <w:p w14:paraId="2A73A20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A20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20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20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(441</w:t>
            </w:r>
          </w:p>
        </w:tc>
        <w:tc>
          <w:tcPr>
            <w:tcW w:w="0" w:type="auto"/>
            <w:tcBorders>
              <w:bottom w:val="single" w:sz="8" w:space="0" w:color="000000"/>
            </w:tcBorders>
            <w:shd w:val="clear" w:color="auto" w:fill="auto"/>
            <w:tcMar>
              <w:top w:w="40" w:type="dxa"/>
              <w:bottom w:w="40" w:type="dxa"/>
              <w:right w:w="40" w:type="dxa"/>
            </w:tcMar>
            <w:vAlign w:val="bottom"/>
          </w:tcPr>
          <w:p w14:paraId="2A73A20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2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A20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20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21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(133</w:t>
            </w:r>
          </w:p>
        </w:tc>
        <w:tc>
          <w:tcPr>
            <w:tcW w:w="0" w:type="auto"/>
            <w:tcBorders>
              <w:bottom w:val="single" w:sz="8" w:space="0" w:color="000000"/>
            </w:tcBorders>
            <w:shd w:val="clear" w:color="auto" w:fill="auto"/>
            <w:tcMar>
              <w:top w:w="40" w:type="dxa"/>
              <w:bottom w:w="40" w:type="dxa"/>
              <w:right w:w="40" w:type="dxa"/>
            </w:tcMar>
            <w:vAlign w:val="bottom"/>
          </w:tcPr>
          <w:p w14:paraId="2A73A21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225" w14:textId="77777777">
        <w:tc>
          <w:tcPr>
            <w:tcW w:w="0" w:type="auto"/>
            <w:shd w:val="clear" w:color="auto" w:fill="EFEFEF"/>
            <w:tcMar>
              <w:top w:w="40" w:type="dxa"/>
              <w:left w:w="560" w:type="dxa"/>
              <w:bottom w:w="40" w:type="dxa"/>
              <w:right w:w="40" w:type="dxa"/>
            </w:tcMar>
          </w:tcPr>
          <w:p w14:paraId="2A73A21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other income/(expense), net</w:t>
            </w:r>
          </w:p>
        </w:tc>
        <w:tc>
          <w:tcPr>
            <w:tcW w:w="0" w:type="auto"/>
            <w:tcBorders>
              <w:bottom w:val="double" w:sz="6" w:space="0" w:color="000000"/>
            </w:tcBorders>
            <w:shd w:val="clear" w:color="auto" w:fill="EFEFEF"/>
            <w:tcMar>
              <w:top w:w="40" w:type="dxa"/>
              <w:left w:w="40" w:type="dxa"/>
              <w:bottom w:w="40" w:type="dxa"/>
            </w:tcMar>
            <w:vAlign w:val="bottom"/>
          </w:tcPr>
          <w:p w14:paraId="2A73A21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21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1,807</w:t>
            </w:r>
          </w:p>
        </w:tc>
        <w:tc>
          <w:tcPr>
            <w:tcW w:w="0" w:type="auto"/>
            <w:tcBorders>
              <w:bottom w:val="double" w:sz="6" w:space="0" w:color="000000"/>
            </w:tcBorders>
            <w:shd w:val="clear" w:color="auto" w:fill="EFEFEF"/>
            <w:vAlign w:val="bottom"/>
          </w:tcPr>
          <w:p w14:paraId="2A73A21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21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21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w:t>
            </w:r>
          </w:p>
        </w:tc>
        <w:tc>
          <w:tcPr>
            <w:tcW w:w="0" w:type="auto"/>
            <w:shd w:val="clear" w:color="auto" w:fill="EFEFEF"/>
            <w:tcMar>
              <w:top w:w="40" w:type="dxa"/>
              <w:bottom w:w="40" w:type="dxa"/>
              <w:right w:w="40" w:type="dxa"/>
            </w:tcMar>
            <w:vAlign w:val="bottom"/>
          </w:tcPr>
          <w:p w14:paraId="2A73A21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21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21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21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2,005</w:t>
            </w:r>
          </w:p>
        </w:tc>
        <w:tc>
          <w:tcPr>
            <w:tcW w:w="0" w:type="auto"/>
            <w:tcBorders>
              <w:bottom w:val="double" w:sz="6" w:space="0" w:color="000000"/>
            </w:tcBorders>
            <w:shd w:val="clear" w:color="auto" w:fill="EFEFEF"/>
            <w:vAlign w:val="bottom"/>
          </w:tcPr>
          <w:p w14:paraId="2A73A21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21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21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w:t>
            </w:r>
          </w:p>
        </w:tc>
        <w:tc>
          <w:tcPr>
            <w:tcW w:w="0" w:type="auto"/>
            <w:shd w:val="clear" w:color="auto" w:fill="EFEFEF"/>
            <w:tcMar>
              <w:top w:w="40" w:type="dxa"/>
              <w:bottom w:w="40" w:type="dxa"/>
              <w:right w:w="40" w:type="dxa"/>
            </w:tcMar>
            <w:vAlign w:val="bottom"/>
          </w:tcPr>
          <w:p w14:paraId="2A73A22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2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22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22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2,745</w:t>
            </w:r>
          </w:p>
        </w:tc>
        <w:tc>
          <w:tcPr>
            <w:tcW w:w="0" w:type="auto"/>
            <w:tcBorders>
              <w:bottom w:val="double" w:sz="6" w:space="0" w:color="000000"/>
            </w:tcBorders>
            <w:shd w:val="clear" w:color="auto" w:fill="EFEFEF"/>
            <w:vAlign w:val="bottom"/>
          </w:tcPr>
          <w:p w14:paraId="2A73A224" w14:textId="77777777" w:rsidR="00FA5565" w:rsidRDefault="00FA5565">
            <w:pPr>
              <w:textAlignment w:val="bottom"/>
              <w:rPr>
                <w:rFonts w:ascii="Times New Roman" w:hAnsi="Times New Roman"/>
                <w:sz w:val="20"/>
                <w:szCs w:val="20"/>
              </w:rPr>
            </w:pPr>
          </w:p>
        </w:tc>
      </w:tr>
    </w:tbl>
    <w:p w14:paraId="2A73A22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year-over-year decrease in OI&amp;E during 2019 was due primarily to lower interest income and higher interest expense, partially offset by the impact of foreign exchange–related items. The weighted-average interest rate earned by the Company</w:t>
      </w:r>
      <w:r>
        <w:rPr>
          <w:rFonts w:ascii="Helvetica" w:eastAsia="Helvetica" w:hAnsi="Helvetica" w:cs="Helvetica"/>
          <w:sz w:val="18"/>
          <w:szCs w:val="18"/>
        </w:rPr>
        <w:t xml:space="preserve"> on its cash, cash equivalents and marketable securities was 2.19% and 2.16% in 2019 and 2018, respectively.</w:t>
      </w:r>
    </w:p>
    <w:p w14:paraId="2A73A227"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Provision for Income Taxes</w:t>
      </w:r>
    </w:p>
    <w:p w14:paraId="2A73A22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Provision for income taxes, effective tax rate and statutory federal income tax rate for 2019, 2018 and 2017 were as fol</w:t>
      </w:r>
      <w:r>
        <w:rPr>
          <w:rFonts w:ascii="Helvetica" w:eastAsia="Helvetica" w:hAnsi="Helvetica" w:cs="Helvetica"/>
          <w:sz w:val="18"/>
          <w:szCs w:val="18"/>
        </w:rPr>
        <w:t>lows (dollars in millions):</w:t>
      </w:r>
    </w:p>
    <w:tbl>
      <w:tblPr>
        <w:tblW w:w="5000" w:type="pct"/>
        <w:tblCellMar>
          <w:left w:w="0" w:type="dxa"/>
          <w:right w:w="0" w:type="dxa"/>
        </w:tblCellMar>
        <w:tblLook w:val="04A0" w:firstRow="1" w:lastRow="0" w:firstColumn="1" w:lastColumn="0" w:noHBand="0" w:noVBand="1"/>
      </w:tblPr>
      <w:tblGrid>
        <w:gridCol w:w="4745"/>
        <w:gridCol w:w="141"/>
        <w:gridCol w:w="758"/>
        <w:gridCol w:w="201"/>
        <w:gridCol w:w="130"/>
        <w:gridCol w:w="141"/>
        <w:gridCol w:w="758"/>
        <w:gridCol w:w="201"/>
        <w:gridCol w:w="130"/>
        <w:gridCol w:w="141"/>
        <w:gridCol w:w="759"/>
        <w:gridCol w:w="201"/>
      </w:tblGrid>
      <w:tr w:rsidR="00FA5565" w14:paraId="2A73A22A" w14:textId="77777777">
        <w:tc>
          <w:tcPr>
            <w:tcW w:w="0" w:type="auto"/>
            <w:gridSpan w:val="12"/>
            <w:shd w:val="clear" w:color="auto" w:fill="auto"/>
            <w:vAlign w:val="center"/>
          </w:tcPr>
          <w:p w14:paraId="2A73A229" w14:textId="77777777" w:rsidR="00FA5565" w:rsidRDefault="00FA5565">
            <w:pPr>
              <w:rPr>
                <w:rFonts w:ascii="Times New Roman" w:hAnsi="Times New Roman"/>
                <w:sz w:val="20"/>
                <w:szCs w:val="20"/>
              </w:rPr>
            </w:pPr>
          </w:p>
        </w:tc>
      </w:tr>
      <w:tr w:rsidR="00FA5565" w14:paraId="2A73A237" w14:textId="77777777">
        <w:tc>
          <w:tcPr>
            <w:tcW w:w="2950" w:type="pct"/>
            <w:shd w:val="clear" w:color="auto" w:fill="auto"/>
            <w:vAlign w:val="center"/>
          </w:tcPr>
          <w:p w14:paraId="2A73A22B" w14:textId="77777777" w:rsidR="00FA5565" w:rsidRDefault="00FA5565">
            <w:pPr>
              <w:rPr>
                <w:rFonts w:ascii="Times New Roman" w:hAnsi="Times New Roman"/>
                <w:sz w:val="20"/>
                <w:szCs w:val="20"/>
              </w:rPr>
            </w:pPr>
          </w:p>
        </w:tc>
        <w:tc>
          <w:tcPr>
            <w:tcW w:w="50" w:type="pct"/>
            <w:shd w:val="clear" w:color="auto" w:fill="auto"/>
            <w:vAlign w:val="center"/>
          </w:tcPr>
          <w:p w14:paraId="2A73A22C" w14:textId="77777777" w:rsidR="00FA5565" w:rsidRDefault="00FA5565">
            <w:pPr>
              <w:rPr>
                <w:rFonts w:ascii="Times New Roman" w:hAnsi="Times New Roman"/>
                <w:sz w:val="20"/>
                <w:szCs w:val="20"/>
              </w:rPr>
            </w:pPr>
          </w:p>
        </w:tc>
        <w:tc>
          <w:tcPr>
            <w:tcW w:w="550" w:type="pct"/>
            <w:shd w:val="clear" w:color="auto" w:fill="auto"/>
            <w:vAlign w:val="center"/>
          </w:tcPr>
          <w:p w14:paraId="2A73A22D" w14:textId="77777777" w:rsidR="00FA5565" w:rsidRDefault="00FA5565">
            <w:pPr>
              <w:rPr>
                <w:rFonts w:ascii="Times New Roman" w:hAnsi="Times New Roman"/>
                <w:sz w:val="20"/>
                <w:szCs w:val="20"/>
              </w:rPr>
            </w:pPr>
          </w:p>
        </w:tc>
        <w:tc>
          <w:tcPr>
            <w:tcW w:w="50" w:type="pct"/>
            <w:shd w:val="clear" w:color="auto" w:fill="auto"/>
            <w:vAlign w:val="center"/>
          </w:tcPr>
          <w:p w14:paraId="2A73A22E" w14:textId="77777777" w:rsidR="00FA5565" w:rsidRDefault="00FA5565">
            <w:pPr>
              <w:rPr>
                <w:rFonts w:ascii="Times New Roman" w:hAnsi="Times New Roman"/>
                <w:sz w:val="20"/>
                <w:szCs w:val="20"/>
              </w:rPr>
            </w:pPr>
          </w:p>
        </w:tc>
        <w:tc>
          <w:tcPr>
            <w:tcW w:w="50" w:type="pct"/>
            <w:shd w:val="clear" w:color="auto" w:fill="auto"/>
            <w:vAlign w:val="center"/>
          </w:tcPr>
          <w:p w14:paraId="2A73A22F" w14:textId="77777777" w:rsidR="00FA5565" w:rsidRDefault="00FA5565">
            <w:pPr>
              <w:rPr>
                <w:rFonts w:ascii="Times New Roman" w:hAnsi="Times New Roman"/>
                <w:sz w:val="20"/>
                <w:szCs w:val="20"/>
              </w:rPr>
            </w:pPr>
          </w:p>
        </w:tc>
        <w:tc>
          <w:tcPr>
            <w:tcW w:w="50" w:type="pct"/>
            <w:shd w:val="clear" w:color="auto" w:fill="auto"/>
            <w:vAlign w:val="center"/>
          </w:tcPr>
          <w:p w14:paraId="2A73A230" w14:textId="77777777" w:rsidR="00FA5565" w:rsidRDefault="00FA5565">
            <w:pPr>
              <w:rPr>
                <w:rFonts w:ascii="Times New Roman" w:hAnsi="Times New Roman"/>
                <w:sz w:val="20"/>
                <w:szCs w:val="20"/>
              </w:rPr>
            </w:pPr>
          </w:p>
        </w:tc>
        <w:tc>
          <w:tcPr>
            <w:tcW w:w="550" w:type="pct"/>
            <w:shd w:val="clear" w:color="auto" w:fill="auto"/>
            <w:vAlign w:val="center"/>
          </w:tcPr>
          <w:p w14:paraId="2A73A231" w14:textId="77777777" w:rsidR="00FA5565" w:rsidRDefault="00FA5565">
            <w:pPr>
              <w:rPr>
                <w:rFonts w:ascii="Times New Roman" w:hAnsi="Times New Roman"/>
                <w:sz w:val="20"/>
                <w:szCs w:val="20"/>
              </w:rPr>
            </w:pPr>
          </w:p>
        </w:tc>
        <w:tc>
          <w:tcPr>
            <w:tcW w:w="50" w:type="pct"/>
            <w:shd w:val="clear" w:color="auto" w:fill="auto"/>
            <w:vAlign w:val="center"/>
          </w:tcPr>
          <w:p w14:paraId="2A73A232" w14:textId="77777777" w:rsidR="00FA5565" w:rsidRDefault="00FA5565">
            <w:pPr>
              <w:rPr>
                <w:rFonts w:ascii="Times New Roman" w:hAnsi="Times New Roman"/>
                <w:sz w:val="20"/>
                <w:szCs w:val="20"/>
              </w:rPr>
            </w:pPr>
          </w:p>
        </w:tc>
        <w:tc>
          <w:tcPr>
            <w:tcW w:w="50" w:type="pct"/>
            <w:shd w:val="clear" w:color="auto" w:fill="auto"/>
            <w:vAlign w:val="center"/>
          </w:tcPr>
          <w:p w14:paraId="2A73A233" w14:textId="77777777" w:rsidR="00FA5565" w:rsidRDefault="00FA5565">
            <w:pPr>
              <w:rPr>
                <w:rFonts w:ascii="Times New Roman" w:hAnsi="Times New Roman"/>
                <w:sz w:val="20"/>
                <w:szCs w:val="20"/>
              </w:rPr>
            </w:pPr>
          </w:p>
        </w:tc>
        <w:tc>
          <w:tcPr>
            <w:tcW w:w="50" w:type="pct"/>
            <w:shd w:val="clear" w:color="auto" w:fill="auto"/>
            <w:vAlign w:val="center"/>
          </w:tcPr>
          <w:p w14:paraId="2A73A234" w14:textId="77777777" w:rsidR="00FA5565" w:rsidRDefault="00FA5565">
            <w:pPr>
              <w:rPr>
                <w:rFonts w:ascii="Times New Roman" w:hAnsi="Times New Roman"/>
                <w:sz w:val="20"/>
                <w:szCs w:val="20"/>
              </w:rPr>
            </w:pPr>
          </w:p>
        </w:tc>
        <w:tc>
          <w:tcPr>
            <w:tcW w:w="550" w:type="pct"/>
            <w:shd w:val="clear" w:color="auto" w:fill="auto"/>
            <w:vAlign w:val="center"/>
          </w:tcPr>
          <w:p w14:paraId="2A73A235" w14:textId="77777777" w:rsidR="00FA5565" w:rsidRDefault="00FA5565">
            <w:pPr>
              <w:rPr>
                <w:rFonts w:ascii="Times New Roman" w:hAnsi="Times New Roman"/>
                <w:sz w:val="20"/>
                <w:szCs w:val="20"/>
              </w:rPr>
            </w:pPr>
          </w:p>
        </w:tc>
        <w:tc>
          <w:tcPr>
            <w:tcW w:w="50" w:type="pct"/>
            <w:shd w:val="clear" w:color="auto" w:fill="auto"/>
            <w:vAlign w:val="center"/>
          </w:tcPr>
          <w:p w14:paraId="2A73A236" w14:textId="77777777" w:rsidR="00FA5565" w:rsidRDefault="00FA5565">
            <w:pPr>
              <w:rPr>
                <w:rFonts w:ascii="Times New Roman" w:hAnsi="Times New Roman"/>
                <w:sz w:val="20"/>
                <w:szCs w:val="20"/>
              </w:rPr>
            </w:pPr>
          </w:p>
        </w:tc>
      </w:tr>
      <w:tr w:rsidR="00FA5565" w14:paraId="2A73A23E" w14:textId="77777777">
        <w:tc>
          <w:tcPr>
            <w:tcW w:w="0" w:type="auto"/>
            <w:shd w:val="clear" w:color="auto" w:fill="auto"/>
            <w:tcMar>
              <w:top w:w="40" w:type="dxa"/>
              <w:left w:w="40" w:type="dxa"/>
              <w:bottom w:w="40" w:type="dxa"/>
              <w:right w:w="40" w:type="dxa"/>
            </w:tcMar>
            <w:vAlign w:val="bottom"/>
          </w:tcPr>
          <w:p w14:paraId="2A73A2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23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A2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23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A2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23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A24B" w14:textId="77777777">
        <w:tc>
          <w:tcPr>
            <w:tcW w:w="0" w:type="auto"/>
            <w:shd w:val="clear" w:color="auto" w:fill="auto"/>
            <w:tcMar>
              <w:top w:w="40" w:type="dxa"/>
              <w:left w:w="40" w:type="dxa"/>
              <w:bottom w:w="40" w:type="dxa"/>
              <w:right w:w="40" w:type="dxa"/>
            </w:tcMar>
          </w:tcPr>
          <w:p w14:paraId="2A73A23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Provision for income taxes</w:t>
            </w:r>
          </w:p>
        </w:tc>
        <w:tc>
          <w:tcPr>
            <w:tcW w:w="0" w:type="auto"/>
            <w:tcBorders>
              <w:top w:val="single" w:sz="8" w:space="0" w:color="000000"/>
            </w:tcBorders>
            <w:shd w:val="clear" w:color="auto" w:fill="auto"/>
            <w:tcMar>
              <w:top w:w="40" w:type="dxa"/>
              <w:left w:w="40" w:type="dxa"/>
              <w:bottom w:w="40" w:type="dxa"/>
            </w:tcMar>
            <w:vAlign w:val="bottom"/>
          </w:tcPr>
          <w:p w14:paraId="2A73A24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24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10,481</w:t>
            </w:r>
          </w:p>
        </w:tc>
        <w:tc>
          <w:tcPr>
            <w:tcW w:w="0" w:type="auto"/>
            <w:tcBorders>
              <w:top w:val="single" w:sz="8" w:space="0" w:color="000000"/>
            </w:tcBorders>
            <w:shd w:val="clear" w:color="auto" w:fill="auto"/>
            <w:vAlign w:val="bottom"/>
          </w:tcPr>
          <w:p w14:paraId="2A73A24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24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24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13,372</w:t>
            </w:r>
          </w:p>
        </w:tc>
        <w:tc>
          <w:tcPr>
            <w:tcW w:w="0" w:type="auto"/>
            <w:tcBorders>
              <w:top w:val="single" w:sz="8" w:space="0" w:color="000000"/>
            </w:tcBorders>
            <w:shd w:val="clear" w:color="auto" w:fill="auto"/>
            <w:vAlign w:val="bottom"/>
          </w:tcPr>
          <w:p w14:paraId="2A73A24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4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24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24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15,738</w:t>
            </w:r>
          </w:p>
        </w:tc>
        <w:tc>
          <w:tcPr>
            <w:tcW w:w="0" w:type="auto"/>
            <w:tcBorders>
              <w:top w:val="single" w:sz="8" w:space="0" w:color="000000"/>
            </w:tcBorders>
            <w:shd w:val="clear" w:color="auto" w:fill="auto"/>
            <w:vAlign w:val="bottom"/>
          </w:tcPr>
          <w:p w14:paraId="2A73A24A" w14:textId="77777777" w:rsidR="00FA5565" w:rsidRDefault="00FA5565">
            <w:pPr>
              <w:textAlignment w:val="bottom"/>
              <w:rPr>
                <w:rFonts w:ascii="Times New Roman" w:hAnsi="Times New Roman"/>
                <w:sz w:val="20"/>
                <w:szCs w:val="20"/>
              </w:rPr>
            </w:pPr>
          </w:p>
        </w:tc>
      </w:tr>
      <w:tr w:rsidR="00FA5565" w14:paraId="2A73A255" w14:textId="77777777">
        <w:tc>
          <w:tcPr>
            <w:tcW w:w="0" w:type="auto"/>
            <w:shd w:val="clear" w:color="auto" w:fill="EFEFEF"/>
            <w:tcMar>
              <w:top w:w="40" w:type="dxa"/>
              <w:left w:w="40" w:type="dxa"/>
              <w:bottom w:w="40" w:type="dxa"/>
              <w:right w:w="40" w:type="dxa"/>
            </w:tcMar>
          </w:tcPr>
          <w:p w14:paraId="2A73A24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Effective tax rate</w:t>
            </w:r>
          </w:p>
        </w:tc>
        <w:tc>
          <w:tcPr>
            <w:tcW w:w="0" w:type="auto"/>
            <w:gridSpan w:val="2"/>
            <w:shd w:val="clear" w:color="auto" w:fill="EFEFEF"/>
            <w:tcMar>
              <w:top w:w="40" w:type="dxa"/>
              <w:left w:w="40" w:type="dxa"/>
              <w:bottom w:w="40" w:type="dxa"/>
            </w:tcMar>
            <w:vAlign w:val="bottom"/>
          </w:tcPr>
          <w:p w14:paraId="2A73A24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15.9</w:t>
            </w:r>
          </w:p>
        </w:tc>
        <w:tc>
          <w:tcPr>
            <w:tcW w:w="0" w:type="auto"/>
            <w:shd w:val="clear" w:color="auto" w:fill="EFEFEF"/>
            <w:tcMar>
              <w:top w:w="40" w:type="dxa"/>
              <w:bottom w:w="40" w:type="dxa"/>
              <w:right w:w="40" w:type="dxa"/>
            </w:tcMar>
            <w:vAlign w:val="bottom"/>
          </w:tcPr>
          <w:p w14:paraId="2A73A24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24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25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18.3</w:t>
            </w:r>
          </w:p>
        </w:tc>
        <w:tc>
          <w:tcPr>
            <w:tcW w:w="0" w:type="auto"/>
            <w:shd w:val="clear" w:color="auto" w:fill="EFEFEF"/>
            <w:tcMar>
              <w:top w:w="40" w:type="dxa"/>
              <w:bottom w:w="40" w:type="dxa"/>
              <w:right w:w="40" w:type="dxa"/>
            </w:tcMar>
            <w:vAlign w:val="bottom"/>
          </w:tcPr>
          <w:p w14:paraId="2A73A25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2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25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24.6</w:t>
            </w:r>
          </w:p>
        </w:tc>
        <w:tc>
          <w:tcPr>
            <w:tcW w:w="0" w:type="auto"/>
            <w:shd w:val="clear" w:color="auto" w:fill="EFEFEF"/>
            <w:tcMar>
              <w:top w:w="40" w:type="dxa"/>
              <w:bottom w:w="40" w:type="dxa"/>
              <w:right w:w="40" w:type="dxa"/>
            </w:tcMar>
            <w:vAlign w:val="bottom"/>
          </w:tcPr>
          <w:p w14:paraId="2A73A25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25F" w14:textId="77777777">
        <w:tc>
          <w:tcPr>
            <w:tcW w:w="0" w:type="auto"/>
            <w:shd w:val="clear" w:color="auto" w:fill="auto"/>
            <w:tcMar>
              <w:top w:w="40" w:type="dxa"/>
              <w:left w:w="40" w:type="dxa"/>
              <w:bottom w:w="40" w:type="dxa"/>
              <w:right w:w="40" w:type="dxa"/>
            </w:tcMar>
          </w:tcPr>
          <w:p w14:paraId="2A73A25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Statutory federal income tax rate</w:t>
            </w:r>
          </w:p>
        </w:tc>
        <w:tc>
          <w:tcPr>
            <w:tcW w:w="0" w:type="auto"/>
            <w:gridSpan w:val="2"/>
            <w:shd w:val="clear" w:color="auto" w:fill="auto"/>
            <w:tcMar>
              <w:top w:w="40" w:type="dxa"/>
              <w:left w:w="40" w:type="dxa"/>
              <w:bottom w:w="40" w:type="dxa"/>
            </w:tcMar>
            <w:vAlign w:val="bottom"/>
          </w:tcPr>
          <w:p w14:paraId="2A73A25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21.0</w:t>
            </w:r>
          </w:p>
        </w:tc>
        <w:tc>
          <w:tcPr>
            <w:tcW w:w="0" w:type="auto"/>
            <w:shd w:val="clear" w:color="auto" w:fill="auto"/>
            <w:tcMar>
              <w:top w:w="40" w:type="dxa"/>
              <w:bottom w:w="40" w:type="dxa"/>
              <w:right w:w="40" w:type="dxa"/>
            </w:tcMar>
            <w:vAlign w:val="bottom"/>
          </w:tcPr>
          <w:p w14:paraId="2A73A25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25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25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24.5</w:t>
            </w:r>
          </w:p>
        </w:tc>
        <w:tc>
          <w:tcPr>
            <w:tcW w:w="0" w:type="auto"/>
            <w:shd w:val="clear" w:color="auto" w:fill="auto"/>
            <w:tcMar>
              <w:top w:w="40" w:type="dxa"/>
              <w:bottom w:w="40" w:type="dxa"/>
              <w:right w:w="40" w:type="dxa"/>
            </w:tcMar>
            <w:vAlign w:val="bottom"/>
          </w:tcPr>
          <w:p w14:paraId="2A73A25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25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25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35.0</w:t>
            </w:r>
          </w:p>
        </w:tc>
        <w:tc>
          <w:tcPr>
            <w:tcW w:w="0" w:type="auto"/>
            <w:shd w:val="clear" w:color="auto" w:fill="auto"/>
            <w:tcMar>
              <w:top w:w="40" w:type="dxa"/>
              <w:bottom w:w="40" w:type="dxa"/>
              <w:right w:w="40" w:type="dxa"/>
            </w:tcMar>
            <w:vAlign w:val="bottom"/>
          </w:tcPr>
          <w:p w14:paraId="2A73A25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bl>
    <w:p w14:paraId="2A73A26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On December 22, </w:t>
      </w:r>
      <w:r>
        <w:rPr>
          <w:rFonts w:ascii="Helvetica" w:eastAsia="Helvetica" w:hAnsi="Helvetica" w:cs="Helvetica"/>
          <w:sz w:val="18"/>
          <w:szCs w:val="18"/>
        </w:rPr>
        <w:t>2017, the U.S. enacted the Tax Cuts and Jobs Act (the “Act”), which significantly changed U.S. tax law. The Act lowered the Company’s U.S. statutory federal income tax rate from 35% to 21% effective January 1, 2018, while also imposing a deemed repatriatio</w:t>
      </w:r>
      <w:r>
        <w:rPr>
          <w:rFonts w:ascii="Helvetica" w:eastAsia="Helvetica" w:hAnsi="Helvetica" w:cs="Helvetica"/>
          <w:sz w:val="18"/>
          <w:szCs w:val="18"/>
        </w:rPr>
        <w:t>n tax on previously deferred foreign income. By operation of law, the Company applied a blended U.S. statutory federal income tax rate of 24.5% for 2018 (the “2018 blended U.S. tax rate”). The Act also created a new minimum tax on certain foreign earnings.</w:t>
      </w:r>
    </w:p>
    <w:p w14:paraId="2A73A26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effective tax rate for 2019 was lower than the statutory federal income tax rate due primarily to the lower tax rate on foreign earnings and tax benefits from share-based compensation. The Company’s effective tax rate for 2018 was lower than</w:t>
      </w:r>
      <w:r>
        <w:rPr>
          <w:rFonts w:ascii="Helvetica" w:eastAsia="Helvetica" w:hAnsi="Helvetica" w:cs="Helvetica"/>
          <w:sz w:val="18"/>
          <w:szCs w:val="18"/>
        </w:rPr>
        <w:t xml:space="preserve"> the 2018 blended U.S. tax rate due primarily to the lower tax rate on foreign earnings, partially offset by the remeasurement of deferred tax assets and liabilities as a result of the Act.</w:t>
      </w:r>
    </w:p>
    <w:p w14:paraId="2A73A26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effective tax rate for 2019 was lower compared to 20</w:t>
      </w:r>
      <w:r>
        <w:rPr>
          <w:rFonts w:ascii="Helvetica" w:eastAsia="Helvetica" w:hAnsi="Helvetica" w:cs="Helvetica"/>
          <w:sz w:val="18"/>
          <w:szCs w:val="18"/>
        </w:rPr>
        <w:t>18 due primarily to a lower statutory federal income tax rate in 2019 and the impact of the Act in 2018, partially offset by higher taxes on foreign earnings in 2019.</w:t>
      </w:r>
    </w:p>
    <w:p w14:paraId="2A73A26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As of September 28, 2019, the Company had net deferred tax assets arising from deductible</w:t>
      </w:r>
      <w:r>
        <w:rPr>
          <w:rFonts w:ascii="Helvetica" w:eastAsia="Helvetica" w:hAnsi="Helvetica" w:cs="Helvetica"/>
          <w:sz w:val="18"/>
          <w:szCs w:val="18"/>
        </w:rPr>
        <w:t xml:space="preserve"> temporary differences and tax credits of $14.3 billion and deferred tax liabilities of $6.2 billion. Management believes it is more likely than not that forecasted income, including income that may be generated as a result of certain tax planning strategi</w:t>
      </w:r>
      <w:r>
        <w:rPr>
          <w:rFonts w:ascii="Helvetica" w:eastAsia="Helvetica" w:hAnsi="Helvetica" w:cs="Helvetica"/>
          <w:sz w:val="18"/>
          <w:szCs w:val="18"/>
        </w:rPr>
        <w:t xml:space="preserve">es, together with future reversals of existing taxable temporary differences, will be sufficient to recover the net deferred tax assets. The Company will continue to evaluate the amount of the valuation allowance, if any, by assessing the realizability of </w:t>
      </w:r>
      <w:r>
        <w:rPr>
          <w:rFonts w:ascii="Helvetica" w:eastAsia="Helvetica" w:hAnsi="Helvetica" w:cs="Helvetica"/>
          <w:sz w:val="18"/>
          <w:szCs w:val="18"/>
        </w:rPr>
        <w:t>deferred tax assets.</w:t>
      </w:r>
    </w:p>
    <w:p w14:paraId="2A73A26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Recent Accounting Pronouncements</w:t>
      </w:r>
    </w:p>
    <w:p w14:paraId="2A73A265"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Hedging</w:t>
      </w:r>
    </w:p>
    <w:p w14:paraId="2A73A26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In August 2017, the Financial Accounting Standards Board (the “FASB”) issued Accounting Standards Update (“ASU”) No. 2017-12, </w:t>
      </w:r>
      <w:r>
        <w:rPr>
          <w:rFonts w:ascii="Helvetica" w:eastAsia="Helvetica" w:hAnsi="Helvetica" w:cs="Helvetica"/>
          <w:i/>
          <w:iCs/>
          <w:sz w:val="18"/>
          <w:szCs w:val="18"/>
        </w:rPr>
        <w:t>Derivatives and Hedging (Topic 815): Targeted Improvements to Accounting for Hedging Activities</w:t>
      </w:r>
      <w:r>
        <w:rPr>
          <w:rFonts w:ascii="Helvetica" w:eastAsia="Helvetica" w:hAnsi="Helvetica" w:cs="Helvetica"/>
          <w:sz w:val="18"/>
          <w:szCs w:val="18"/>
        </w:rPr>
        <w:t xml:space="preserve"> (“ASU 2017-12”). ASU 2017-12 expan</w:t>
      </w:r>
      <w:r>
        <w:rPr>
          <w:rFonts w:ascii="Helvetica" w:eastAsia="Helvetica" w:hAnsi="Helvetica" w:cs="Helvetica"/>
          <w:sz w:val="18"/>
          <w:szCs w:val="18"/>
        </w:rPr>
        <w:t>ds component and fair value hedging, specifies the presentation of the effects of hedging instruments, and eliminates the separate measurement and presentation of hedge ineffectiveness. The Company will adopt ASU 2017-12 in its first quarter of 2020 utiliz</w:t>
      </w:r>
      <w:r>
        <w:rPr>
          <w:rFonts w:ascii="Helvetica" w:eastAsia="Helvetica" w:hAnsi="Helvetica" w:cs="Helvetica"/>
          <w:sz w:val="18"/>
          <w:szCs w:val="18"/>
        </w:rPr>
        <w:t>ing the modified retrospective transition method. Based on the Company’s derivative portfolio and hedging strategies, the adoption of ASU 2017-12 is not expected to have a material impact on its consolidated financial statements.</w:t>
      </w:r>
    </w:p>
    <w:p w14:paraId="2A73A267"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Financial Instruments</w:t>
      </w:r>
    </w:p>
    <w:p w14:paraId="2A73A26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In J</w:t>
      </w:r>
      <w:r>
        <w:rPr>
          <w:rFonts w:ascii="Helvetica" w:eastAsia="Helvetica" w:hAnsi="Helvetica" w:cs="Helvetica"/>
          <w:sz w:val="18"/>
          <w:szCs w:val="18"/>
        </w:rPr>
        <w:t xml:space="preserve">une 2016, the FASB issued ASU No. 2016-13, </w:t>
      </w:r>
      <w:r>
        <w:rPr>
          <w:rFonts w:ascii="Helvetica" w:eastAsia="Helvetica" w:hAnsi="Helvetica" w:cs="Helvetica"/>
          <w:i/>
          <w:iCs/>
          <w:sz w:val="18"/>
          <w:szCs w:val="18"/>
        </w:rPr>
        <w:t>Financial Instruments – Credit Losses (Topic 326): Measurement of Credit Losses on Financial Instruments</w:t>
      </w:r>
      <w:r>
        <w:rPr>
          <w:rFonts w:ascii="Helvetica" w:eastAsia="Helvetica" w:hAnsi="Helvetica" w:cs="Helvetica"/>
          <w:sz w:val="18"/>
          <w:szCs w:val="18"/>
        </w:rPr>
        <w:t xml:space="preserve"> (“ASU 2016-13”), which modifies the measurement of expected credit losses on certain financial instruments. </w:t>
      </w:r>
      <w:r>
        <w:rPr>
          <w:rFonts w:ascii="Helvetica" w:eastAsia="Helvetica" w:hAnsi="Helvetica" w:cs="Helvetica"/>
          <w:sz w:val="18"/>
          <w:szCs w:val="18"/>
        </w:rPr>
        <w:t>The Company will adopt ASU 2016-13 in its first quarter of 2021 utilizing the modified retrospective transition method. Based on the composition of the Company’s investment portfolio, current market conditions, and historical credit loss activity, the adop</w:t>
      </w:r>
      <w:r>
        <w:rPr>
          <w:rFonts w:ascii="Helvetica" w:eastAsia="Helvetica" w:hAnsi="Helvetica" w:cs="Helvetica"/>
          <w:sz w:val="18"/>
          <w:szCs w:val="18"/>
        </w:rPr>
        <w:t>tion of ASU 2016-13 is not expected to have a material impact on its consolidated financial statements.</w:t>
      </w:r>
    </w:p>
    <w:p w14:paraId="2A73A269" w14:textId="77777777" w:rsidR="00FA5565" w:rsidRDefault="00FA5565">
      <w:pPr>
        <w:rPr>
          <w:rFonts w:ascii="Times New Roman" w:hAnsi="Times New Roman"/>
          <w:sz w:val="20"/>
          <w:szCs w:val="20"/>
        </w:rPr>
      </w:pPr>
    </w:p>
    <w:p w14:paraId="2A73A26A"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22</w:t>
      </w:r>
    </w:p>
    <w:p w14:paraId="2A73A26B" w14:textId="77777777" w:rsidR="00FA5565" w:rsidRDefault="00D804D1">
      <w:r>
        <w:rPr>
          <w:rFonts w:ascii="Times New Roman" w:hAnsi="Times New Roman"/>
          <w:sz w:val="16"/>
          <w:szCs w:val="16"/>
        </w:rPr>
        <w:pict w14:anchorId="2A73C0B2">
          <v:rect id="_x0000_i1048" style="width:415.3pt;height:1.5pt" o:hralign="center" o:hrstd="t" o:hr="t" fillcolor="#a0a0a0" stroked="f"/>
        </w:pict>
      </w:r>
    </w:p>
    <w:p w14:paraId="2A73A26C" w14:textId="77777777" w:rsidR="00FA5565" w:rsidRDefault="00FA5565">
      <w:pPr>
        <w:rPr>
          <w:rFonts w:ascii="Times New Roman" w:hAnsi="Times New Roman"/>
          <w:sz w:val="20"/>
          <w:szCs w:val="20"/>
        </w:rPr>
      </w:pPr>
    </w:p>
    <w:p w14:paraId="2A73A26D"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Leases</w:t>
      </w:r>
    </w:p>
    <w:p w14:paraId="2A73A26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In February 2016, the FASB issued ASU No. 2016-02, </w:t>
      </w:r>
      <w:r>
        <w:rPr>
          <w:rFonts w:ascii="Helvetica" w:eastAsia="Helvetica" w:hAnsi="Helvetica" w:cs="Helvetica"/>
          <w:i/>
          <w:iCs/>
          <w:sz w:val="18"/>
          <w:szCs w:val="18"/>
        </w:rPr>
        <w:t>Leases (Topic 842)</w:t>
      </w:r>
      <w:r>
        <w:rPr>
          <w:rFonts w:ascii="Helvetica" w:eastAsia="Helvetica" w:hAnsi="Helvetica" w:cs="Helvetica"/>
          <w:sz w:val="18"/>
          <w:szCs w:val="18"/>
        </w:rPr>
        <w:t xml:space="preserve"> (“ASU 2016-02”), which modifies lease accounting for lessees to increase transparency and comparability by recording lease assets and liabilities for operating leases and disclosing key information about leasing arrangements. The Company will adopt ASU 20</w:t>
      </w:r>
      <w:r>
        <w:rPr>
          <w:rFonts w:ascii="Helvetica" w:eastAsia="Helvetica" w:hAnsi="Helvetica" w:cs="Helvetica"/>
          <w:sz w:val="18"/>
          <w:szCs w:val="18"/>
        </w:rPr>
        <w:t>16-02 utilizing the modified retrospective transition method through a cumulative-effect adjustment at the beginning of its first quarter of 2020. Upon adoption, the Company anticipates recording lease-related assets and liabilities of approximately $8 bil</w:t>
      </w:r>
      <w:r>
        <w:rPr>
          <w:rFonts w:ascii="Helvetica" w:eastAsia="Helvetica" w:hAnsi="Helvetica" w:cs="Helvetica"/>
          <w:sz w:val="18"/>
          <w:szCs w:val="18"/>
        </w:rPr>
        <w:t>lion on its Condensed Consolidated Balance Sheet, with no material impact to its Condensed Consolidated Statements of Operations.</w:t>
      </w:r>
    </w:p>
    <w:p w14:paraId="2A73A26F"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Liquidity and Capital Resources</w:t>
      </w:r>
    </w:p>
    <w:p w14:paraId="2A73A27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 presents selected financial information and statistics as of and for the y</w:t>
      </w:r>
      <w:r>
        <w:rPr>
          <w:rFonts w:ascii="Helvetica" w:eastAsia="Helvetica" w:hAnsi="Helvetica" w:cs="Helvetica"/>
          <w:sz w:val="18"/>
          <w:szCs w:val="18"/>
        </w:rPr>
        <w:t>ears ended September 28, 2019, September 29, 2018 and September 30, 2017 (in millions):</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FA5565" w14:paraId="2A73A272" w14:textId="77777777">
        <w:tc>
          <w:tcPr>
            <w:tcW w:w="0" w:type="auto"/>
            <w:gridSpan w:val="12"/>
            <w:shd w:val="clear" w:color="auto" w:fill="auto"/>
            <w:vAlign w:val="center"/>
          </w:tcPr>
          <w:p w14:paraId="2A73A271" w14:textId="77777777" w:rsidR="00FA5565" w:rsidRDefault="00FA5565">
            <w:pPr>
              <w:rPr>
                <w:rFonts w:ascii="Times New Roman" w:hAnsi="Times New Roman"/>
                <w:sz w:val="20"/>
                <w:szCs w:val="20"/>
              </w:rPr>
            </w:pPr>
          </w:p>
        </w:tc>
      </w:tr>
      <w:tr w:rsidR="00FA5565" w14:paraId="2A73A27F" w14:textId="77777777">
        <w:tc>
          <w:tcPr>
            <w:tcW w:w="2950" w:type="pct"/>
            <w:shd w:val="clear" w:color="auto" w:fill="auto"/>
            <w:vAlign w:val="center"/>
          </w:tcPr>
          <w:p w14:paraId="2A73A273" w14:textId="77777777" w:rsidR="00FA5565" w:rsidRDefault="00FA5565">
            <w:pPr>
              <w:rPr>
                <w:rFonts w:ascii="Times New Roman" w:hAnsi="Times New Roman"/>
                <w:sz w:val="20"/>
                <w:szCs w:val="20"/>
              </w:rPr>
            </w:pPr>
          </w:p>
        </w:tc>
        <w:tc>
          <w:tcPr>
            <w:tcW w:w="50" w:type="pct"/>
            <w:shd w:val="clear" w:color="auto" w:fill="auto"/>
            <w:vAlign w:val="center"/>
          </w:tcPr>
          <w:p w14:paraId="2A73A274" w14:textId="77777777" w:rsidR="00FA5565" w:rsidRDefault="00FA5565">
            <w:pPr>
              <w:rPr>
                <w:rFonts w:ascii="Times New Roman" w:hAnsi="Times New Roman"/>
                <w:sz w:val="20"/>
                <w:szCs w:val="20"/>
              </w:rPr>
            </w:pPr>
          </w:p>
        </w:tc>
        <w:tc>
          <w:tcPr>
            <w:tcW w:w="550" w:type="pct"/>
            <w:shd w:val="clear" w:color="auto" w:fill="auto"/>
            <w:vAlign w:val="center"/>
          </w:tcPr>
          <w:p w14:paraId="2A73A275" w14:textId="77777777" w:rsidR="00FA5565" w:rsidRDefault="00FA5565">
            <w:pPr>
              <w:rPr>
                <w:rFonts w:ascii="Times New Roman" w:hAnsi="Times New Roman"/>
                <w:sz w:val="20"/>
                <w:szCs w:val="20"/>
              </w:rPr>
            </w:pPr>
          </w:p>
        </w:tc>
        <w:tc>
          <w:tcPr>
            <w:tcW w:w="50" w:type="pct"/>
            <w:shd w:val="clear" w:color="auto" w:fill="auto"/>
            <w:vAlign w:val="center"/>
          </w:tcPr>
          <w:p w14:paraId="2A73A276" w14:textId="77777777" w:rsidR="00FA5565" w:rsidRDefault="00FA5565">
            <w:pPr>
              <w:rPr>
                <w:rFonts w:ascii="Times New Roman" w:hAnsi="Times New Roman"/>
                <w:sz w:val="20"/>
                <w:szCs w:val="20"/>
              </w:rPr>
            </w:pPr>
          </w:p>
        </w:tc>
        <w:tc>
          <w:tcPr>
            <w:tcW w:w="50" w:type="pct"/>
            <w:shd w:val="clear" w:color="auto" w:fill="auto"/>
            <w:vAlign w:val="center"/>
          </w:tcPr>
          <w:p w14:paraId="2A73A277" w14:textId="77777777" w:rsidR="00FA5565" w:rsidRDefault="00FA5565">
            <w:pPr>
              <w:rPr>
                <w:rFonts w:ascii="Times New Roman" w:hAnsi="Times New Roman"/>
                <w:sz w:val="20"/>
                <w:szCs w:val="20"/>
              </w:rPr>
            </w:pPr>
          </w:p>
        </w:tc>
        <w:tc>
          <w:tcPr>
            <w:tcW w:w="50" w:type="pct"/>
            <w:shd w:val="clear" w:color="auto" w:fill="auto"/>
            <w:vAlign w:val="center"/>
          </w:tcPr>
          <w:p w14:paraId="2A73A278" w14:textId="77777777" w:rsidR="00FA5565" w:rsidRDefault="00FA5565">
            <w:pPr>
              <w:rPr>
                <w:rFonts w:ascii="Times New Roman" w:hAnsi="Times New Roman"/>
                <w:sz w:val="20"/>
                <w:szCs w:val="20"/>
              </w:rPr>
            </w:pPr>
          </w:p>
        </w:tc>
        <w:tc>
          <w:tcPr>
            <w:tcW w:w="550" w:type="pct"/>
            <w:shd w:val="clear" w:color="auto" w:fill="auto"/>
            <w:vAlign w:val="center"/>
          </w:tcPr>
          <w:p w14:paraId="2A73A279" w14:textId="77777777" w:rsidR="00FA5565" w:rsidRDefault="00FA5565">
            <w:pPr>
              <w:rPr>
                <w:rFonts w:ascii="Times New Roman" w:hAnsi="Times New Roman"/>
                <w:sz w:val="20"/>
                <w:szCs w:val="20"/>
              </w:rPr>
            </w:pPr>
          </w:p>
        </w:tc>
        <w:tc>
          <w:tcPr>
            <w:tcW w:w="50" w:type="pct"/>
            <w:shd w:val="clear" w:color="auto" w:fill="auto"/>
            <w:vAlign w:val="center"/>
          </w:tcPr>
          <w:p w14:paraId="2A73A27A" w14:textId="77777777" w:rsidR="00FA5565" w:rsidRDefault="00FA5565">
            <w:pPr>
              <w:rPr>
                <w:rFonts w:ascii="Times New Roman" w:hAnsi="Times New Roman"/>
                <w:sz w:val="20"/>
                <w:szCs w:val="20"/>
              </w:rPr>
            </w:pPr>
          </w:p>
        </w:tc>
        <w:tc>
          <w:tcPr>
            <w:tcW w:w="50" w:type="pct"/>
            <w:shd w:val="clear" w:color="auto" w:fill="auto"/>
            <w:vAlign w:val="center"/>
          </w:tcPr>
          <w:p w14:paraId="2A73A27B" w14:textId="77777777" w:rsidR="00FA5565" w:rsidRDefault="00FA5565">
            <w:pPr>
              <w:rPr>
                <w:rFonts w:ascii="Times New Roman" w:hAnsi="Times New Roman"/>
                <w:sz w:val="20"/>
                <w:szCs w:val="20"/>
              </w:rPr>
            </w:pPr>
          </w:p>
        </w:tc>
        <w:tc>
          <w:tcPr>
            <w:tcW w:w="50" w:type="pct"/>
            <w:shd w:val="clear" w:color="auto" w:fill="auto"/>
            <w:vAlign w:val="center"/>
          </w:tcPr>
          <w:p w14:paraId="2A73A27C" w14:textId="77777777" w:rsidR="00FA5565" w:rsidRDefault="00FA5565">
            <w:pPr>
              <w:rPr>
                <w:rFonts w:ascii="Times New Roman" w:hAnsi="Times New Roman"/>
                <w:sz w:val="20"/>
                <w:szCs w:val="20"/>
              </w:rPr>
            </w:pPr>
          </w:p>
        </w:tc>
        <w:tc>
          <w:tcPr>
            <w:tcW w:w="550" w:type="pct"/>
            <w:shd w:val="clear" w:color="auto" w:fill="auto"/>
            <w:vAlign w:val="center"/>
          </w:tcPr>
          <w:p w14:paraId="2A73A27D" w14:textId="77777777" w:rsidR="00FA5565" w:rsidRDefault="00FA5565">
            <w:pPr>
              <w:rPr>
                <w:rFonts w:ascii="Times New Roman" w:hAnsi="Times New Roman"/>
                <w:sz w:val="20"/>
                <w:szCs w:val="20"/>
              </w:rPr>
            </w:pPr>
          </w:p>
        </w:tc>
        <w:tc>
          <w:tcPr>
            <w:tcW w:w="50" w:type="pct"/>
            <w:shd w:val="clear" w:color="auto" w:fill="auto"/>
            <w:vAlign w:val="center"/>
          </w:tcPr>
          <w:p w14:paraId="2A73A27E" w14:textId="77777777" w:rsidR="00FA5565" w:rsidRDefault="00FA5565">
            <w:pPr>
              <w:rPr>
                <w:rFonts w:ascii="Times New Roman" w:hAnsi="Times New Roman"/>
                <w:sz w:val="20"/>
                <w:szCs w:val="20"/>
              </w:rPr>
            </w:pPr>
          </w:p>
        </w:tc>
      </w:tr>
      <w:tr w:rsidR="00FA5565" w14:paraId="2A73A286" w14:textId="77777777">
        <w:tc>
          <w:tcPr>
            <w:tcW w:w="0" w:type="auto"/>
            <w:shd w:val="clear" w:color="auto" w:fill="auto"/>
            <w:tcMar>
              <w:top w:w="40" w:type="dxa"/>
              <w:left w:w="40" w:type="dxa"/>
              <w:bottom w:w="40" w:type="dxa"/>
              <w:right w:w="40" w:type="dxa"/>
            </w:tcMar>
            <w:vAlign w:val="bottom"/>
          </w:tcPr>
          <w:p w14:paraId="2A73A28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28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A28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28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A28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28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A293" w14:textId="77777777">
        <w:tc>
          <w:tcPr>
            <w:tcW w:w="0" w:type="auto"/>
            <w:shd w:val="clear" w:color="auto" w:fill="auto"/>
            <w:tcMar>
              <w:top w:w="40" w:type="dxa"/>
              <w:left w:w="40" w:type="dxa"/>
              <w:bottom w:w="40" w:type="dxa"/>
              <w:right w:w="40" w:type="dxa"/>
            </w:tcMar>
          </w:tcPr>
          <w:p w14:paraId="2A73A28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Cash, cash equivalents and marketable securities (1)</w:t>
            </w:r>
          </w:p>
        </w:tc>
        <w:tc>
          <w:tcPr>
            <w:tcW w:w="0" w:type="auto"/>
            <w:tcBorders>
              <w:top w:val="single" w:sz="8" w:space="0" w:color="000000"/>
            </w:tcBorders>
            <w:shd w:val="clear" w:color="auto" w:fill="auto"/>
            <w:tcMar>
              <w:top w:w="40" w:type="dxa"/>
              <w:left w:w="40" w:type="dxa"/>
              <w:bottom w:w="40" w:type="dxa"/>
            </w:tcMar>
            <w:vAlign w:val="bottom"/>
          </w:tcPr>
          <w:p w14:paraId="2A73A28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28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205,898</w:t>
            </w:r>
          </w:p>
        </w:tc>
        <w:tc>
          <w:tcPr>
            <w:tcW w:w="0" w:type="auto"/>
            <w:tcBorders>
              <w:top w:val="single" w:sz="8" w:space="0" w:color="000000"/>
            </w:tcBorders>
            <w:shd w:val="clear" w:color="auto" w:fill="auto"/>
            <w:vAlign w:val="bottom"/>
          </w:tcPr>
          <w:p w14:paraId="2A73A28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28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8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237,100</w:t>
            </w:r>
          </w:p>
        </w:tc>
        <w:tc>
          <w:tcPr>
            <w:tcW w:w="0" w:type="auto"/>
            <w:shd w:val="clear" w:color="auto" w:fill="auto"/>
            <w:vAlign w:val="bottom"/>
          </w:tcPr>
          <w:p w14:paraId="2A73A28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29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9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268,895</w:t>
            </w:r>
          </w:p>
        </w:tc>
        <w:tc>
          <w:tcPr>
            <w:tcW w:w="0" w:type="auto"/>
            <w:shd w:val="clear" w:color="auto" w:fill="auto"/>
            <w:vAlign w:val="bottom"/>
          </w:tcPr>
          <w:p w14:paraId="2A73A292" w14:textId="77777777" w:rsidR="00FA5565" w:rsidRDefault="00FA5565">
            <w:pPr>
              <w:textAlignment w:val="bottom"/>
              <w:rPr>
                <w:rFonts w:ascii="Times New Roman" w:hAnsi="Times New Roman"/>
                <w:sz w:val="20"/>
                <w:szCs w:val="20"/>
              </w:rPr>
            </w:pPr>
          </w:p>
        </w:tc>
      </w:tr>
      <w:tr w:rsidR="00FA5565" w14:paraId="2A73A2A0" w14:textId="77777777">
        <w:tc>
          <w:tcPr>
            <w:tcW w:w="0" w:type="auto"/>
            <w:shd w:val="clear" w:color="auto" w:fill="EFEFEF"/>
            <w:tcMar>
              <w:top w:w="40" w:type="dxa"/>
              <w:left w:w="40" w:type="dxa"/>
              <w:bottom w:w="40" w:type="dxa"/>
              <w:right w:w="40" w:type="dxa"/>
            </w:tcMar>
          </w:tcPr>
          <w:p w14:paraId="2A73A29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Property, plant and equipment, net</w:t>
            </w:r>
          </w:p>
        </w:tc>
        <w:tc>
          <w:tcPr>
            <w:tcW w:w="0" w:type="auto"/>
            <w:shd w:val="clear" w:color="auto" w:fill="EFEFEF"/>
            <w:tcMar>
              <w:top w:w="40" w:type="dxa"/>
              <w:left w:w="40" w:type="dxa"/>
              <w:bottom w:w="40" w:type="dxa"/>
            </w:tcMar>
            <w:vAlign w:val="bottom"/>
          </w:tcPr>
          <w:p w14:paraId="2A73A29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9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37,378</w:t>
            </w:r>
          </w:p>
        </w:tc>
        <w:tc>
          <w:tcPr>
            <w:tcW w:w="0" w:type="auto"/>
            <w:shd w:val="clear" w:color="auto" w:fill="EFEFEF"/>
            <w:vAlign w:val="bottom"/>
          </w:tcPr>
          <w:p w14:paraId="2A73A29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29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29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9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41,304</w:t>
            </w:r>
          </w:p>
        </w:tc>
        <w:tc>
          <w:tcPr>
            <w:tcW w:w="0" w:type="auto"/>
            <w:shd w:val="clear" w:color="auto" w:fill="EFEFEF"/>
            <w:vAlign w:val="bottom"/>
          </w:tcPr>
          <w:p w14:paraId="2A73A29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2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29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9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33,783</w:t>
            </w:r>
          </w:p>
        </w:tc>
        <w:tc>
          <w:tcPr>
            <w:tcW w:w="0" w:type="auto"/>
            <w:shd w:val="clear" w:color="auto" w:fill="EFEFEF"/>
            <w:vAlign w:val="bottom"/>
          </w:tcPr>
          <w:p w14:paraId="2A73A29F" w14:textId="77777777" w:rsidR="00FA5565" w:rsidRDefault="00FA5565">
            <w:pPr>
              <w:textAlignment w:val="bottom"/>
              <w:rPr>
                <w:rFonts w:ascii="Times New Roman" w:hAnsi="Times New Roman"/>
                <w:sz w:val="20"/>
                <w:szCs w:val="20"/>
              </w:rPr>
            </w:pPr>
          </w:p>
        </w:tc>
      </w:tr>
      <w:tr w:rsidR="00FA5565" w14:paraId="2A73A2AD" w14:textId="77777777">
        <w:tc>
          <w:tcPr>
            <w:tcW w:w="0" w:type="auto"/>
            <w:shd w:val="clear" w:color="auto" w:fill="auto"/>
            <w:tcMar>
              <w:top w:w="40" w:type="dxa"/>
              <w:left w:w="40" w:type="dxa"/>
              <w:bottom w:w="40" w:type="dxa"/>
              <w:right w:w="40" w:type="dxa"/>
            </w:tcMar>
          </w:tcPr>
          <w:p w14:paraId="2A73A2A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Commercial paper</w:t>
            </w:r>
          </w:p>
        </w:tc>
        <w:tc>
          <w:tcPr>
            <w:tcW w:w="0" w:type="auto"/>
            <w:shd w:val="clear" w:color="auto" w:fill="auto"/>
            <w:tcMar>
              <w:top w:w="40" w:type="dxa"/>
              <w:left w:w="40" w:type="dxa"/>
              <w:bottom w:w="40" w:type="dxa"/>
            </w:tcMar>
            <w:vAlign w:val="bottom"/>
          </w:tcPr>
          <w:p w14:paraId="2A73A2A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A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5,980</w:t>
            </w:r>
          </w:p>
        </w:tc>
        <w:tc>
          <w:tcPr>
            <w:tcW w:w="0" w:type="auto"/>
            <w:shd w:val="clear" w:color="auto" w:fill="auto"/>
            <w:vAlign w:val="bottom"/>
          </w:tcPr>
          <w:p w14:paraId="2A73A2A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2A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A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11,964</w:t>
            </w:r>
          </w:p>
        </w:tc>
        <w:tc>
          <w:tcPr>
            <w:tcW w:w="0" w:type="auto"/>
            <w:shd w:val="clear" w:color="auto" w:fill="auto"/>
            <w:vAlign w:val="bottom"/>
          </w:tcPr>
          <w:p w14:paraId="2A73A2A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A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2A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A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11,977</w:t>
            </w:r>
          </w:p>
        </w:tc>
        <w:tc>
          <w:tcPr>
            <w:tcW w:w="0" w:type="auto"/>
            <w:shd w:val="clear" w:color="auto" w:fill="auto"/>
            <w:vAlign w:val="bottom"/>
          </w:tcPr>
          <w:p w14:paraId="2A73A2AC" w14:textId="77777777" w:rsidR="00FA5565" w:rsidRDefault="00FA5565">
            <w:pPr>
              <w:textAlignment w:val="bottom"/>
              <w:rPr>
                <w:rFonts w:ascii="Times New Roman" w:hAnsi="Times New Roman"/>
                <w:sz w:val="20"/>
                <w:szCs w:val="20"/>
              </w:rPr>
            </w:pPr>
          </w:p>
        </w:tc>
      </w:tr>
      <w:tr w:rsidR="00FA5565" w14:paraId="2A73A2BA" w14:textId="77777777">
        <w:tc>
          <w:tcPr>
            <w:tcW w:w="0" w:type="auto"/>
            <w:shd w:val="clear" w:color="auto" w:fill="EFEFEF"/>
            <w:tcMar>
              <w:top w:w="40" w:type="dxa"/>
              <w:left w:w="40" w:type="dxa"/>
              <w:bottom w:w="40" w:type="dxa"/>
              <w:right w:w="40" w:type="dxa"/>
            </w:tcMar>
          </w:tcPr>
          <w:p w14:paraId="2A73A2A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term debt</w:t>
            </w:r>
          </w:p>
        </w:tc>
        <w:tc>
          <w:tcPr>
            <w:tcW w:w="0" w:type="auto"/>
            <w:shd w:val="clear" w:color="auto" w:fill="EFEFEF"/>
            <w:tcMar>
              <w:top w:w="40" w:type="dxa"/>
              <w:left w:w="40" w:type="dxa"/>
              <w:bottom w:w="40" w:type="dxa"/>
            </w:tcMar>
            <w:vAlign w:val="bottom"/>
          </w:tcPr>
          <w:p w14:paraId="2A73A2A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B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102,067</w:t>
            </w:r>
          </w:p>
        </w:tc>
        <w:tc>
          <w:tcPr>
            <w:tcW w:w="0" w:type="auto"/>
            <w:shd w:val="clear" w:color="auto" w:fill="EFEFEF"/>
            <w:vAlign w:val="bottom"/>
          </w:tcPr>
          <w:p w14:paraId="2A73A2B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2B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2B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B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102,519</w:t>
            </w:r>
          </w:p>
        </w:tc>
        <w:tc>
          <w:tcPr>
            <w:tcW w:w="0" w:type="auto"/>
            <w:shd w:val="clear" w:color="auto" w:fill="EFEFEF"/>
            <w:vAlign w:val="bottom"/>
          </w:tcPr>
          <w:p w14:paraId="2A73A2B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2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2B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B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103,703</w:t>
            </w:r>
          </w:p>
        </w:tc>
        <w:tc>
          <w:tcPr>
            <w:tcW w:w="0" w:type="auto"/>
            <w:shd w:val="clear" w:color="auto" w:fill="EFEFEF"/>
            <w:vAlign w:val="bottom"/>
          </w:tcPr>
          <w:p w14:paraId="2A73A2B9" w14:textId="77777777" w:rsidR="00FA5565" w:rsidRDefault="00FA5565">
            <w:pPr>
              <w:textAlignment w:val="bottom"/>
              <w:rPr>
                <w:rFonts w:ascii="Times New Roman" w:hAnsi="Times New Roman"/>
                <w:sz w:val="20"/>
                <w:szCs w:val="20"/>
              </w:rPr>
            </w:pPr>
          </w:p>
        </w:tc>
      </w:tr>
      <w:tr w:rsidR="00FA5565" w14:paraId="2A73A2C7" w14:textId="77777777">
        <w:tc>
          <w:tcPr>
            <w:tcW w:w="0" w:type="auto"/>
            <w:shd w:val="clear" w:color="auto" w:fill="auto"/>
            <w:tcMar>
              <w:top w:w="40" w:type="dxa"/>
              <w:left w:w="40" w:type="dxa"/>
              <w:bottom w:w="40" w:type="dxa"/>
              <w:right w:w="40" w:type="dxa"/>
            </w:tcMar>
          </w:tcPr>
          <w:p w14:paraId="2A73A2B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Working capital</w:t>
            </w:r>
          </w:p>
        </w:tc>
        <w:tc>
          <w:tcPr>
            <w:tcW w:w="0" w:type="auto"/>
            <w:shd w:val="clear" w:color="auto" w:fill="auto"/>
            <w:tcMar>
              <w:top w:w="40" w:type="dxa"/>
              <w:left w:w="40" w:type="dxa"/>
              <w:bottom w:w="40" w:type="dxa"/>
            </w:tcMar>
            <w:vAlign w:val="bottom"/>
          </w:tcPr>
          <w:p w14:paraId="2A73A2B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B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57,101</w:t>
            </w:r>
          </w:p>
        </w:tc>
        <w:tc>
          <w:tcPr>
            <w:tcW w:w="0" w:type="auto"/>
            <w:shd w:val="clear" w:color="auto" w:fill="auto"/>
            <w:vAlign w:val="bottom"/>
          </w:tcPr>
          <w:p w14:paraId="2A73A2B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B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2C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C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15,410</w:t>
            </w:r>
          </w:p>
        </w:tc>
        <w:tc>
          <w:tcPr>
            <w:tcW w:w="0" w:type="auto"/>
            <w:shd w:val="clear" w:color="auto" w:fill="auto"/>
            <w:vAlign w:val="bottom"/>
          </w:tcPr>
          <w:p w14:paraId="2A73A2C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2C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C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28,792</w:t>
            </w:r>
          </w:p>
        </w:tc>
        <w:tc>
          <w:tcPr>
            <w:tcW w:w="0" w:type="auto"/>
            <w:shd w:val="clear" w:color="auto" w:fill="auto"/>
            <w:vAlign w:val="bottom"/>
          </w:tcPr>
          <w:p w14:paraId="2A73A2C6" w14:textId="77777777" w:rsidR="00FA5565" w:rsidRDefault="00FA5565">
            <w:pPr>
              <w:textAlignment w:val="bottom"/>
              <w:rPr>
                <w:rFonts w:ascii="Times New Roman" w:hAnsi="Times New Roman"/>
                <w:sz w:val="20"/>
                <w:szCs w:val="20"/>
              </w:rPr>
            </w:pPr>
          </w:p>
        </w:tc>
      </w:tr>
      <w:tr w:rsidR="00FA5565" w14:paraId="2A73A2D4" w14:textId="77777777">
        <w:tc>
          <w:tcPr>
            <w:tcW w:w="0" w:type="auto"/>
            <w:shd w:val="clear" w:color="auto" w:fill="EFEFEF"/>
            <w:tcMar>
              <w:top w:w="40" w:type="dxa"/>
              <w:left w:w="40" w:type="dxa"/>
              <w:bottom w:w="40" w:type="dxa"/>
              <w:right w:w="40" w:type="dxa"/>
            </w:tcMar>
          </w:tcPr>
          <w:p w14:paraId="2A73A2C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Cash generated by operating activities</w:t>
            </w:r>
          </w:p>
        </w:tc>
        <w:tc>
          <w:tcPr>
            <w:tcW w:w="0" w:type="auto"/>
            <w:shd w:val="clear" w:color="auto" w:fill="EFEFEF"/>
            <w:tcMar>
              <w:top w:w="40" w:type="dxa"/>
              <w:left w:w="40" w:type="dxa"/>
              <w:bottom w:w="40" w:type="dxa"/>
            </w:tcMar>
            <w:vAlign w:val="bottom"/>
          </w:tcPr>
          <w:p w14:paraId="2A73A2C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C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69,391</w:t>
            </w:r>
          </w:p>
        </w:tc>
        <w:tc>
          <w:tcPr>
            <w:tcW w:w="0" w:type="auto"/>
            <w:shd w:val="clear" w:color="auto" w:fill="EFEFEF"/>
            <w:vAlign w:val="bottom"/>
          </w:tcPr>
          <w:p w14:paraId="2A73A2C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2C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2C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C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77,434</w:t>
            </w:r>
          </w:p>
        </w:tc>
        <w:tc>
          <w:tcPr>
            <w:tcW w:w="0" w:type="auto"/>
            <w:shd w:val="clear" w:color="auto" w:fill="EFEFEF"/>
            <w:vAlign w:val="bottom"/>
          </w:tcPr>
          <w:p w14:paraId="2A73A2C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2D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2D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D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64,225</w:t>
            </w:r>
          </w:p>
        </w:tc>
        <w:tc>
          <w:tcPr>
            <w:tcW w:w="0" w:type="auto"/>
            <w:shd w:val="clear" w:color="auto" w:fill="EFEFEF"/>
            <w:vAlign w:val="bottom"/>
          </w:tcPr>
          <w:p w14:paraId="2A73A2D3" w14:textId="77777777" w:rsidR="00FA5565" w:rsidRDefault="00FA5565">
            <w:pPr>
              <w:textAlignment w:val="bottom"/>
              <w:rPr>
                <w:rFonts w:ascii="Times New Roman" w:hAnsi="Times New Roman"/>
                <w:sz w:val="20"/>
                <w:szCs w:val="20"/>
              </w:rPr>
            </w:pPr>
          </w:p>
        </w:tc>
      </w:tr>
      <w:tr w:rsidR="00FA5565" w14:paraId="2A73A2E1" w14:textId="77777777">
        <w:tc>
          <w:tcPr>
            <w:tcW w:w="0" w:type="auto"/>
            <w:shd w:val="clear" w:color="auto" w:fill="auto"/>
            <w:tcMar>
              <w:top w:w="40" w:type="dxa"/>
              <w:left w:w="40" w:type="dxa"/>
              <w:bottom w:w="40" w:type="dxa"/>
              <w:right w:w="40" w:type="dxa"/>
            </w:tcMar>
            <w:vAlign w:val="bottom"/>
          </w:tcPr>
          <w:p w14:paraId="2A73A2D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Cash generated by/(used in) investing activities</w:t>
            </w:r>
          </w:p>
        </w:tc>
        <w:tc>
          <w:tcPr>
            <w:tcW w:w="0" w:type="auto"/>
            <w:shd w:val="clear" w:color="auto" w:fill="auto"/>
            <w:tcMar>
              <w:top w:w="40" w:type="dxa"/>
              <w:left w:w="40" w:type="dxa"/>
              <w:bottom w:w="40" w:type="dxa"/>
            </w:tcMar>
            <w:vAlign w:val="bottom"/>
          </w:tcPr>
          <w:p w14:paraId="2A73A2D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D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45,896</w:t>
            </w:r>
          </w:p>
        </w:tc>
        <w:tc>
          <w:tcPr>
            <w:tcW w:w="0" w:type="auto"/>
            <w:shd w:val="clear" w:color="auto" w:fill="auto"/>
            <w:vAlign w:val="bottom"/>
          </w:tcPr>
          <w:p w14:paraId="2A73A2D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D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2D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D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16,066</w:t>
            </w:r>
          </w:p>
        </w:tc>
        <w:tc>
          <w:tcPr>
            <w:tcW w:w="0" w:type="auto"/>
            <w:shd w:val="clear" w:color="auto" w:fill="auto"/>
            <w:vAlign w:val="bottom"/>
          </w:tcPr>
          <w:p w14:paraId="2A73A2D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2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2D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2D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(46,446</w:t>
            </w:r>
          </w:p>
        </w:tc>
        <w:tc>
          <w:tcPr>
            <w:tcW w:w="0" w:type="auto"/>
            <w:shd w:val="clear" w:color="auto" w:fill="auto"/>
            <w:tcMar>
              <w:top w:w="40" w:type="dxa"/>
              <w:bottom w:w="40" w:type="dxa"/>
              <w:right w:w="40" w:type="dxa"/>
            </w:tcMar>
            <w:vAlign w:val="bottom"/>
          </w:tcPr>
          <w:p w14:paraId="2A73A2E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2EE" w14:textId="77777777">
        <w:tc>
          <w:tcPr>
            <w:tcW w:w="0" w:type="auto"/>
            <w:shd w:val="clear" w:color="auto" w:fill="EFEFEF"/>
            <w:tcMar>
              <w:top w:w="40" w:type="dxa"/>
              <w:left w:w="40" w:type="dxa"/>
              <w:bottom w:w="40" w:type="dxa"/>
              <w:right w:w="40" w:type="dxa"/>
            </w:tcMar>
          </w:tcPr>
          <w:p w14:paraId="2A73A2E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Cash used in financing activities</w:t>
            </w:r>
          </w:p>
        </w:tc>
        <w:tc>
          <w:tcPr>
            <w:tcW w:w="0" w:type="auto"/>
            <w:shd w:val="clear" w:color="auto" w:fill="EFEFEF"/>
            <w:tcMar>
              <w:top w:w="40" w:type="dxa"/>
              <w:left w:w="40" w:type="dxa"/>
              <w:bottom w:w="40" w:type="dxa"/>
            </w:tcMar>
            <w:vAlign w:val="bottom"/>
          </w:tcPr>
          <w:p w14:paraId="2A73A2E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E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(90,976</w:t>
            </w:r>
          </w:p>
        </w:tc>
        <w:tc>
          <w:tcPr>
            <w:tcW w:w="0" w:type="auto"/>
            <w:shd w:val="clear" w:color="auto" w:fill="EFEFEF"/>
            <w:tcMar>
              <w:top w:w="40" w:type="dxa"/>
              <w:bottom w:w="40" w:type="dxa"/>
              <w:right w:w="40" w:type="dxa"/>
            </w:tcMar>
            <w:vAlign w:val="bottom"/>
          </w:tcPr>
          <w:p w14:paraId="2A73A2E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2E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2E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E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(87,876</w:t>
            </w:r>
          </w:p>
        </w:tc>
        <w:tc>
          <w:tcPr>
            <w:tcW w:w="0" w:type="auto"/>
            <w:shd w:val="clear" w:color="auto" w:fill="EFEFEF"/>
            <w:tcMar>
              <w:top w:w="40" w:type="dxa"/>
              <w:bottom w:w="40" w:type="dxa"/>
              <w:right w:w="40" w:type="dxa"/>
            </w:tcMar>
            <w:vAlign w:val="bottom"/>
          </w:tcPr>
          <w:p w14:paraId="2A73A2E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2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2E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2E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(17,974</w:t>
            </w:r>
          </w:p>
        </w:tc>
        <w:tc>
          <w:tcPr>
            <w:tcW w:w="0" w:type="auto"/>
            <w:shd w:val="clear" w:color="auto" w:fill="EFEFEF"/>
            <w:tcMar>
              <w:top w:w="40" w:type="dxa"/>
              <w:bottom w:w="40" w:type="dxa"/>
              <w:right w:w="40" w:type="dxa"/>
            </w:tcMar>
            <w:vAlign w:val="bottom"/>
          </w:tcPr>
          <w:p w14:paraId="2A73A2E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bl>
    <w:p w14:paraId="2A73A2EF"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2F2" w14:textId="77777777">
        <w:trPr>
          <w:tblCellSpacing w:w="0" w:type="dxa"/>
        </w:trPr>
        <w:tc>
          <w:tcPr>
            <w:tcW w:w="960" w:type="dxa"/>
            <w:shd w:val="clear" w:color="auto" w:fill="auto"/>
            <w:vAlign w:val="center"/>
          </w:tcPr>
          <w:p w14:paraId="2A73A2F0" w14:textId="77777777" w:rsidR="00FA5565" w:rsidRDefault="00FA5565">
            <w:pPr>
              <w:rPr>
                <w:rFonts w:ascii="Times New Roman" w:hAnsi="Times New Roman"/>
                <w:sz w:val="20"/>
                <w:szCs w:val="20"/>
              </w:rPr>
            </w:pPr>
          </w:p>
        </w:tc>
        <w:tc>
          <w:tcPr>
            <w:tcW w:w="0" w:type="auto"/>
            <w:shd w:val="clear" w:color="auto" w:fill="auto"/>
            <w:vAlign w:val="center"/>
          </w:tcPr>
          <w:p w14:paraId="2A73A2F1" w14:textId="77777777" w:rsidR="00FA5565" w:rsidRDefault="00FA5565">
            <w:pPr>
              <w:rPr>
                <w:rFonts w:ascii="Times New Roman" w:hAnsi="Times New Roman"/>
                <w:sz w:val="20"/>
                <w:szCs w:val="20"/>
              </w:rPr>
            </w:pPr>
          </w:p>
        </w:tc>
      </w:tr>
      <w:tr w:rsidR="00FA5565" w14:paraId="2A73A2F5" w14:textId="77777777">
        <w:trPr>
          <w:tblCellSpacing w:w="0" w:type="dxa"/>
        </w:trPr>
        <w:tc>
          <w:tcPr>
            <w:tcW w:w="0" w:type="auto"/>
            <w:shd w:val="clear" w:color="auto" w:fill="auto"/>
          </w:tcPr>
          <w:p w14:paraId="2A73A2F3"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A2F4"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As of September 28, 2019 and September 29, 2018, total cash, cash </w:t>
            </w:r>
            <w:r>
              <w:rPr>
                <w:rFonts w:ascii="Helvetica" w:eastAsia="Helvetica" w:hAnsi="Helvetica" w:cs="Helvetica"/>
                <w:sz w:val="16"/>
                <w:szCs w:val="16"/>
              </w:rPr>
              <w:t>equivalents and marketable securities included $18.9 billion and $20.3 billion, respectively, that was restricted from general use, related to the State Aid Decision (refer to Note 5, “Income Taxes” in the Notes to Consolidated Financial Statements in Part</w:t>
            </w:r>
            <w:r>
              <w:rPr>
                <w:rFonts w:ascii="Helvetica" w:eastAsia="Helvetica" w:hAnsi="Helvetica" w:cs="Helvetica"/>
                <w:sz w:val="16"/>
                <w:szCs w:val="16"/>
              </w:rPr>
              <w:t xml:space="preserve"> II, Item 8 of this Form 10-K) and other agreements.</w:t>
            </w:r>
          </w:p>
        </w:tc>
      </w:tr>
    </w:tbl>
    <w:p w14:paraId="2A73A2F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believes its existing balances of cash, cash equivalents and marketable securities, along with commercial paper and other short-term liquidity arrangements, will be sufficient to satisfy its</w:t>
      </w:r>
      <w:r>
        <w:rPr>
          <w:rFonts w:ascii="Helvetica" w:eastAsia="Helvetica" w:hAnsi="Helvetica" w:cs="Helvetica"/>
          <w:sz w:val="18"/>
          <w:szCs w:val="18"/>
        </w:rPr>
        <w:t xml:space="preserve"> working capital needs, capital asset purchases, dividends, share repurchases, debt repayments and other liquidity requirements associated with its existing operations over the next 12 months.</w:t>
      </w:r>
    </w:p>
    <w:p w14:paraId="2A73A2F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In connection with the State Aid Decision, as of September 28, </w:t>
      </w:r>
      <w:r>
        <w:rPr>
          <w:rFonts w:ascii="Helvetica" w:eastAsia="Helvetica" w:hAnsi="Helvetica" w:cs="Helvetica"/>
          <w:sz w:val="18"/>
          <w:szCs w:val="18"/>
        </w:rPr>
        <w:t>2019, the entire adjusted recovery amount of €12.9 billion plus interest of €1.2 billion was funded into escrow, where it will remain restricted from general use pending the conclusion of all appeals. Further information regarding the State Aid Decision ca</w:t>
      </w:r>
      <w:r>
        <w:rPr>
          <w:rFonts w:ascii="Helvetica" w:eastAsia="Helvetica" w:hAnsi="Helvetica" w:cs="Helvetica"/>
          <w:sz w:val="18"/>
          <w:szCs w:val="18"/>
        </w:rPr>
        <w:t>n be found in Part II, Item 8 of this Form 10-K in the Notes to Consolidated Financial Statements in Note 5, “Income Taxes.”</w:t>
      </w:r>
    </w:p>
    <w:p w14:paraId="2A73A2F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marketable securities investment portfolio is primarily invested in highly rated securities, with the primary objecti</w:t>
      </w:r>
      <w:r>
        <w:rPr>
          <w:rFonts w:ascii="Helvetica" w:eastAsia="Helvetica" w:hAnsi="Helvetica" w:cs="Helvetica"/>
          <w:sz w:val="18"/>
          <w:szCs w:val="18"/>
        </w:rPr>
        <w:t>ve of minimizing the potential risk of principal loss. The Company’s investment policy generally requires securities to be investment grade and limits the amount of credit exposure to any one issuer.</w:t>
      </w:r>
    </w:p>
    <w:p w14:paraId="2A73A2F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During 2019, cash generated by operating activities of $</w:t>
      </w:r>
      <w:r>
        <w:rPr>
          <w:rFonts w:ascii="Helvetica" w:eastAsia="Helvetica" w:hAnsi="Helvetica" w:cs="Helvetica"/>
          <w:sz w:val="18"/>
          <w:szCs w:val="18"/>
        </w:rPr>
        <w:t>69.4 billion was a result of $55.3 billion of net income and non-cash adjustments to net income of $17.6 billion, partially offset by a decrease in the net change in operating assets and liabilities of $3.5 billion. Cash generated by investing activities o</w:t>
      </w:r>
      <w:r>
        <w:rPr>
          <w:rFonts w:ascii="Helvetica" w:eastAsia="Helvetica" w:hAnsi="Helvetica" w:cs="Helvetica"/>
          <w:sz w:val="18"/>
          <w:szCs w:val="18"/>
        </w:rPr>
        <w:t>f $45.9 billion during 2019 consisted primarily of proceeds from sales and maturities of marketable securities, net of purchases, of $57.5 billion, partially offset by cash used to acquire property, plant and equipment of $10.5 billion. Cash used in financ</w:t>
      </w:r>
      <w:r>
        <w:rPr>
          <w:rFonts w:ascii="Helvetica" w:eastAsia="Helvetica" w:hAnsi="Helvetica" w:cs="Helvetica"/>
          <w:sz w:val="18"/>
          <w:szCs w:val="18"/>
        </w:rPr>
        <w:t xml:space="preserve">ing activities of $91.0 billion during 2019 consisted primarily of cash used to repurchase common stock of $66.9 billion, cash used to pay dividends and dividend equivalents of $14.1 billion, cash used to repay term debt of $8.8 billion and net repayments </w:t>
      </w:r>
      <w:r>
        <w:rPr>
          <w:rFonts w:ascii="Helvetica" w:eastAsia="Helvetica" w:hAnsi="Helvetica" w:cs="Helvetica"/>
          <w:sz w:val="18"/>
          <w:szCs w:val="18"/>
        </w:rPr>
        <w:t>of commercial paper of $6.0 billion, partially offset by net proceeds from the issuance of term debt of $7.0 billion.</w:t>
      </w:r>
    </w:p>
    <w:p w14:paraId="2A73A2F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During 2018, cash generated by operating activities of $77.4 billion was a result of $59.5 billion of net income and an increase in the ne</w:t>
      </w:r>
      <w:r>
        <w:rPr>
          <w:rFonts w:ascii="Helvetica" w:eastAsia="Helvetica" w:hAnsi="Helvetica" w:cs="Helvetica"/>
          <w:sz w:val="18"/>
          <w:szCs w:val="18"/>
        </w:rPr>
        <w:t xml:space="preserve">t change in operating assets and liabilities of $34.7 billion, partially offset by non-cash adjustments to net income of $16.8 billion. Cash generated by investing activities of $16.1 billion during 2018 consisted primarily of proceeds from maturities and </w:t>
      </w:r>
      <w:r>
        <w:rPr>
          <w:rFonts w:ascii="Helvetica" w:eastAsia="Helvetica" w:hAnsi="Helvetica" w:cs="Helvetica"/>
          <w:sz w:val="18"/>
          <w:szCs w:val="18"/>
        </w:rPr>
        <w:t xml:space="preserve">sales of marketable securities, net of purchases, of $32.4 billion, partially offset by cash used to acquire property, plant and equipment of $13.3 billion. Cash used in financing activities of $87.9 billion during 2018 consisted primarily of cash used to </w:t>
      </w:r>
      <w:r>
        <w:rPr>
          <w:rFonts w:ascii="Helvetica" w:eastAsia="Helvetica" w:hAnsi="Helvetica" w:cs="Helvetica"/>
          <w:sz w:val="18"/>
          <w:szCs w:val="18"/>
        </w:rPr>
        <w:t>repurchase common stock of $72.7 billion, cash used to pay dividends and dividend equivalents of $13.7 billion and cash used to repay term debt of $6.5 billion, partially offset by net proceeds from the issuance of term debt of $7.0 billion.</w:t>
      </w:r>
    </w:p>
    <w:p w14:paraId="2A73A2FB" w14:textId="77777777" w:rsidR="00FA5565" w:rsidRDefault="00FA5565">
      <w:pPr>
        <w:rPr>
          <w:rFonts w:ascii="Times New Roman" w:hAnsi="Times New Roman"/>
          <w:sz w:val="20"/>
          <w:szCs w:val="20"/>
        </w:rPr>
      </w:pPr>
    </w:p>
    <w:p w14:paraId="2A73A2FC"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 xml:space="preserve">Apple </w:t>
      </w:r>
      <w:r>
        <w:rPr>
          <w:rFonts w:ascii="Helvetica" w:eastAsia="Helvetica" w:hAnsi="Helvetica" w:cs="Helvetica"/>
          <w:sz w:val="16"/>
          <w:szCs w:val="16"/>
        </w:rPr>
        <w:t>Inc. | 2019 Form 10-K | 23</w:t>
      </w:r>
    </w:p>
    <w:p w14:paraId="2A73A2FD" w14:textId="77777777" w:rsidR="00FA5565" w:rsidRDefault="00D804D1">
      <w:r>
        <w:rPr>
          <w:rFonts w:ascii="Times New Roman" w:hAnsi="Times New Roman"/>
          <w:sz w:val="16"/>
          <w:szCs w:val="16"/>
        </w:rPr>
        <w:pict w14:anchorId="2A73C0B3">
          <v:rect id="_x0000_i1049" style="width:415.3pt;height:1.5pt" o:hralign="center" o:hrstd="t" o:hr="t" fillcolor="#a0a0a0" stroked="f"/>
        </w:pict>
      </w:r>
    </w:p>
    <w:p w14:paraId="2A73A2FE" w14:textId="77777777" w:rsidR="00FA5565" w:rsidRDefault="00FA5565">
      <w:pPr>
        <w:rPr>
          <w:rFonts w:ascii="Times New Roman" w:hAnsi="Times New Roman"/>
          <w:sz w:val="20"/>
          <w:szCs w:val="20"/>
        </w:rPr>
      </w:pPr>
    </w:p>
    <w:p w14:paraId="2A73A2FF"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Capital Assets</w:t>
      </w:r>
    </w:p>
    <w:p w14:paraId="2A73A30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capital expenditures were $7.6 billion during 2019, which included product tooling and manufacturing process equipment; data centers; corporate facilities and infrastructure, including information </w:t>
      </w:r>
      <w:r>
        <w:rPr>
          <w:rFonts w:ascii="Helvetica" w:eastAsia="Helvetica" w:hAnsi="Helvetica" w:cs="Helvetica"/>
          <w:sz w:val="18"/>
          <w:szCs w:val="18"/>
        </w:rPr>
        <w:t>systems hardware, software and enhancements; and retail store facilities.</w:t>
      </w:r>
    </w:p>
    <w:p w14:paraId="2A73A301"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Debt</w:t>
      </w:r>
    </w:p>
    <w:p w14:paraId="2A73A30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issues unsecured short-term promissory notes (“Commercial Paper”) pursuant to a commercial paper program. The Company uses the net proceeds from the commercial paper</w:t>
      </w:r>
      <w:r>
        <w:rPr>
          <w:rFonts w:ascii="Helvetica" w:eastAsia="Helvetica" w:hAnsi="Helvetica" w:cs="Helvetica"/>
          <w:sz w:val="18"/>
          <w:szCs w:val="18"/>
        </w:rPr>
        <w:t xml:space="preserve"> program for general corporate purposes, including dividends and share repurchases. As of September 28, 2019, the Company had $6.0 billion of Commercial Paper outstanding, with a weighted-average interest rate of 2.24% and maturities generally less than ni</w:t>
      </w:r>
      <w:r>
        <w:rPr>
          <w:rFonts w:ascii="Helvetica" w:eastAsia="Helvetica" w:hAnsi="Helvetica" w:cs="Helvetica"/>
          <w:sz w:val="18"/>
          <w:szCs w:val="18"/>
        </w:rPr>
        <w:t>ne months.</w:t>
      </w:r>
    </w:p>
    <w:p w14:paraId="2A73A30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As of September 28, 2019, the Company had outstanding floating- and fixed-rate notes with varying maturities for an aggregate principal amount of $101.7 billion (collectively the “Notes”). During 2019, the Company issued $7.0 billion and repaid </w:t>
      </w:r>
      <w:r>
        <w:rPr>
          <w:rFonts w:ascii="Helvetica" w:eastAsia="Helvetica" w:hAnsi="Helvetica" w:cs="Helvetica"/>
          <w:sz w:val="18"/>
          <w:szCs w:val="18"/>
        </w:rPr>
        <w:t>$8.8 billion of Notes. The Company has entered, and in the future may enter, into interest rate swaps to manage interest rate risk on the Notes. In addition, the Company has entered, and in the future may enter, into foreign currency swaps to manage foreig</w:t>
      </w:r>
      <w:r>
        <w:rPr>
          <w:rFonts w:ascii="Helvetica" w:eastAsia="Helvetica" w:hAnsi="Helvetica" w:cs="Helvetica"/>
          <w:sz w:val="18"/>
          <w:szCs w:val="18"/>
        </w:rPr>
        <w:t>n currency risk on the Notes.</w:t>
      </w:r>
    </w:p>
    <w:p w14:paraId="2A73A30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Further information regarding the Company’s debt issuances and related hedging activity can be found in Part II, Item 8 of this Form 10-K in the Notes to Consolidated Financial Statements in Note 3, “Financial Instruments” and</w:t>
      </w:r>
      <w:r>
        <w:rPr>
          <w:rFonts w:ascii="Helvetica" w:eastAsia="Helvetica" w:hAnsi="Helvetica" w:cs="Helvetica"/>
          <w:sz w:val="18"/>
          <w:szCs w:val="18"/>
        </w:rPr>
        <w:t xml:space="preserve"> Note 6, “Debt.”</w:t>
      </w:r>
    </w:p>
    <w:p w14:paraId="2A73A305"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Capital Return Program</w:t>
      </w:r>
    </w:p>
    <w:p w14:paraId="2A73A30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On April 30, 2019, the Company announced the Board of Directors increased the current share repurchase program authorization from $100 billion to $175 billion of the Company’s common stock, of which $96.1 billion had</w:t>
      </w:r>
      <w:r>
        <w:rPr>
          <w:rFonts w:ascii="Helvetica" w:eastAsia="Helvetica" w:hAnsi="Helvetica" w:cs="Helvetica"/>
          <w:sz w:val="18"/>
          <w:szCs w:val="18"/>
        </w:rPr>
        <w:t xml:space="preserve"> been utilized as of September 28, 2019. During 2019, the Company repurchased 345.2 million shares of its common stock for $67.1 billion, including 62.0 million shares delivered under a $12.0 billion ASR dated February 2019, which settled in August 2019. T</w:t>
      </w:r>
      <w:r>
        <w:rPr>
          <w:rFonts w:ascii="Helvetica" w:eastAsia="Helvetica" w:hAnsi="Helvetica" w:cs="Helvetica"/>
          <w:sz w:val="18"/>
          <w:szCs w:val="18"/>
        </w:rPr>
        <w:t>he Company’s share repurchase program does not obligate it to acquire any specific number of shares. Under this program, shares may be repurchased in privately negotiated and/or open market transactions, including under plans complying with Rule 10b5-1 und</w:t>
      </w:r>
      <w:r>
        <w:rPr>
          <w:rFonts w:ascii="Helvetica" w:eastAsia="Helvetica" w:hAnsi="Helvetica" w:cs="Helvetica"/>
          <w:sz w:val="18"/>
          <w:szCs w:val="18"/>
        </w:rPr>
        <w:t>er the Exchange Act.</w:t>
      </w:r>
    </w:p>
    <w:p w14:paraId="2A73A30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On April 30, 2019, the Company also announced the Board of Directors raised the Company’s quarterly cash dividend from $0.73 to $0.77 per share, beginning with the dividend paid during the third quarter of 2019. The Company intends to </w:t>
      </w:r>
      <w:r>
        <w:rPr>
          <w:rFonts w:ascii="Helvetica" w:eastAsia="Helvetica" w:hAnsi="Helvetica" w:cs="Helvetica"/>
          <w:sz w:val="18"/>
          <w:szCs w:val="18"/>
        </w:rPr>
        <w:t>increase its dividend on an annual basis, subject to declaration by the Board of Directors.</w:t>
      </w:r>
    </w:p>
    <w:p w14:paraId="2A73A308"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Contractual Obligations</w:t>
      </w:r>
    </w:p>
    <w:p w14:paraId="2A73A30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 presents certain payments due by the Company as of September 28, 2019, and excludes amounts already recorded on the Cons</w:t>
      </w:r>
      <w:r>
        <w:rPr>
          <w:rFonts w:ascii="Helvetica" w:eastAsia="Helvetica" w:hAnsi="Helvetica" w:cs="Helvetica"/>
          <w:sz w:val="18"/>
          <w:szCs w:val="18"/>
        </w:rPr>
        <w:t>olidated Balance Sheet, except for term debt and the deemed repatriation tax payable (in millions):</w:t>
      </w:r>
    </w:p>
    <w:tbl>
      <w:tblPr>
        <w:tblW w:w="5000" w:type="pct"/>
        <w:tblCellMar>
          <w:left w:w="0" w:type="dxa"/>
          <w:right w:w="0" w:type="dxa"/>
        </w:tblCellMar>
        <w:tblLook w:val="04A0" w:firstRow="1" w:lastRow="0" w:firstColumn="1" w:lastColumn="0" w:noHBand="0" w:noVBand="1"/>
      </w:tblPr>
      <w:tblGrid>
        <w:gridCol w:w="2614"/>
        <w:gridCol w:w="142"/>
        <w:gridCol w:w="870"/>
        <w:gridCol w:w="64"/>
        <w:gridCol w:w="130"/>
        <w:gridCol w:w="142"/>
        <w:gridCol w:w="845"/>
        <w:gridCol w:w="64"/>
        <w:gridCol w:w="130"/>
        <w:gridCol w:w="142"/>
        <w:gridCol w:w="845"/>
        <w:gridCol w:w="64"/>
        <w:gridCol w:w="130"/>
        <w:gridCol w:w="142"/>
        <w:gridCol w:w="845"/>
        <w:gridCol w:w="64"/>
        <w:gridCol w:w="130"/>
        <w:gridCol w:w="141"/>
        <w:gridCol w:w="762"/>
        <w:gridCol w:w="40"/>
      </w:tblGrid>
      <w:tr w:rsidR="00FA5565" w14:paraId="2A73A30B" w14:textId="77777777">
        <w:tc>
          <w:tcPr>
            <w:tcW w:w="0" w:type="auto"/>
            <w:gridSpan w:val="20"/>
            <w:shd w:val="clear" w:color="auto" w:fill="auto"/>
            <w:vAlign w:val="center"/>
          </w:tcPr>
          <w:p w14:paraId="2A73A30A" w14:textId="77777777" w:rsidR="00FA5565" w:rsidRDefault="00FA5565">
            <w:pPr>
              <w:rPr>
                <w:rFonts w:ascii="Times New Roman" w:hAnsi="Times New Roman"/>
                <w:sz w:val="20"/>
                <w:szCs w:val="20"/>
              </w:rPr>
            </w:pPr>
          </w:p>
        </w:tc>
      </w:tr>
      <w:tr w:rsidR="00FA5565" w14:paraId="2A73A320" w14:textId="77777777">
        <w:tc>
          <w:tcPr>
            <w:tcW w:w="1600" w:type="pct"/>
            <w:shd w:val="clear" w:color="auto" w:fill="auto"/>
            <w:vAlign w:val="center"/>
          </w:tcPr>
          <w:p w14:paraId="2A73A30C" w14:textId="77777777" w:rsidR="00FA5565" w:rsidRDefault="00FA5565">
            <w:pPr>
              <w:rPr>
                <w:rFonts w:ascii="Times New Roman" w:hAnsi="Times New Roman"/>
                <w:sz w:val="20"/>
                <w:szCs w:val="20"/>
              </w:rPr>
            </w:pPr>
          </w:p>
        </w:tc>
        <w:tc>
          <w:tcPr>
            <w:tcW w:w="50" w:type="pct"/>
            <w:shd w:val="clear" w:color="auto" w:fill="auto"/>
            <w:vAlign w:val="center"/>
          </w:tcPr>
          <w:p w14:paraId="2A73A30D" w14:textId="77777777" w:rsidR="00FA5565" w:rsidRDefault="00FA5565">
            <w:pPr>
              <w:rPr>
                <w:rFonts w:ascii="Times New Roman" w:hAnsi="Times New Roman"/>
                <w:sz w:val="20"/>
                <w:szCs w:val="20"/>
              </w:rPr>
            </w:pPr>
          </w:p>
        </w:tc>
        <w:tc>
          <w:tcPr>
            <w:tcW w:w="550" w:type="pct"/>
            <w:shd w:val="clear" w:color="auto" w:fill="auto"/>
            <w:vAlign w:val="center"/>
          </w:tcPr>
          <w:p w14:paraId="2A73A30E" w14:textId="77777777" w:rsidR="00FA5565" w:rsidRDefault="00FA5565">
            <w:pPr>
              <w:rPr>
                <w:rFonts w:ascii="Times New Roman" w:hAnsi="Times New Roman"/>
                <w:sz w:val="20"/>
                <w:szCs w:val="20"/>
              </w:rPr>
            </w:pPr>
          </w:p>
        </w:tc>
        <w:tc>
          <w:tcPr>
            <w:tcW w:w="50" w:type="pct"/>
            <w:shd w:val="clear" w:color="auto" w:fill="auto"/>
            <w:vAlign w:val="center"/>
          </w:tcPr>
          <w:p w14:paraId="2A73A30F" w14:textId="77777777" w:rsidR="00FA5565" w:rsidRDefault="00FA5565">
            <w:pPr>
              <w:rPr>
                <w:rFonts w:ascii="Times New Roman" w:hAnsi="Times New Roman"/>
                <w:sz w:val="20"/>
                <w:szCs w:val="20"/>
              </w:rPr>
            </w:pPr>
          </w:p>
        </w:tc>
        <w:tc>
          <w:tcPr>
            <w:tcW w:w="50" w:type="pct"/>
            <w:shd w:val="clear" w:color="auto" w:fill="auto"/>
            <w:vAlign w:val="center"/>
          </w:tcPr>
          <w:p w14:paraId="2A73A310" w14:textId="77777777" w:rsidR="00FA5565" w:rsidRDefault="00FA5565">
            <w:pPr>
              <w:rPr>
                <w:rFonts w:ascii="Times New Roman" w:hAnsi="Times New Roman"/>
                <w:sz w:val="20"/>
                <w:szCs w:val="20"/>
              </w:rPr>
            </w:pPr>
          </w:p>
        </w:tc>
        <w:tc>
          <w:tcPr>
            <w:tcW w:w="50" w:type="pct"/>
            <w:shd w:val="clear" w:color="auto" w:fill="auto"/>
            <w:vAlign w:val="center"/>
          </w:tcPr>
          <w:p w14:paraId="2A73A311" w14:textId="77777777" w:rsidR="00FA5565" w:rsidRDefault="00FA5565">
            <w:pPr>
              <w:rPr>
                <w:rFonts w:ascii="Times New Roman" w:hAnsi="Times New Roman"/>
                <w:sz w:val="20"/>
                <w:szCs w:val="20"/>
              </w:rPr>
            </w:pPr>
          </w:p>
        </w:tc>
        <w:tc>
          <w:tcPr>
            <w:tcW w:w="550" w:type="pct"/>
            <w:shd w:val="clear" w:color="auto" w:fill="auto"/>
            <w:vAlign w:val="center"/>
          </w:tcPr>
          <w:p w14:paraId="2A73A312" w14:textId="77777777" w:rsidR="00FA5565" w:rsidRDefault="00FA5565">
            <w:pPr>
              <w:rPr>
                <w:rFonts w:ascii="Times New Roman" w:hAnsi="Times New Roman"/>
                <w:sz w:val="20"/>
                <w:szCs w:val="20"/>
              </w:rPr>
            </w:pPr>
          </w:p>
        </w:tc>
        <w:tc>
          <w:tcPr>
            <w:tcW w:w="50" w:type="pct"/>
            <w:shd w:val="clear" w:color="auto" w:fill="auto"/>
            <w:vAlign w:val="center"/>
          </w:tcPr>
          <w:p w14:paraId="2A73A313" w14:textId="77777777" w:rsidR="00FA5565" w:rsidRDefault="00FA5565">
            <w:pPr>
              <w:rPr>
                <w:rFonts w:ascii="Times New Roman" w:hAnsi="Times New Roman"/>
                <w:sz w:val="20"/>
                <w:szCs w:val="20"/>
              </w:rPr>
            </w:pPr>
          </w:p>
        </w:tc>
        <w:tc>
          <w:tcPr>
            <w:tcW w:w="50" w:type="pct"/>
            <w:shd w:val="clear" w:color="auto" w:fill="auto"/>
            <w:vAlign w:val="center"/>
          </w:tcPr>
          <w:p w14:paraId="2A73A314" w14:textId="77777777" w:rsidR="00FA5565" w:rsidRDefault="00FA5565">
            <w:pPr>
              <w:rPr>
                <w:rFonts w:ascii="Times New Roman" w:hAnsi="Times New Roman"/>
                <w:sz w:val="20"/>
                <w:szCs w:val="20"/>
              </w:rPr>
            </w:pPr>
          </w:p>
        </w:tc>
        <w:tc>
          <w:tcPr>
            <w:tcW w:w="50" w:type="pct"/>
            <w:shd w:val="clear" w:color="auto" w:fill="auto"/>
            <w:vAlign w:val="center"/>
          </w:tcPr>
          <w:p w14:paraId="2A73A315" w14:textId="77777777" w:rsidR="00FA5565" w:rsidRDefault="00FA5565">
            <w:pPr>
              <w:rPr>
                <w:rFonts w:ascii="Times New Roman" w:hAnsi="Times New Roman"/>
                <w:sz w:val="20"/>
                <w:szCs w:val="20"/>
              </w:rPr>
            </w:pPr>
          </w:p>
        </w:tc>
        <w:tc>
          <w:tcPr>
            <w:tcW w:w="550" w:type="pct"/>
            <w:shd w:val="clear" w:color="auto" w:fill="auto"/>
            <w:vAlign w:val="center"/>
          </w:tcPr>
          <w:p w14:paraId="2A73A316" w14:textId="77777777" w:rsidR="00FA5565" w:rsidRDefault="00FA5565">
            <w:pPr>
              <w:rPr>
                <w:rFonts w:ascii="Times New Roman" w:hAnsi="Times New Roman"/>
                <w:sz w:val="20"/>
                <w:szCs w:val="20"/>
              </w:rPr>
            </w:pPr>
          </w:p>
        </w:tc>
        <w:tc>
          <w:tcPr>
            <w:tcW w:w="50" w:type="pct"/>
            <w:shd w:val="clear" w:color="auto" w:fill="auto"/>
            <w:vAlign w:val="center"/>
          </w:tcPr>
          <w:p w14:paraId="2A73A317" w14:textId="77777777" w:rsidR="00FA5565" w:rsidRDefault="00FA5565">
            <w:pPr>
              <w:rPr>
                <w:rFonts w:ascii="Times New Roman" w:hAnsi="Times New Roman"/>
                <w:sz w:val="20"/>
                <w:szCs w:val="20"/>
              </w:rPr>
            </w:pPr>
          </w:p>
        </w:tc>
        <w:tc>
          <w:tcPr>
            <w:tcW w:w="50" w:type="pct"/>
            <w:shd w:val="clear" w:color="auto" w:fill="auto"/>
            <w:vAlign w:val="center"/>
          </w:tcPr>
          <w:p w14:paraId="2A73A318" w14:textId="77777777" w:rsidR="00FA5565" w:rsidRDefault="00FA5565">
            <w:pPr>
              <w:rPr>
                <w:rFonts w:ascii="Times New Roman" w:hAnsi="Times New Roman"/>
                <w:sz w:val="20"/>
                <w:szCs w:val="20"/>
              </w:rPr>
            </w:pPr>
          </w:p>
        </w:tc>
        <w:tc>
          <w:tcPr>
            <w:tcW w:w="50" w:type="pct"/>
            <w:shd w:val="clear" w:color="auto" w:fill="auto"/>
            <w:vAlign w:val="center"/>
          </w:tcPr>
          <w:p w14:paraId="2A73A319" w14:textId="77777777" w:rsidR="00FA5565" w:rsidRDefault="00FA5565">
            <w:pPr>
              <w:rPr>
                <w:rFonts w:ascii="Times New Roman" w:hAnsi="Times New Roman"/>
                <w:sz w:val="20"/>
                <w:szCs w:val="20"/>
              </w:rPr>
            </w:pPr>
          </w:p>
        </w:tc>
        <w:tc>
          <w:tcPr>
            <w:tcW w:w="550" w:type="pct"/>
            <w:shd w:val="clear" w:color="auto" w:fill="auto"/>
            <w:vAlign w:val="center"/>
          </w:tcPr>
          <w:p w14:paraId="2A73A31A" w14:textId="77777777" w:rsidR="00FA5565" w:rsidRDefault="00FA5565">
            <w:pPr>
              <w:rPr>
                <w:rFonts w:ascii="Times New Roman" w:hAnsi="Times New Roman"/>
                <w:sz w:val="20"/>
                <w:szCs w:val="20"/>
              </w:rPr>
            </w:pPr>
          </w:p>
        </w:tc>
        <w:tc>
          <w:tcPr>
            <w:tcW w:w="50" w:type="pct"/>
            <w:shd w:val="clear" w:color="auto" w:fill="auto"/>
            <w:vAlign w:val="center"/>
          </w:tcPr>
          <w:p w14:paraId="2A73A31B" w14:textId="77777777" w:rsidR="00FA5565" w:rsidRDefault="00FA5565">
            <w:pPr>
              <w:rPr>
                <w:rFonts w:ascii="Times New Roman" w:hAnsi="Times New Roman"/>
                <w:sz w:val="20"/>
                <w:szCs w:val="20"/>
              </w:rPr>
            </w:pPr>
          </w:p>
        </w:tc>
        <w:tc>
          <w:tcPr>
            <w:tcW w:w="50" w:type="pct"/>
            <w:shd w:val="clear" w:color="auto" w:fill="auto"/>
            <w:vAlign w:val="center"/>
          </w:tcPr>
          <w:p w14:paraId="2A73A31C" w14:textId="77777777" w:rsidR="00FA5565" w:rsidRDefault="00FA5565">
            <w:pPr>
              <w:rPr>
                <w:rFonts w:ascii="Times New Roman" w:hAnsi="Times New Roman"/>
                <w:sz w:val="20"/>
                <w:szCs w:val="20"/>
              </w:rPr>
            </w:pPr>
          </w:p>
        </w:tc>
        <w:tc>
          <w:tcPr>
            <w:tcW w:w="50" w:type="pct"/>
            <w:shd w:val="clear" w:color="auto" w:fill="auto"/>
            <w:vAlign w:val="center"/>
          </w:tcPr>
          <w:p w14:paraId="2A73A31D" w14:textId="77777777" w:rsidR="00FA5565" w:rsidRDefault="00FA5565">
            <w:pPr>
              <w:rPr>
                <w:rFonts w:ascii="Times New Roman" w:hAnsi="Times New Roman"/>
                <w:sz w:val="20"/>
                <w:szCs w:val="20"/>
              </w:rPr>
            </w:pPr>
          </w:p>
        </w:tc>
        <w:tc>
          <w:tcPr>
            <w:tcW w:w="500" w:type="pct"/>
            <w:shd w:val="clear" w:color="auto" w:fill="auto"/>
            <w:vAlign w:val="center"/>
          </w:tcPr>
          <w:p w14:paraId="2A73A31E" w14:textId="77777777" w:rsidR="00FA5565" w:rsidRDefault="00FA5565">
            <w:pPr>
              <w:rPr>
                <w:rFonts w:ascii="Times New Roman" w:hAnsi="Times New Roman"/>
                <w:sz w:val="20"/>
                <w:szCs w:val="20"/>
              </w:rPr>
            </w:pPr>
          </w:p>
        </w:tc>
        <w:tc>
          <w:tcPr>
            <w:tcW w:w="50" w:type="pct"/>
            <w:shd w:val="clear" w:color="auto" w:fill="auto"/>
            <w:vAlign w:val="center"/>
          </w:tcPr>
          <w:p w14:paraId="2A73A31F" w14:textId="77777777" w:rsidR="00FA5565" w:rsidRDefault="00FA5565">
            <w:pPr>
              <w:rPr>
                <w:rFonts w:ascii="Times New Roman" w:hAnsi="Times New Roman"/>
                <w:sz w:val="20"/>
                <w:szCs w:val="20"/>
              </w:rPr>
            </w:pPr>
          </w:p>
        </w:tc>
      </w:tr>
      <w:tr w:rsidR="00FA5565" w14:paraId="2A73A32B" w14:textId="77777777">
        <w:tc>
          <w:tcPr>
            <w:tcW w:w="0" w:type="auto"/>
            <w:shd w:val="clear" w:color="auto" w:fill="auto"/>
            <w:tcMar>
              <w:top w:w="40" w:type="dxa"/>
              <w:left w:w="40" w:type="dxa"/>
              <w:bottom w:w="40" w:type="dxa"/>
              <w:right w:w="40" w:type="dxa"/>
            </w:tcMar>
            <w:vAlign w:val="bottom"/>
          </w:tcPr>
          <w:p w14:paraId="2A73A3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32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Payments due in 2020</w:t>
            </w:r>
          </w:p>
        </w:tc>
        <w:tc>
          <w:tcPr>
            <w:tcW w:w="0" w:type="auto"/>
            <w:shd w:val="clear" w:color="auto" w:fill="auto"/>
            <w:tcMar>
              <w:top w:w="40" w:type="dxa"/>
              <w:left w:w="40" w:type="dxa"/>
              <w:bottom w:w="40" w:type="dxa"/>
              <w:right w:w="40" w:type="dxa"/>
            </w:tcMar>
            <w:vAlign w:val="bottom"/>
          </w:tcPr>
          <w:p w14:paraId="2A73A3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32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Payments due in 2021–2022</w:t>
            </w:r>
          </w:p>
        </w:tc>
        <w:tc>
          <w:tcPr>
            <w:tcW w:w="0" w:type="auto"/>
            <w:shd w:val="clear" w:color="auto" w:fill="auto"/>
            <w:tcMar>
              <w:top w:w="40" w:type="dxa"/>
              <w:left w:w="40" w:type="dxa"/>
              <w:bottom w:w="40" w:type="dxa"/>
              <w:right w:w="40" w:type="dxa"/>
            </w:tcMar>
            <w:vAlign w:val="bottom"/>
          </w:tcPr>
          <w:p w14:paraId="2A73A32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32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Payments due in 2023–2024</w:t>
            </w:r>
          </w:p>
        </w:tc>
        <w:tc>
          <w:tcPr>
            <w:tcW w:w="0" w:type="auto"/>
            <w:shd w:val="clear" w:color="auto" w:fill="auto"/>
            <w:tcMar>
              <w:top w:w="40" w:type="dxa"/>
              <w:left w:w="40" w:type="dxa"/>
              <w:bottom w:w="40" w:type="dxa"/>
              <w:right w:w="40" w:type="dxa"/>
            </w:tcMar>
            <w:vAlign w:val="bottom"/>
          </w:tcPr>
          <w:p w14:paraId="2A73A32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32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Payments due after 2024</w:t>
            </w:r>
          </w:p>
        </w:tc>
        <w:tc>
          <w:tcPr>
            <w:tcW w:w="0" w:type="auto"/>
            <w:shd w:val="clear" w:color="auto" w:fill="auto"/>
            <w:tcMar>
              <w:top w:w="40" w:type="dxa"/>
              <w:left w:w="40" w:type="dxa"/>
              <w:bottom w:w="40" w:type="dxa"/>
              <w:right w:w="40" w:type="dxa"/>
            </w:tcMar>
            <w:vAlign w:val="bottom"/>
          </w:tcPr>
          <w:p w14:paraId="2A73A3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32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Total</w:t>
            </w:r>
          </w:p>
        </w:tc>
      </w:tr>
      <w:tr w:rsidR="00FA5565" w14:paraId="2A73A340" w14:textId="77777777">
        <w:tc>
          <w:tcPr>
            <w:tcW w:w="0" w:type="auto"/>
            <w:shd w:val="clear" w:color="auto" w:fill="auto"/>
            <w:tcMar>
              <w:top w:w="40" w:type="dxa"/>
              <w:left w:w="40" w:type="dxa"/>
              <w:bottom w:w="40" w:type="dxa"/>
              <w:right w:w="40" w:type="dxa"/>
            </w:tcMar>
          </w:tcPr>
          <w:p w14:paraId="2A73A32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Term debt</w:t>
            </w:r>
          </w:p>
        </w:tc>
        <w:tc>
          <w:tcPr>
            <w:tcW w:w="0" w:type="auto"/>
            <w:tcBorders>
              <w:top w:val="single" w:sz="8" w:space="0" w:color="000000"/>
            </w:tcBorders>
            <w:shd w:val="clear" w:color="auto" w:fill="auto"/>
            <w:tcMar>
              <w:top w:w="40" w:type="dxa"/>
              <w:left w:w="40" w:type="dxa"/>
              <w:bottom w:w="40" w:type="dxa"/>
            </w:tcMar>
            <w:vAlign w:val="bottom"/>
          </w:tcPr>
          <w:p w14:paraId="2A73A32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32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10,270</w:t>
            </w:r>
          </w:p>
        </w:tc>
        <w:tc>
          <w:tcPr>
            <w:tcW w:w="0" w:type="auto"/>
            <w:tcBorders>
              <w:top w:val="single" w:sz="8" w:space="0" w:color="000000"/>
            </w:tcBorders>
            <w:shd w:val="clear" w:color="auto" w:fill="auto"/>
            <w:vAlign w:val="bottom"/>
          </w:tcPr>
          <w:p w14:paraId="2A73A32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3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33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33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18,278</w:t>
            </w:r>
          </w:p>
        </w:tc>
        <w:tc>
          <w:tcPr>
            <w:tcW w:w="0" w:type="auto"/>
            <w:shd w:val="clear" w:color="auto" w:fill="auto"/>
            <w:vAlign w:val="bottom"/>
          </w:tcPr>
          <w:p w14:paraId="2A73A33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3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33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33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19,329</w:t>
            </w:r>
          </w:p>
        </w:tc>
        <w:tc>
          <w:tcPr>
            <w:tcW w:w="0" w:type="auto"/>
            <w:shd w:val="clear" w:color="auto" w:fill="auto"/>
            <w:vAlign w:val="bottom"/>
          </w:tcPr>
          <w:p w14:paraId="2A73A33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33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33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53,802</w:t>
            </w:r>
          </w:p>
        </w:tc>
        <w:tc>
          <w:tcPr>
            <w:tcW w:w="0" w:type="auto"/>
            <w:shd w:val="clear" w:color="auto" w:fill="auto"/>
            <w:vAlign w:val="bottom"/>
          </w:tcPr>
          <w:p w14:paraId="2A73A33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33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33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101,679</w:t>
            </w:r>
          </w:p>
        </w:tc>
        <w:tc>
          <w:tcPr>
            <w:tcW w:w="0" w:type="auto"/>
            <w:tcBorders>
              <w:top w:val="single" w:sz="8" w:space="0" w:color="000000"/>
            </w:tcBorders>
            <w:shd w:val="clear" w:color="auto" w:fill="auto"/>
            <w:vAlign w:val="bottom"/>
          </w:tcPr>
          <w:p w14:paraId="2A73A33F" w14:textId="77777777" w:rsidR="00FA5565" w:rsidRDefault="00FA5565">
            <w:pPr>
              <w:textAlignment w:val="bottom"/>
              <w:rPr>
                <w:rFonts w:ascii="Times New Roman" w:hAnsi="Times New Roman"/>
                <w:sz w:val="20"/>
                <w:szCs w:val="20"/>
              </w:rPr>
            </w:pPr>
          </w:p>
        </w:tc>
      </w:tr>
      <w:tr w:rsidR="00FA5565" w14:paraId="2A73A350" w14:textId="77777777">
        <w:tc>
          <w:tcPr>
            <w:tcW w:w="0" w:type="auto"/>
            <w:shd w:val="clear" w:color="auto" w:fill="EFEFEF"/>
            <w:tcMar>
              <w:top w:w="40" w:type="dxa"/>
              <w:left w:w="40" w:type="dxa"/>
              <w:bottom w:w="40" w:type="dxa"/>
              <w:right w:w="40" w:type="dxa"/>
            </w:tcMar>
          </w:tcPr>
          <w:p w14:paraId="2A73A34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Operating leases</w:t>
            </w:r>
          </w:p>
        </w:tc>
        <w:tc>
          <w:tcPr>
            <w:tcW w:w="0" w:type="auto"/>
            <w:gridSpan w:val="2"/>
            <w:shd w:val="clear" w:color="auto" w:fill="EFEFEF"/>
            <w:tcMar>
              <w:top w:w="40" w:type="dxa"/>
              <w:left w:w="40" w:type="dxa"/>
              <w:bottom w:w="40" w:type="dxa"/>
            </w:tcMar>
            <w:vAlign w:val="bottom"/>
          </w:tcPr>
          <w:p w14:paraId="2A73A34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1,306</w:t>
            </w:r>
          </w:p>
        </w:tc>
        <w:tc>
          <w:tcPr>
            <w:tcW w:w="0" w:type="auto"/>
            <w:shd w:val="clear" w:color="auto" w:fill="EFEFEF"/>
            <w:vAlign w:val="bottom"/>
          </w:tcPr>
          <w:p w14:paraId="2A73A34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4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34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2,413</w:t>
            </w:r>
          </w:p>
        </w:tc>
        <w:tc>
          <w:tcPr>
            <w:tcW w:w="0" w:type="auto"/>
            <w:shd w:val="clear" w:color="auto" w:fill="EFEFEF"/>
            <w:vAlign w:val="bottom"/>
          </w:tcPr>
          <w:p w14:paraId="2A73A34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4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34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1,746</w:t>
            </w:r>
          </w:p>
        </w:tc>
        <w:tc>
          <w:tcPr>
            <w:tcW w:w="0" w:type="auto"/>
            <w:shd w:val="clear" w:color="auto" w:fill="EFEFEF"/>
            <w:vAlign w:val="bottom"/>
          </w:tcPr>
          <w:p w14:paraId="2A73A34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4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34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5,373</w:t>
            </w:r>
          </w:p>
        </w:tc>
        <w:tc>
          <w:tcPr>
            <w:tcW w:w="0" w:type="auto"/>
            <w:shd w:val="clear" w:color="auto" w:fill="EFEFEF"/>
            <w:vAlign w:val="bottom"/>
          </w:tcPr>
          <w:p w14:paraId="2A73A34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34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10,838</w:t>
            </w:r>
          </w:p>
        </w:tc>
        <w:tc>
          <w:tcPr>
            <w:tcW w:w="0" w:type="auto"/>
            <w:shd w:val="clear" w:color="auto" w:fill="EFEFEF"/>
            <w:vAlign w:val="bottom"/>
          </w:tcPr>
          <w:p w14:paraId="2A73A34F" w14:textId="77777777" w:rsidR="00FA5565" w:rsidRDefault="00FA5565">
            <w:pPr>
              <w:textAlignment w:val="bottom"/>
              <w:rPr>
                <w:rFonts w:ascii="Times New Roman" w:hAnsi="Times New Roman"/>
                <w:sz w:val="20"/>
                <w:szCs w:val="20"/>
              </w:rPr>
            </w:pPr>
          </w:p>
        </w:tc>
      </w:tr>
      <w:tr w:rsidR="00FA5565" w14:paraId="2A73A360" w14:textId="77777777">
        <w:tc>
          <w:tcPr>
            <w:tcW w:w="0" w:type="auto"/>
            <w:shd w:val="clear" w:color="auto" w:fill="auto"/>
            <w:tcMar>
              <w:top w:w="40" w:type="dxa"/>
              <w:left w:w="40" w:type="dxa"/>
              <w:bottom w:w="40" w:type="dxa"/>
              <w:right w:w="40" w:type="dxa"/>
            </w:tcMar>
          </w:tcPr>
          <w:p w14:paraId="2A73A35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Manufacturing purchase obligations (1)</w:t>
            </w:r>
          </w:p>
        </w:tc>
        <w:tc>
          <w:tcPr>
            <w:tcW w:w="0" w:type="auto"/>
            <w:gridSpan w:val="2"/>
            <w:shd w:val="clear" w:color="auto" w:fill="auto"/>
            <w:tcMar>
              <w:top w:w="40" w:type="dxa"/>
              <w:left w:w="40" w:type="dxa"/>
              <w:bottom w:w="40" w:type="dxa"/>
            </w:tcMar>
            <w:vAlign w:val="bottom"/>
          </w:tcPr>
          <w:p w14:paraId="2A73A35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40,076</w:t>
            </w:r>
          </w:p>
        </w:tc>
        <w:tc>
          <w:tcPr>
            <w:tcW w:w="0" w:type="auto"/>
            <w:shd w:val="clear" w:color="auto" w:fill="auto"/>
            <w:vAlign w:val="bottom"/>
          </w:tcPr>
          <w:p w14:paraId="2A73A35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5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35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1,974</w:t>
            </w:r>
          </w:p>
        </w:tc>
        <w:tc>
          <w:tcPr>
            <w:tcW w:w="0" w:type="auto"/>
            <w:shd w:val="clear" w:color="auto" w:fill="auto"/>
            <w:vAlign w:val="bottom"/>
          </w:tcPr>
          <w:p w14:paraId="2A73A35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35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808</w:t>
            </w:r>
          </w:p>
        </w:tc>
        <w:tc>
          <w:tcPr>
            <w:tcW w:w="0" w:type="auto"/>
            <w:shd w:val="clear" w:color="auto" w:fill="auto"/>
            <w:vAlign w:val="bottom"/>
          </w:tcPr>
          <w:p w14:paraId="2A73A35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5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35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69</w:t>
            </w:r>
          </w:p>
        </w:tc>
        <w:tc>
          <w:tcPr>
            <w:tcW w:w="0" w:type="auto"/>
            <w:shd w:val="clear" w:color="auto" w:fill="auto"/>
            <w:vAlign w:val="bottom"/>
          </w:tcPr>
          <w:p w14:paraId="2A73A35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35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42,927</w:t>
            </w:r>
          </w:p>
        </w:tc>
        <w:tc>
          <w:tcPr>
            <w:tcW w:w="0" w:type="auto"/>
            <w:shd w:val="clear" w:color="auto" w:fill="auto"/>
            <w:vAlign w:val="bottom"/>
          </w:tcPr>
          <w:p w14:paraId="2A73A35F" w14:textId="77777777" w:rsidR="00FA5565" w:rsidRDefault="00FA5565">
            <w:pPr>
              <w:textAlignment w:val="bottom"/>
              <w:rPr>
                <w:rFonts w:ascii="Times New Roman" w:hAnsi="Times New Roman"/>
                <w:sz w:val="20"/>
                <w:szCs w:val="20"/>
              </w:rPr>
            </w:pPr>
          </w:p>
        </w:tc>
      </w:tr>
      <w:tr w:rsidR="00FA5565" w14:paraId="2A73A370" w14:textId="77777777">
        <w:tc>
          <w:tcPr>
            <w:tcW w:w="0" w:type="auto"/>
            <w:shd w:val="clear" w:color="auto" w:fill="EFEFEF"/>
            <w:tcMar>
              <w:top w:w="40" w:type="dxa"/>
              <w:left w:w="40" w:type="dxa"/>
              <w:bottom w:w="40" w:type="dxa"/>
              <w:right w:w="40" w:type="dxa"/>
            </w:tcMar>
          </w:tcPr>
          <w:p w14:paraId="2A73A36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purchase obligations</w:t>
            </w:r>
          </w:p>
        </w:tc>
        <w:tc>
          <w:tcPr>
            <w:tcW w:w="0" w:type="auto"/>
            <w:gridSpan w:val="2"/>
            <w:shd w:val="clear" w:color="auto" w:fill="EFEFEF"/>
            <w:tcMar>
              <w:top w:w="40" w:type="dxa"/>
              <w:left w:w="40" w:type="dxa"/>
              <w:bottom w:w="40" w:type="dxa"/>
            </w:tcMar>
            <w:vAlign w:val="bottom"/>
          </w:tcPr>
          <w:p w14:paraId="2A73A36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3,744</w:t>
            </w:r>
          </w:p>
        </w:tc>
        <w:tc>
          <w:tcPr>
            <w:tcW w:w="0" w:type="auto"/>
            <w:shd w:val="clear" w:color="auto" w:fill="EFEFEF"/>
            <w:vAlign w:val="bottom"/>
          </w:tcPr>
          <w:p w14:paraId="2A73A36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36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2,271</w:t>
            </w:r>
          </w:p>
        </w:tc>
        <w:tc>
          <w:tcPr>
            <w:tcW w:w="0" w:type="auto"/>
            <w:shd w:val="clear" w:color="auto" w:fill="EFEFEF"/>
            <w:vAlign w:val="bottom"/>
          </w:tcPr>
          <w:p w14:paraId="2A73A36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36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572</w:t>
            </w:r>
          </w:p>
        </w:tc>
        <w:tc>
          <w:tcPr>
            <w:tcW w:w="0" w:type="auto"/>
            <w:shd w:val="clear" w:color="auto" w:fill="EFEFEF"/>
            <w:vAlign w:val="bottom"/>
          </w:tcPr>
          <w:p w14:paraId="2A73A36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36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41</w:t>
            </w:r>
          </w:p>
        </w:tc>
        <w:tc>
          <w:tcPr>
            <w:tcW w:w="0" w:type="auto"/>
            <w:shd w:val="clear" w:color="auto" w:fill="EFEFEF"/>
            <w:vAlign w:val="bottom"/>
          </w:tcPr>
          <w:p w14:paraId="2A73A36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36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6,628</w:t>
            </w:r>
          </w:p>
        </w:tc>
        <w:tc>
          <w:tcPr>
            <w:tcW w:w="0" w:type="auto"/>
            <w:shd w:val="clear" w:color="auto" w:fill="EFEFEF"/>
            <w:vAlign w:val="bottom"/>
          </w:tcPr>
          <w:p w14:paraId="2A73A36F" w14:textId="77777777" w:rsidR="00FA5565" w:rsidRDefault="00FA5565">
            <w:pPr>
              <w:textAlignment w:val="bottom"/>
              <w:rPr>
                <w:rFonts w:ascii="Times New Roman" w:hAnsi="Times New Roman"/>
                <w:sz w:val="20"/>
                <w:szCs w:val="20"/>
              </w:rPr>
            </w:pPr>
          </w:p>
        </w:tc>
      </w:tr>
      <w:tr w:rsidR="00FA5565" w14:paraId="2A73A380" w14:textId="77777777">
        <w:tc>
          <w:tcPr>
            <w:tcW w:w="0" w:type="auto"/>
            <w:shd w:val="clear" w:color="auto" w:fill="auto"/>
            <w:tcMar>
              <w:top w:w="40" w:type="dxa"/>
              <w:left w:w="40" w:type="dxa"/>
              <w:bottom w:w="40" w:type="dxa"/>
              <w:right w:w="40" w:type="dxa"/>
            </w:tcMar>
          </w:tcPr>
          <w:p w14:paraId="2A73A37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Deemed </w:t>
            </w:r>
            <w:r>
              <w:rPr>
                <w:rFonts w:ascii="Helvetica" w:eastAsia="Helvetica" w:hAnsi="Helvetica" w:cs="Helvetica"/>
                <w:sz w:val="18"/>
                <w:szCs w:val="18"/>
              </w:rPr>
              <w:t>repatriation tax payable</w:t>
            </w:r>
          </w:p>
        </w:tc>
        <w:tc>
          <w:tcPr>
            <w:tcW w:w="0" w:type="auto"/>
            <w:gridSpan w:val="2"/>
            <w:tcBorders>
              <w:bottom w:val="single" w:sz="8" w:space="0" w:color="000000"/>
            </w:tcBorders>
            <w:shd w:val="clear" w:color="auto" w:fill="auto"/>
            <w:tcMar>
              <w:top w:w="40" w:type="dxa"/>
              <w:left w:w="40" w:type="dxa"/>
              <w:bottom w:w="40" w:type="dxa"/>
            </w:tcMar>
            <w:vAlign w:val="bottom"/>
          </w:tcPr>
          <w:p w14:paraId="2A73A37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auto"/>
            <w:vAlign w:val="bottom"/>
          </w:tcPr>
          <w:p w14:paraId="2A73A37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37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4,350</w:t>
            </w:r>
          </w:p>
        </w:tc>
        <w:tc>
          <w:tcPr>
            <w:tcW w:w="0" w:type="auto"/>
            <w:tcBorders>
              <w:bottom w:val="single" w:sz="8" w:space="0" w:color="000000"/>
            </w:tcBorders>
            <w:shd w:val="clear" w:color="auto" w:fill="auto"/>
            <w:vAlign w:val="bottom"/>
          </w:tcPr>
          <w:p w14:paraId="2A73A37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37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8,501</w:t>
            </w:r>
          </w:p>
        </w:tc>
        <w:tc>
          <w:tcPr>
            <w:tcW w:w="0" w:type="auto"/>
            <w:tcBorders>
              <w:bottom w:val="single" w:sz="8" w:space="0" w:color="000000"/>
            </w:tcBorders>
            <w:shd w:val="clear" w:color="auto" w:fill="auto"/>
            <w:vAlign w:val="bottom"/>
          </w:tcPr>
          <w:p w14:paraId="2A73A37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7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37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16,655</w:t>
            </w:r>
          </w:p>
        </w:tc>
        <w:tc>
          <w:tcPr>
            <w:tcW w:w="0" w:type="auto"/>
            <w:tcBorders>
              <w:bottom w:val="single" w:sz="8" w:space="0" w:color="000000"/>
            </w:tcBorders>
            <w:shd w:val="clear" w:color="auto" w:fill="auto"/>
            <w:vAlign w:val="bottom"/>
          </w:tcPr>
          <w:p w14:paraId="2A73A37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37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37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29,506</w:t>
            </w:r>
          </w:p>
        </w:tc>
        <w:tc>
          <w:tcPr>
            <w:tcW w:w="0" w:type="auto"/>
            <w:tcBorders>
              <w:bottom w:val="single" w:sz="8" w:space="0" w:color="000000"/>
            </w:tcBorders>
            <w:shd w:val="clear" w:color="auto" w:fill="auto"/>
            <w:vAlign w:val="bottom"/>
          </w:tcPr>
          <w:p w14:paraId="2A73A37F" w14:textId="77777777" w:rsidR="00FA5565" w:rsidRDefault="00FA5565">
            <w:pPr>
              <w:textAlignment w:val="bottom"/>
              <w:rPr>
                <w:rFonts w:ascii="Times New Roman" w:hAnsi="Times New Roman"/>
                <w:sz w:val="20"/>
                <w:szCs w:val="20"/>
              </w:rPr>
            </w:pPr>
          </w:p>
        </w:tc>
      </w:tr>
      <w:tr w:rsidR="00FA5565" w14:paraId="2A73A395" w14:textId="77777777">
        <w:tc>
          <w:tcPr>
            <w:tcW w:w="0" w:type="auto"/>
            <w:shd w:val="clear" w:color="auto" w:fill="EFEFEF"/>
            <w:tcMar>
              <w:top w:w="40" w:type="dxa"/>
              <w:left w:w="560" w:type="dxa"/>
              <w:bottom w:w="40" w:type="dxa"/>
              <w:right w:w="40" w:type="dxa"/>
            </w:tcMar>
          </w:tcPr>
          <w:p w14:paraId="2A73A38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Total</w:t>
            </w:r>
          </w:p>
        </w:tc>
        <w:tc>
          <w:tcPr>
            <w:tcW w:w="0" w:type="auto"/>
            <w:tcBorders>
              <w:bottom w:val="double" w:sz="6" w:space="0" w:color="000000"/>
            </w:tcBorders>
            <w:shd w:val="clear" w:color="auto" w:fill="EFEFEF"/>
            <w:tcMar>
              <w:top w:w="40" w:type="dxa"/>
              <w:left w:w="40" w:type="dxa"/>
              <w:bottom w:w="40" w:type="dxa"/>
            </w:tcMar>
            <w:vAlign w:val="bottom"/>
          </w:tcPr>
          <w:p w14:paraId="2A73A38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38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55,396</w:t>
            </w:r>
          </w:p>
        </w:tc>
        <w:tc>
          <w:tcPr>
            <w:tcW w:w="0" w:type="auto"/>
            <w:tcBorders>
              <w:bottom w:val="double" w:sz="6" w:space="0" w:color="000000"/>
            </w:tcBorders>
            <w:shd w:val="clear" w:color="auto" w:fill="EFEFEF"/>
            <w:vAlign w:val="bottom"/>
          </w:tcPr>
          <w:p w14:paraId="2A73A38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38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38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29,286</w:t>
            </w:r>
          </w:p>
        </w:tc>
        <w:tc>
          <w:tcPr>
            <w:tcW w:w="0" w:type="auto"/>
            <w:tcBorders>
              <w:bottom w:val="double" w:sz="6" w:space="0" w:color="000000"/>
            </w:tcBorders>
            <w:shd w:val="clear" w:color="auto" w:fill="EFEFEF"/>
            <w:vAlign w:val="bottom"/>
          </w:tcPr>
          <w:p w14:paraId="2A73A38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38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38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30,956</w:t>
            </w:r>
          </w:p>
        </w:tc>
        <w:tc>
          <w:tcPr>
            <w:tcW w:w="0" w:type="auto"/>
            <w:tcBorders>
              <w:bottom w:val="double" w:sz="6" w:space="0" w:color="000000"/>
            </w:tcBorders>
            <w:shd w:val="clear" w:color="auto" w:fill="EFEFEF"/>
            <w:vAlign w:val="bottom"/>
          </w:tcPr>
          <w:p w14:paraId="2A73A38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38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38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75,940</w:t>
            </w:r>
          </w:p>
        </w:tc>
        <w:tc>
          <w:tcPr>
            <w:tcW w:w="0" w:type="auto"/>
            <w:tcBorders>
              <w:bottom w:val="double" w:sz="6" w:space="0" w:color="000000"/>
            </w:tcBorders>
            <w:shd w:val="clear" w:color="auto" w:fill="EFEFEF"/>
            <w:vAlign w:val="bottom"/>
          </w:tcPr>
          <w:p w14:paraId="2A73A39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3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39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39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191,578</w:t>
            </w:r>
          </w:p>
        </w:tc>
        <w:tc>
          <w:tcPr>
            <w:tcW w:w="0" w:type="auto"/>
            <w:tcBorders>
              <w:bottom w:val="double" w:sz="6" w:space="0" w:color="000000"/>
            </w:tcBorders>
            <w:shd w:val="clear" w:color="auto" w:fill="EFEFEF"/>
            <w:vAlign w:val="bottom"/>
          </w:tcPr>
          <w:p w14:paraId="2A73A394" w14:textId="77777777" w:rsidR="00FA5565" w:rsidRDefault="00FA5565">
            <w:pPr>
              <w:textAlignment w:val="bottom"/>
              <w:rPr>
                <w:rFonts w:ascii="Times New Roman" w:hAnsi="Times New Roman"/>
                <w:sz w:val="20"/>
                <w:szCs w:val="20"/>
              </w:rPr>
            </w:pPr>
          </w:p>
        </w:tc>
      </w:tr>
    </w:tbl>
    <w:p w14:paraId="2A73A396"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399" w14:textId="77777777">
        <w:trPr>
          <w:tblCellSpacing w:w="0" w:type="dxa"/>
        </w:trPr>
        <w:tc>
          <w:tcPr>
            <w:tcW w:w="960" w:type="dxa"/>
            <w:shd w:val="clear" w:color="auto" w:fill="auto"/>
            <w:vAlign w:val="center"/>
          </w:tcPr>
          <w:p w14:paraId="2A73A397" w14:textId="77777777" w:rsidR="00FA5565" w:rsidRDefault="00FA5565">
            <w:pPr>
              <w:rPr>
                <w:rFonts w:ascii="Times New Roman" w:hAnsi="Times New Roman"/>
                <w:sz w:val="20"/>
                <w:szCs w:val="20"/>
              </w:rPr>
            </w:pPr>
          </w:p>
        </w:tc>
        <w:tc>
          <w:tcPr>
            <w:tcW w:w="0" w:type="auto"/>
            <w:shd w:val="clear" w:color="auto" w:fill="auto"/>
            <w:vAlign w:val="center"/>
          </w:tcPr>
          <w:p w14:paraId="2A73A398" w14:textId="77777777" w:rsidR="00FA5565" w:rsidRDefault="00FA5565">
            <w:pPr>
              <w:rPr>
                <w:rFonts w:ascii="Times New Roman" w:hAnsi="Times New Roman"/>
                <w:sz w:val="20"/>
                <w:szCs w:val="20"/>
              </w:rPr>
            </w:pPr>
          </w:p>
        </w:tc>
      </w:tr>
      <w:tr w:rsidR="00FA5565" w14:paraId="2A73A39C" w14:textId="77777777">
        <w:trPr>
          <w:tblCellSpacing w:w="0" w:type="dxa"/>
        </w:trPr>
        <w:tc>
          <w:tcPr>
            <w:tcW w:w="0" w:type="auto"/>
            <w:shd w:val="clear" w:color="auto" w:fill="auto"/>
          </w:tcPr>
          <w:p w14:paraId="2A73A39A"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A39B"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Represents amount expected to be paid under manufacturing-related supplier arrangements, which are primarily noncancelable.</w:t>
            </w:r>
          </w:p>
        </w:tc>
      </w:tr>
    </w:tbl>
    <w:p w14:paraId="2A73A39D"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Operating Leases</w:t>
      </w:r>
    </w:p>
    <w:p w14:paraId="2A73A39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retail store and other facility leases </w:t>
      </w:r>
      <w:r>
        <w:rPr>
          <w:rFonts w:ascii="Helvetica" w:eastAsia="Helvetica" w:hAnsi="Helvetica" w:cs="Helvetica"/>
          <w:sz w:val="18"/>
          <w:szCs w:val="18"/>
        </w:rPr>
        <w:t>typically have original terms not exceeding 10 years and generally contain multi-year renewal options.</w:t>
      </w:r>
    </w:p>
    <w:p w14:paraId="2A73A39F"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Manufacturing Purchase Obligations</w:t>
      </w:r>
    </w:p>
    <w:p w14:paraId="2A73A3A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utilizes several outsourcing partners to manufacture sub-assemblies for the Company’s products and to perf</w:t>
      </w:r>
      <w:r>
        <w:rPr>
          <w:rFonts w:ascii="Helvetica" w:eastAsia="Helvetica" w:hAnsi="Helvetica" w:cs="Helvetica"/>
          <w:sz w:val="18"/>
          <w:szCs w:val="18"/>
        </w:rPr>
        <w:t>orm final assembly and testing of finished products. These outsourcing partners acquire components and build product based on demand information supplied by the Company, which typically covers periods up to 150 days. The Company also obtains individual com</w:t>
      </w:r>
      <w:r>
        <w:rPr>
          <w:rFonts w:ascii="Helvetica" w:eastAsia="Helvetica" w:hAnsi="Helvetica" w:cs="Helvetica"/>
          <w:sz w:val="18"/>
          <w:szCs w:val="18"/>
        </w:rPr>
        <w:t>ponents for its products from a wide variety of individual suppliers.</w:t>
      </w:r>
    </w:p>
    <w:p w14:paraId="2A73A3A1" w14:textId="77777777" w:rsidR="00FA5565" w:rsidRDefault="00FA5565">
      <w:pPr>
        <w:rPr>
          <w:rFonts w:ascii="Times New Roman" w:hAnsi="Times New Roman"/>
          <w:sz w:val="20"/>
          <w:szCs w:val="20"/>
        </w:rPr>
      </w:pPr>
    </w:p>
    <w:p w14:paraId="2A73A3A2"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24</w:t>
      </w:r>
    </w:p>
    <w:p w14:paraId="2A73A3A3" w14:textId="77777777" w:rsidR="00FA5565" w:rsidRDefault="00D804D1">
      <w:r>
        <w:rPr>
          <w:rFonts w:ascii="Times New Roman" w:hAnsi="Times New Roman"/>
          <w:sz w:val="16"/>
          <w:szCs w:val="16"/>
        </w:rPr>
        <w:pict w14:anchorId="2A73C0B4">
          <v:rect id="_x0000_i1050" style="width:415.3pt;height:1.5pt" o:hralign="center" o:hrstd="t" o:hr="t" fillcolor="#a0a0a0" stroked="f"/>
        </w:pict>
      </w:r>
    </w:p>
    <w:p w14:paraId="2A73A3A4" w14:textId="77777777" w:rsidR="00FA5565" w:rsidRDefault="00FA5565">
      <w:pPr>
        <w:rPr>
          <w:rFonts w:ascii="Times New Roman" w:hAnsi="Times New Roman"/>
          <w:sz w:val="20"/>
          <w:szCs w:val="20"/>
        </w:rPr>
      </w:pPr>
    </w:p>
    <w:p w14:paraId="2A73A3A5"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Other Purchase Obligations</w:t>
      </w:r>
    </w:p>
    <w:p w14:paraId="2A73A3A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other purchase obligations consist of noncancelable obligations to acquire capital assets, </w:t>
      </w:r>
      <w:r>
        <w:rPr>
          <w:rFonts w:ascii="Helvetica" w:eastAsia="Helvetica" w:hAnsi="Helvetica" w:cs="Helvetica"/>
          <w:sz w:val="18"/>
          <w:szCs w:val="18"/>
        </w:rPr>
        <w:t>including product tooling and manufacturing process equipment, and noncancelable obligations related to advertising, licensing, R&amp;D, Internet and telecommunications services, content creation and other activities.</w:t>
      </w:r>
    </w:p>
    <w:p w14:paraId="2A73A3A7"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Deemed Repatriation Tax Payable</w:t>
      </w:r>
    </w:p>
    <w:p w14:paraId="2A73A3A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As of Sept</w:t>
      </w:r>
      <w:r>
        <w:rPr>
          <w:rFonts w:ascii="Helvetica" w:eastAsia="Helvetica" w:hAnsi="Helvetica" w:cs="Helvetica"/>
          <w:sz w:val="18"/>
          <w:szCs w:val="18"/>
        </w:rPr>
        <w:t>ember 28, 2019, a significant portion of the other non-current liabilities in the Company’s Consolidated Balance Sheet consisted of the deemed repatriation tax payable imposed by the Act. The Company plans to pay the deemed repatriation tax payable in inst</w:t>
      </w:r>
      <w:r>
        <w:rPr>
          <w:rFonts w:ascii="Helvetica" w:eastAsia="Helvetica" w:hAnsi="Helvetica" w:cs="Helvetica"/>
          <w:sz w:val="18"/>
          <w:szCs w:val="18"/>
        </w:rPr>
        <w:t>allments in accordance with the Act.</w:t>
      </w:r>
    </w:p>
    <w:p w14:paraId="2A73A3A9"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Other Non-Current Liabilities</w:t>
      </w:r>
    </w:p>
    <w:p w14:paraId="2A73A3A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remaining other non-current liabilities primarily consist of items for which the Company is unable to make a reasonably reliable estimate of the timing or amount of payments; </w:t>
      </w:r>
      <w:r>
        <w:rPr>
          <w:rFonts w:ascii="Helvetica" w:eastAsia="Helvetica" w:hAnsi="Helvetica" w:cs="Helvetica"/>
          <w:sz w:val="18"/>
          <w:szCs w:val="18"/>
        </w:rPr>
        <w:t>therefore, such amounts are not included in the above contractual obligation table.</w:t>
      </w:r>
    </w:p>
    <w:p w14:paraId="2A73A3AB"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Critical Accounting Policies and Estimates</w:t>
      </w:r>
    </w:p>
    <w:p w14:paraId="2A73A3A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preparation of financial statements and related disclosures in conformity with U.S. generally accepted accounting principles </w:t>
      </w:r>
      <w:r>
        <w:rPr>
          <w:rFonts w:ascii="Helvetica" w:eastAsia="Helvetica" w:hAnsi="Helvetica" w:cs="Helvetica"/>
          <w:sz w:val="18"/>
          <w:szCs w:val="18"/>
        </w:rPr>
        <w:t>(“GAAP”) and the Company’s discussion and analysis of its financial condition and operating results require the Company’s management to make judgments, assumptions and estimates that affect the amounts reported. Note 1, “Summary of Significant Accounting P</w:t>
      </w:r>
      <w:r>
        <w:rPr>
          <w:rFonts w:ascii="Helvetica" w:eastAsia="Helvetica" w:hAnsi="Helvetica" w:cs="Helvetica"/>
          <w:sz w:val="18"/>
          <w:szCs w:val="18"/>
        </w:rPr>
        <w:t>olicies,” of the Notes to Consolidated Financial Statements in Part II, Item 8 of this Form 10-K describes the significant accounting policies and methods used in the preparation of the Company’s consolidated financial statements. Management bases its esti</w:t>
      </w:r>
      <w:r>
        <w:rPr>
          <w:rFonts w:ascii="Helvetica" w:eastAsia="Helvetica" w:hAnsi="Helvetica" w:cs="Helvetica"/>
          <w:sz w:val="18"/>
          <w:szCs w:val="18"/>
        </w:rPr>
        <w:t>mates on historical experience and on various other assumptions it believes to be reasonable under the circumstances, the results of which form the basis for making judgments about the carrying values of assets and liabilities. Actual results may differ fr</w:t>
      </w:r>
      <w:r>
        <w:rPr>
          <w:rFonts w:ascii="Helvetica" w:eastAsia="Helvetica" w:hAnsi="Helvetica" w:cs="Helvetica"/>
          <w:sz w:val="18"/>
          <w:szCs w:val="18"/>
        </w:rPr>
        <w:t>om these estimates, and such differences may be material.</w:t>
      </w:r>
    </w:p>
    <w:p w14:paraId="2A73A3A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Management believes the Company’s critical accounting policies and estimates are those related to revenue recognition, valuation of manufacturing-related assets and estimation of inventory purchase </w:t>
      </w:r>
      <w:r>
        <w:rPr>
          <w:rFonts w:ascii="Helvetica" w:eastAsia="Helvetica" w:hAnsi="Helvetica" w:cs="Helvetica"/>
          <w:sz w:val="18"/>
          <w:szCs w:val="18"/>
        </w:rPr>
        <w:t>commitment cancellation fees, warranty costs, income taxes, and legal and other contingencies. Management considers these policies critical because they are both important to the portrayal of the Company’s financial condition and operating results, and the</w:t>
      </w:r>
      <w:r>
        <w:rPr>
          <w:rFonts w:ascii="Helvetica" w:eastAsia="Helvetica" w:hAnsi="Helvetica" w:cs="Helvetica"/>
          <w:sz w:val="18"/>
          <w:szCs w:val="18"/>
        </w:rPr>
        <w:t xml:space="preserve">y require management to make judgments and estimates about inherently uncertain matters. The Company’s senior management has reviewed these critical accounting policies and related disclosures with the Audit and Finance Committee of the Company’s Board of </w:t>
      </w:r>
      <w:r>
        <w:rPr>
          <w:rFonts w:ascii="Helvetica" w:eastAsia="Helvetica" w:hAnsi="Helvetica" w:cs="Helvetica"/>
          <w:sz w:val="18"/>
          <w:szCs w:val="18"/>
        </w:rPr>
        <w:t>Directors.</w:t>
      </w:r>
    </w:p>
    <w:p w14:paraId="2A73A3AE"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Revenue Recognition</w:t>
      </w:r>
    </w:p>
    <w:p w14:paraId="2A73A3A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identified up to three performance obligations regularly included in arrangements involving the sale of iPhone, Mac, iPad and certain other products. The first performance obligation, which represents the subs</w:t>
      </w:r>
      <w:r>
        <w:rPr>
          <w:rFonts w:ascii="Helvetica" w:eastAsia="Helvetica" w:hAnsi="Helvetica" w:cs="Helvetica"/>
          <w:sz w:val="18"/>
          <w:szCs w:val="18"/>
        </w:rPr>
        <w:t>tantial portion of the allocated sales price, is the hardware and bundled software delivered at the time of sale. The second performance obligation is the right to receive certain product-related bundled services, which include iCloud, Siri and Maps. The t</w:t>
      </w:r>
      <w:r>
        <w:rPr>
          <w:rFonts w:ascii="Helvetica" w:eastAsia="Helvetica" w:hAnsi="Helvetica" w:cs="Helvetica"/>
          <w:sz w:val="18"/>
          <w:szCs w:val="18"/>
        </w:rPr>
        <w:t>hird performance obligation is the right to receive, on a when-and-if-available basis, future unspecified software upgrades relating to the software bundled with each device. The Company allocates revenue and any related discounts to these performance obli</w:t>
      </w:r>
      <w:r>
        <w:rPr>
          <w:rFonts w:ascii="Helvetica" w:eastAsia="Helvetica" w:hAnsi="Helvetica" w:cs="Helvetica"/>
          <w:sz w:val="18"/>
          <w:szCs w:val="18"/>
        </w:rPr>
        <w:t>gations based on their relative stand-alone selling prices (“SSPs”). Because the Company lacks observable prices for the undelivered performance obligations, the allocation of revenue is based on the Company’s estimated SSPs. Revenue allocated to the produ</w:t>
      </w:r>
      <w:r>
        <w:rPr>
          <w:rFonts w:ascii="Helvetica" w:eastAsia="Helvetica" w:hAnsi="Helvetica" w:cs="Helvetica"/>
          <w:sz w:val="18"/>
          <w:szCs w:val="18"/>
        </w:rPr>
        <w:t xml:space="preserve">ct-related bundled services and unspecified software upgrade rights is deferred and recognized on a straight-line basis over the estimated period they are expected to be provided. </w:t>
      </w:r>
    </w:p>
    <w:p w14:paraId="2A73A3B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process for determining estimated SSPs involves management’s </w:t>
      </w:r>
      <w:r>
        <w:rPr>
          <w:rFonts w:ascii="Helvetica" w:eastAsia="Helvetica" w:hAnsi="Helvetica" w:cs="Helvetica"/>
          <w:sz w:val="18"/>
          <w:szCs w:val="18"/>
        </w:rPr>
        <w:t xml:space="preserve">judgment and considers multiple factors that may vary over time depending upon the unique facts and circumstances related to each deliverable. Should future facts and circumstances change, the Company’s SSPs and the future rate of related amortization for </w:t>
      </w:r>
      <w:r>
        <w:rPr>
          <w:rFonts w:ascii="Helvetica" w:eastAsia="Helvetica" w:hAnsi="Helvetica" w:cs="Helvetica"/>
          <w:sz w:val="18"/>
          <w:szCs w:val="18"/>
        </w:rPr>
        <w:t>product-related bundled services and unspecified software upgrade rights related to future sales of these devices could change. Factors subject to change include the nature of the product-related bundled services and unspecified software upgrade rights off</w:t>
      </w:r>
      <w:r>
        <w:rPr>
          <w:rFonts w:ascii="Helvetica" w:eastAsia="Helvetica" w:hAnsi="Helvetica" w:cs="Helvetica"/>
          <w:sz w:val="18"/>
          <w:szCs w:val="18"/>
        </w:rPr>
        <w:t>ered, their estimated value and the estimated period they are expected to be provided.</w:t>
      </w:r>
    </w:p>
    <w:p w14:paraId="2A73A3B1" w14:textId="77777777" w:rsidR="00FA5565" w:rsidRDefault="00FA5565">
      <w:pPr>
        <w:rPr>
          <w:rFonts w:ascii="Times New Roman" w:hAnsi="Times New Roman"/>
          <w:sz w:val="20"/>
          <w:szCs w:val="20"/>
        </w:rPr>
      </w:pPr>
    </w:p>
    <w:p w14:paraId="2A73A3B2"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25</w:t>
      </w:r>
    </w:p>
    <w:p w14:paraId="2A73A3B3" w14:textId="77777777" w:rsidR="00FA5565" w:rsidRDefault="00D804D1">
      <w:r>
        <w:rPr>
          <w:rFonts w:ascii="Times New Roman" w:hAnsi="Times New Roman"/>
          <w:sz w:val="16"/>
          <w:szCs w:val="16"/>
        </w:rPr>
        <w:pict w14:anchorId="2A73C0B5">
          <v:rect id="_x0000_i1051" style="width:415.3pt;height:1.5pt" o:hralign="center" o:hrstd="t" o:hr="t" fillcolor="#a0a0a0" stroked="f"/>
        </w:pict>
      </w:r>
    </w:p>
    <w:p w14:paraId="2A73A3B4" w14:textId="77777777" w:rsidR="00FA5565" w:rsidRDefault="00FA5565">
      <w:pPr>
        <w:rPr>
          <w:rFonts w:ascii="Times New Roman" w:hAnsi="Times New Roman"/>
          <w:sz w:val="20"/>
          <w:szCs w:val="20"/>
        </w:rPr>
      </w:pPr>
    </w:p>
    <w:p w14:paraId="2A73A3B5"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Valuation of Manufacturing-Related Assets and Estimation of Inventory Purchase Commitment Cancellation Fees</w:t>
      </w:r>
    </w:p>
    <w:p w14:paraId="2A73A3B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invests in m</w:t>
      </w:r>
      <w:r>
        <w:rPr>
          <w:rFonts w:ascii="Helvetica" w:eastAsia="Helvetica" w:hAnsi="Helvetica" w:cs="Helvetica"/>
          <w:sz w:val="18"/>
          <w:szCs w:val="18"/>
        </w:rPr>
        <w:t>anufacturing-related assets, including capital assets held at its suppliers’ facilities and prepayments provided to certain of its suppliers associated with long-term agreements to secure the supply of inventory. The Company also accrues estimated purchase</w:t>
      </w:r>
      <w:r>
        <w:rPr>
          <w:rFonts w:ascii="Helvetica" w:eastAsia="Helvetica" w:hAnsi="Helvetica" w:cs="Helvetica"/>
          <w:sz w:val="18"/>
          <w:szCs w:val="18"/>
        </w:rPr>
        <w:t xml:space="preserve"> commitment cancellation fees related to inventory orders that have been canceled or are expected to be canceled. The Company’s estimates of future product development plans and demand for its products are the key inputs in the determination of the recover</w:t>
      </w:r>
      <w:r>
        <w:rPr>
          <w:rFonts w:ascii="Helvetica" w:eastAsia="Helvetica" w:hAnsi="Helvetica" w:cs="Helvetica"/>
          <w:sz w:val="18"/>
          <w:szCs w:val="18"/>
        </w:rPr>
        <w:t>ability of manufacturing-related assets and the assessment of the adequacy of any purchase commitment cancellation fee accruals. If there is an abrupt and substantial decline in estimated demand for one or more of the Company’s products, a change in the Co</w:t>
      </w:r>
      <w:r>
        <w:rPr>
          <w:rFonts w:ascii="Helvetica" w:eastAsia="Helvetica" w:hAnsi="Helvetica" w:cs="Helvetica"/>
          <w:sz w:val="18"/>
          <w:szCs w:val="18"/>
        </w:rPr>
        <w:t>mpany’s product development plans, or an unanticipated change in technological requirements for any of the Company’s products, the Company may be required to record write-downs or impairments of manufacturing-related assets or accrue purchase commitment ca</w:t>
      </w:r>
      <w:r>
        <w:rPr>
          <w:rFonts w:ascii="Helvetica" w:eastAsia="Helvetica" w:hAnsi="Helvetica" w:cs="Helvetica"/>
          <w:sz w:val="18"/>
          <w:szCs w:val="18"/>
        </w:rPr>
        <w:t>ncellation fees.</w:t>
      </w:r>
    </w:p>
    <w:p w14:paraId="2A73A3B7"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Warranty Costs</w:t>
      </w:r>
    </w:p>
    <w:p w14:paraId="2A73A3B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offers limited warranties on its new hardware products and on parts used to repair its hardware products, and customers may purchase extended service coverage, where available, on many of the Company’s hardware p</w:t>
      </w:r>
      <w:r>
        <w:rPr>
          <w:rFonts w:ascii="Helvetica" w:eastAsia="Helvetica" w:hAnsi="Helvetica" w:cs="Helvetica"/>
          <w:sz w:val="18"/>
          <w:szCs w:val="18"/>
        </w:rPr>
        <w:t>roducts. The Company accrues the estimated cost of warranties in the period the related revenue is recognized based on historical and projected warranty claim rates, historical and projected cost per claim and knowledge of specific product failures outside</w:t>
      </w:r>
      <w:r>
        <w:rPr>
          <w:rFonts w:ascii="Helvetica" w:eastAsia="Helvetica" w:hAnsi="Helvetica" w:cs="Helvetica"/>
          <w:sz w:val="18"/>
          <w:szCs w:val="18"/>
        </w:rPr>
        <w:t xml:space="preserve"> the Company’s typical experience. The Company regularly reviews these estimates and adjusts the amounts as necessary. If actual product failure rates or repair costs differ from estimates, revisions to the estimated warranty liabilities would be required.</w:t>
      </w:r>
    </w:p>
    <w:p w14:paraId="2A73A3B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Income Taxes</w:t>
      </w:r>
    </w:p>
    <w:p w14:paraId="2A73A3B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recognizes tax benefits from uncertain tax positions only if it is more likely than not that the tax position will be sustained on examination by the taxing authorities, based on the technical merits of the position. The tax benef</w:t>
      </w:r>
      <w:r>
        <w:rPr>
          <w:rFonts w:ascii="Helvetica" w:eastAsia="Helvetica" w:hAnsi="Helvetica" w:cs="Helvetica"/>
          <w:sz w:val="18"/>
          <w:szCs w:val="18"/>
        </w:rPr>
        <w:t>its recognized in the financial statements from such positions are then measured based on the largest benefit that has a greater-than-50% likelihood of being realized upon ultimate settlement. The calculation of tax liabilities involves significant judgmen</w:t>
      </w:r>
      <w:r>
        <w:rPr>
          <w:rFonts w:ascii="Helvetica" w:eastAsia="Helvetica" w:hAnsi="Helvetica" w:cs="Helvetica"/>
          <w:sz w:val="18"/>
          <w:szCs w:val="18"/>
        </w:rPr>
        <w:t>t in estimating the impact of uncertainties in the application of GAAP and complex tax laws. Resolution of these uncertainties in a manner inconsistent with management’s expectations could have a material impact on the Company’s financial condition and ope</w:t>
      </w:r>
      <w:r>
        <w:rPr>
          <w:rFonts w:ascii="Helvetica" w:eastAsia="Helvetica" w:hAnsi="Helvetica" w:cs="Helvetica"/>
          <w:sz w:val="18"/>
          <w:szCs w:val="18"/>
        </w:rPr>
        <w:t>rating results.</w:t>
      </w:r>
    </w:p>
    <w:p w14:paraId="2A73A3BB"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i/>
          <w:iCs/>
          <w:sz w:val="18"/>
          <w:szCs w:val="18"/>
        </w:rPr>
        <w:t>Legal and Other Contingencies</w:t>
      </w:r>
    </w:p>
    <w:p w14:paraId="2A73A3B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As discussed in Part I, Item 3 of this Form 10-K under the heading “Legal Proceedings” and in Part II, Item 8 of this Form 10-K in the Notes to Consolidated Financial Statements in Note 10, </w:t>
      </w:r>
      <w:r>
        <w:rPr>
          <w:rFonts w:ascii="Helvetica" w:eastAsia="Helvetica" w:hAnsi="Helvetica" w:cs="Helvetica"/>
          <w:sz w:val="18"/>
          <w:szCs w:val="18"/>
        </w:rPr>
        <w:t>“Commitments and Contingencies,” the Company is subject to various legal proceedings and claims that arise in the ordinary course of business. The Company records a liability when it is probable that a loss has been incurred and the amount is reasonably es</w:t>
      </w:r>
      <w:r>
        <w:rPr>
          <w:rFonts w:ascii="Helvetica" w:eastAsia="Helvetica" w:hAnsi="Helvetica" w:cs="Helvetica"/>
          <w:sz w:val="18"/>
          <w:szCs w:val="18"/>
        </w:rPr>
        <w:t xml:space="preserve">timable, the determination of which requires significant judgment. Except as described in Part II, Item 8 of this Form 10-K in the Notes to Consolidated Financial Statements in Note 10, “Commitments and Contingencies” under the heading “Contingencies,” in </w:t>
      </w:r>
      <w:r>
        <w:rPr>
          <w:rFonts w:ascii="Helvetica" w:eastAsia="Helvetica" w:hAnsi="Helvetica" w:cs="Helvetica"/>
          <w:sz w:val="18"/>
          <w:szCs w:val="18"/>
        </w:rPr>
        <w:t>the opinion of management, there was not at least a reasonable possibility the Company may have incurred a material loss, or a material loss greater than a recorded accrual, concerning loss contingencies for asserted legal and other claims.</w:t>
      </w:r>
    </w:p>
    <w:p w14:paraId="2A73A3B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outcome of </w:t>
      </w:r>
      <w:r>
        <w:rPr>
          <w:rFonts w:ascii="Helvetica" w:eastAsia="Helvetica" w:hAnsi="Helvetica" w:cs="Helvetica"/>
          <w:sz w:val="18"/>
          <w:szCs w:val="18"/>
        </w:rPr>
        <w:t>litigation is inherently uncertain. If one or more legal matters were resolved against the Company in a reporting period for amounts above management’s expectations, the Company’s financial condition and operating results for that reporting period could be</w:t>
      </w:r>
      <w:r>
        <w:rPr>
          <w:rFonts w:ascii="Helvetica" w:eastAsia="Helvetica" w:hAnsi="Helvetica" w:cs="Helvetica"/>
          <w:sz w:val="18"/>
          <w:szCs w:val="18"/>
        </w:rPr>
        <w:t xml:space="preserve"> materially adversely affected.</w:t>
      </w:r>
    </w:p>
    <w:tbl>
      <w:tblPr>
        <w:tblW w:w="0" w:type="auto"/>
        <w:tblCellSpacing w:w="0" w:type="dxa"/>
        <w:tblCellMar>
          <w:left w:w="0" w:type="dxa"/>
          <w:right w:w="0" w:type="dxa"/>
        </w:tblCellMar>
        <w:tblLook w:val="04A0" w:firstRow="1" w:lastRow="0" w:firstColumn="1" w:lastColumn="0" w:noHBand="0" w:noVBand="1"/>
      </w:tblPr>
      <w:tblGrid>
        <w:gridCol w:w="1200"/>
        <w:gridCol w:w="5082"/>
      </w:tblGrid>
      <w:tr w:rsidR="00FA5565" w14:paraId="2A73A3C0" w14:textId="77777777">
        <w:trPr>
          <w:tblCellSpacing w:w="0" w:type="dxa"/>
        </w:trPr>
        <w:tc>
          <w:tcPr>
            <w:tcW w:w="1200" w:type="dxa"/>
            <w:shd w:val="clear" w:color="auto" w:fill="auto"/>
            <w:vAlign w:val="center"/>
          </w:tcPr>
          <w:p w14:paraId="2A73A3BE" w14:textId="77777777" w:rsidR="00FA5565" w:rsidRDefault="00FA5565">
            <w:pPr>
              <w:rPr>
                <w:rFonts w:ascii="Times New Roman" w:hAnsi="Times New Roman"/>
                <w:sz w:val="20"/>
                <w:szCs w:val="20"/>
              </w:rPr>
            </w:pPr>
          </w:p>
        </w:tc>
        <w:tc>
          <w:tcPr>
            <w:tcW w:w="0" w:type="auto"/>
            <w:shd w:val="clear" w:color="auto" w:fill="auto"/>
            <w:vAlign w:val="center"/>
          </w:tcPr>
          <w:p w14:paraId="2A73A3BF" w14:textId="77777777" w:rsidR="00FA5565" w:rsidRDefault="00FA5565">
            <w:pPr>
              <w:rPr>
                <w:rFonts w:ascii="Times New Roman" w:hAnsi="Times New Roman"/>
                <w:sz w:val="20"/>
                <w:szCs w:val="20"/>
              </w:rPr>
            </w:pPr>
          </w:p>
        </w:tc>
      </w:tr>
      <w:tr w:rsidR="00FA5565" w14:paraId="2A73A3C3" w14:textId="77777777">
        <w:trPr>
          <w:tblCellSpacing w:w="0" w:type="dxa"/>
        </w:trPr>
        <w:tc>
          <w:tcPr>
            <w:tcW w:w="0" w:type="auto"/>
            <w:shd w:val="clear" w:color="auto" w:fill="auto"/>
          </w:tcPr>
          <w:p w14:paraId="2A73A3C1"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7A.</w:t>
            </w:r>
          </w:p>
        </w:tc>
        <w:tc>
          <w:tcPr>
            <w:tcW w:w="0" w:type="auto"/>
            <w:shd w:val="clear" w:color="auto" w:fill="auto"/>
          </w:tcPr>
          <w:p w14:paraId="2A73A3C2"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Quantitative and Qualitative Disclosures About Market Risk</w:t>
            </w:r>
          </w:p>
        </w:tc>
      </w:tr>
    </w:tbl>
    <w:p w14:paraId="2A73A3C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Interest Rate and Foreign Currency Risk Management</w:t>
      </w:r>
    </w:p>
    <w:p w14:paraId="2A73A3C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regularly reviews its foreign exchange forward and option positions and interest rate swa</w:t>
      </w:r>
      <w:r>
        <w:rPr>
          <w:rFonts w:ascii="Helvetica" w:eastAsia="Helvetica" w:hAnsi="Helvetica" w:cs="Helvetica"/>
          <w:sz w:val="18"/>
          <w:szCs w:val="18"/>
        </w:rPr>
        <w:t>ps, both on a stand-alone basis and in conjunction with its underlying foreign currency and interest rate exposures. Given the effective horizons of the Company’s risk management activities and the anticipatory nature of the exposures, there can be no assu</w:t>
      </w:r>
      <w:r>
        <w:rPr>
          <w:rFonts w:ascii="Helvetica" w:eastAsia="Helvetica" w:hAnsi="Helvetica" w:cs="Helvetica"/>
          <w:sz w:val="18"/>
          <w:szCs w:val="18"/>
        </w:rPr>
        <w:t>rance these positions will offset more than a portion of the financial impact resulting from movements in either foreign exchange or interest rates. Further, the recognition of the gains and losses related to these instruments may not coincide with the tim</w:t>
      </w:r>
      <w:r>
        <w:rPr>
          <w:rFonts w:ascii="Helvetica" w:eastAsia="Helvetica" w:hAnsi="Helvetica" w:cs="Helvetica"/>
          <w:sz w:val="18"/>
          <w:szCs w:val="18"/>
        </w:rPr>
        <w:t>ing of gains and losses related to the underlying economic exposures and, therefore, may adversely affect the Company’s financial condition and operating results.</w:t>
      </w:r>
    </w:p>
    <w:p w14:paraId="2A73A3C6"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Interest Rate Risk</w:t>
      </w:r>
    </w:p>
    <w:p w14:paraId="2A73A3C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exposure to changes in interest rates relates </w:t>
      </w:r>
      <w:r>
        <w:rPr>
          <w:rFonts w:ascii="Helvetica" w:eastAsia="Helvetica" w:hAnsi="Helvetica" w:cs="Helvetica"/>
          <w:sz w:val="18"/>
          <w:szCs w:val="18"/>
        </w:rPr>
        <w:t>primarily to the Company’s investment portfolio and outstanding debt. While the Company is exposed to global interest rate fluctuations, the Company’s interest income and expense are most sensitive to fluctuations in U.S. interest rates. Changes in U.S. in</w:t>
      </w:r>
      <w:r>
        <w:rPr>
          <w:rFonts w:ascii="Helvetica" w:eastAsia="Helvetica" w:hAnsi="Helvetica" w:cs="Helvetica"/>
          <w:sz w:val="18"/>
          <w:szCs w:val="18"/>
        </w:rPr>
        <w:t>terest rates affect the interest earned on the Company’s cash, cash equivalents and marketable securities and the fair value of those securities, as well as costs associated with hedging and interest paid on the Company’s debt.</w:t>
      </w:r>
    </w:p>
    <w:p w14:paraId="2A73A3C8" w14:textId="77777777" w:rsidR="00FA5565" w:rsidRDefault="00FA5565">
      <w:pPr>
        <w:rPr>
          <w:rFonts w:ascii="Times New Roman" w:hAnsi="Times New Roman"/>
          <w:sz w:val="20"/>
          <w:szCs w:val="20"/>
        </w:rPr>
      </w:pPr>
    </w:p>
    <w:p w14:paraId="2A73A3C9"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w:t>
      </w:r>
      <w:r>
        <w:rPr>
          <w:rFonts w:ascii="Helvetica" w:eastAsia="Helvetica" w:hAnsi="Helvetica" w:cs="Helvetica"/>
          <w:sz w:val="16"/>
          <w:szCs w:val="16"/>
        </w:rPr>
        <w:t xml:space="preserve"> | 26</w:t>
      </w:r>
    </w:p>
    <w:p w14:paraId="2A73A3CA" w14:textId="77777777" w:rsidR="00FA5565" w:rsidRDefault="00D804D1">
      <w:r>
        <w:rPr>
          <w:rFonts w:ascii="Times New Roman" w:hAnsi="Times New Roman"/>
          <w:sz w:val="16"/>
          <w:szCs w:val="16"/>
        </w:rPr>
        <w:pict w14:anchorId="2A73C0B6">
          <v:rect id="_x0000_i1052" style="width:415.3pt;height:1.5pt" o:hralign="center" o:hrstd="t" o:hr="t" fillcolor="#a0a0a0" stroked="f"/>
        </w:pict>
      </w:r>
    </w:p>
    <w:p w14:paraId="2A73A3CB" w14:textId="77777777" w:rsidR="00FA5565" w:rsidRDefault="00FA5565">
      <w:pPr>
        <w:rPr>
          <w:rFonts w:ascii="Times New Roman" w:hAnsi="Times New Roman"/>
          <w:sz w:val="20"/>
          <w:szCs w:val="20"/>
        </w:rPr>
      </w:pPr>
    </w:p>
    <w:p w14:paraId="2A73A3C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investment policy and strategy are focused on the preservation of capital and supporting the Company’s liquidity requirements. The Company uses a combination of internal and external management to execute its investment strategy and </w:t>
      </w:r>
      <w:r>
        <w:rPr>
          <w:rFonts w:ascii="Helvetica" w:eastAsia="Helvetica" w:hAnsi="Helvetica" w:cs="Helvetica"/>
          <w:sz w:val="18"/>
          <w:szCs w:val="18"/>
        </w:rPr>
        <w:t>achieve its investment objectives. The Company typically invests in highly rated securities, with the primary objective of minimizing the potential risk of principal loss. The Company’s investment policy generally requires securities to be investment grade</w:t>
      </w:r>
      <w:r>
        <w:rPr>
          <w:rFonts w:ascii="Helvetica" w:eastAsia="Helvetica" w:hAnsi="Helvetica" w:cs="Helvetica"/>
          <w:sz w:val="18"/>
          <w:szCs w:val="18"/>
        </w:rPr>
        <w:t xml:space="preserve"> and limits the amount of credit exposure to any one issuer. To provide a meaningful assessment of the interest rate risk associated with the Company’s investment portfolio, the Company performed a sensitivity analysis to determine the impact a change in i</w:t>
      </w:r>
      <w:r>
        <w:rPr>
          <w:rFonts w:ascii="Helvetica" w:eastAsia="Helvetica" w:hAnsi="Helvetica" w:cs="Helvetica"/>
          <w:sz w:val="18"/>
          <w:szCs w:val="18"/>
        </w:rPr>
        <w:t>nterest rates would have on the value of the investment portfolio assuming a 100 basis point parallel shift in the yield curve. Based on investment positions as of September 28, 2019 and September 29, 2018, a hypothetical 100 basis point increase in intere</w:t>
      </w:r>
      <w:r>
        <w:rPr>
          <w:rFonts w:ascii="Helvetica" w:eastAsia="Helvetica" w:hAnsi="Helvetica" w:cs="Helvetica"/>
          <w:sz w:val="18"/>
          <w:szCs w:val="18"/>
        </w:rPr>
        <w:t>st rates across all maturities would result in a $2.8 billion and $4.9 billion incremental decline in the fair market value of the portfolio, respectively. Such losses would only be realized if the Company sold the investments prior to maturity.</w:t>
      </w:r>
    </w:p>
    <w:p w14:paraId="2A73A3C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As of Sept</w:t>
      </w:r>
      <w:r>
        <w:rPr>
          <w:rFonts w:ascii="Helvetica" w:eastAsia="Helvetica" w:hAnsi="Helvetica" w:cs="Helvetica"/>
          <w:sz w:val="18"/>
          <w:szCs w:val="18"/>
        </w:rPr>
        <w:t>ember 28, 2019 and September 29, 2018, the Company had outstanding floating- and fixed-rate notes with varying maturities for an aggregate carrying amount of $102.1 billion and $102.5 billion, respectively. The Company has entered, and in the future may en</w:t>
      </w:r>
      <w:r>
        <w:rPr>
          <w:rFonts w:ascii="Helvetica" w:eastAsia="Helvetica" w:hAnsi="Helvetica" w:cs="Helvetica"/>
          <w:sz w:val="18"/>
          <w:szCs w:val="18"/>
        </w:rPr>
        <w:t xml:space="preserve">ter, into interest rate swaps to manage interest rate risk on its outstanding term debt. Interest rate swaps allow the Company to effectively convert fixed-rate payments into floating-rate payments or floating-rate payments into fixed-rate payments. Gains </w:t>
      </w:r>
      <w:r>
        <w:rPr>
          <w:rFonts w:ascii="Helvetica" w:eastAsia="Helvetica" w:hAnsi="Helvetica" w:cs="Helvetica"/>
          <w:sz w:val="18"/>
          <w:szCs w:val="18"/>
        </w:rPr>
        <w:t>and losses on term debt are generally offset by the corresponding losses and gains on the related hedging instrument. A 100 basis point increase in market interest rates would cause interest expense on the Company’s debt as of September 28, 2019 and Septem</w:t>
      </w:r>
      <w:r>
        <w:rPr>
          <w:rFonts w:ascii="Helvetica" w:eastAsia="Helvetica" w:hAnsi="Helvetica" w:cs="Helvetica"/>
          <w:sz w:val="18"/>
          <w:szCs w:val="18"/>
        </w:rPr>
        <w:t>ber 29, 2018 to increase by $325 million and $399 million on an annualized basis, respectively.</w:t>
      </w:r>
    </w:p>
    <w:p w14:paraId="2A73A3CE"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Foreign Currency Risk</w:t>
      </w:r>
    </w:p>
    <w:p w14:paraId="2A73A3C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In general, the Company is a net receiver of currencies other than the U.S. dollar. Accordingly, changes in exchange rates, and in particu</w:t>
      </w:r>
      <w:r>
        <w:rPr>
          <w:rFonts w:ascii="Helvetica" w:eastAsia="Helvetica" w:hAnsi="Helvetica" w:cs="Helvetica"/>
          <w:sz w:val="18"/>
          <w:szCs w:val="18"/>
        </w:rPr>
        <w:t>lar a strengthening of the U.S. dollar, will negatively affect the Company’s net sales and gross margins as expressed in U.S. dollars. There is a risk that the Company will have to adjust local currency pricing due to competitive pressures when there has b</w:t>
      </w:r>
      <w:r>
        <w:rPr>
          <w:rFonts w:ascii="Helvetica" w:eastAsia="Helvetica" w:hAnsi="Helvetica" w:cs="Helvetica"/>
          <w:sz w:val="18"/>
          <w:szCs w:val="18"/>
        </w:rPr>
        <w:t>een significant volatility in foreign currency exchange rates.</w:t>
      </w:r>
    </w:p>
    <w:p w14:paraId="2A73A3D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may enter into foreign currency forward and option contracts with financial institutions to protect against foreign exchange risks associated with certain existing assets and liabil</w:t>
      </w:r>
      <w:r>
        <w:rPr>
          <w:rFonts w:ascii="Helvetica" w:eastAsia="Helvetica" w:hAnsi="Helvetica" w:cs="Helvetica"/>
          <w:sz w:val="18"/>
          <w:szCs w:val="18"/>
        </w:rPr>
        <w:t>ities, certain firmly committed transactions, forecasted future cash flows and net investments in foreign subsidiaries. In addition, the Company has entered, and in the future may enter, into foreign currency contracts to partially offset the foreign curre</w:t>
      </w:r>
      <w:r>
        <w:rPr>
          <w:rFonts w:ascii="Helvetica" w:eastAsia="Helvetica" w:hAnsi="Helvetica" w:cs="Helvetica"/>
          <w:sz w:val="18"/>
          <w:szCs w:val="18"/>
        </w:rPr>
        <w:t>ncy exchange gains and losses on its foreign currency–denominated debt issuances. The Company generally hedges portions of its forecasted foreign currency exposure associated with revenue and inventory purchases, typically for up to 12 months. However, the</w:t>
      </w:r>
      <w:r>
        <w:rPr>
          <w:rFonts w:ascii="Helvetica" w:eastAsia="Helvetica" w:hAnsi="Helvetica" w:cs="Helvetica"/>
          <w:sz w:val="18"/>
          <w:szCs w:val="18"/>
        </w:rPr>
        <w:t xml:space="preserve"> Company may choose not to hedge certain foreign exchange exposures for a variety of reasons including, but not limited to, accounting considerations or the prohibitive economic cost of hedging particular exposures.</w:t>
      </w:r>
    </w:p>
    <w:p w14:paraId="2A73A3D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To provide an assessment of the foreign </w:t>
      </w:r>
      <w:r>
        <w:rPr>
          <w:rFonts w:ascii="Helvetica" w:eastAsia="Helvetica" w:hAnsi="Helvetica" w:cs="Helvetica"/>
          <w:sz w:val="18"/>
          <w:szCs w:val="18"/>
        </w:rPr>
        <w:t>currency risk associated with certain of the Company’s foreign currency derivative positions, the Company performed a sensitivity analysis using a value-at-risk (“VAR”) model to assess the potential impact of fluctuations in exchange rates. The VAR model c</w:t>
      </w:r>
      <w:r>
        <w:rPr>
          <w:rFonts w:ascii="Helvetica" w:eastAsia="Helvetica" w:hAnsi="Helvetica" w:cs="Helvetica"/>
          <w:sz w:val="18"/>
          <w:szCs w:val="18"/>
        </w:rPr>
        <w:t>onsisted of using a Monte Carlo simulation to generate thousands of random market price paths assuming normal market conditions. The VAR is the maximum expected loss in fair value, for a given confidence interval, to the Company’s foreign currency derivati</w:t>
      </w:r>
      <w:r>
        <w:rPr>
          <w:rFonts w:ascii="Helvetica" w:eastAsia="Helvetica" w:hAnsi="Helvetica" w:cs="Helvetica"/>
          <w:sz w:val="18"/>
          <w:szCs w:val="18"/>
        </w:rPr>
        <w:t>ve positions due to adverse movements in rates. The VAR model is not intended to represent actual losses but is used as a risk estimation and management tool. Forecasted transactions, firm commitments and assets and liabilities denominated in foreign curre</w:t>
      </w:r>
      <w:r>
        <w:rPr>
          <w:rFonts w:ascii="Helvetica" w:eastAsia="Helvetica" w:hAnsi="Helvetica" w:cs="Helvetica"/>
          <w:sz w:val="18"/>
          <w:szCs w:val="18"/>
        </w:rPr>
        <w:t>ncies were excluded from the model. Based on the results of the model, the Company estimates with 95% confidence, a maximum one-day loss in fair value of $452 million as of September 28, 2019, compared to a maximum one-day loss in fair value of $592 millio</w:t>
      </w:r>
      <w:r>
        <w:rPr>
          <w:rFonts w:ascii="Helvetica" w:eastAsia="Helvetica" w:hAnsi="Helvetica" w:cs="Helvetica"/>
          <w:sz w:val="18"/>
          <w:szCs w:val="18"/>
        </w:rPr>
        <w:t>n as of September 29, 2018. Because the Company uses foreign currency instruments for hedging purposes, the losses in fair value incurred on those instruments are generally offset by increases in the fair value of the underlying exposures.</w:t>
      </w:r>
    </w:p>
    <w:p w14:paraId="2A73A3D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Actual future ga</w:t>
      </w:r>
      <w:r>
        <w:rPr>
          <w:rFonts w:ascii="Helvetica" w:eastAsia="Helvetica" w:hAnsi="Helvetica" w:cs="Helvetica"/>
          <w:sz w:val="18"/>
          <w:szCs w:val="18"/>
        </w:rPr>
        <w:t>ins and losses associated with the Company’s investment portfolio, debt and derivative positions may differ materially from the sensitivity analyses performed as of September 28, 2019 due to the inherent limitations associated with predicting the timing an</w:t>
      </w:r>
      <w:r>
        <w:rPr>
          <w:rFonts w:ascii="Helvetica" w:eastAsia="Helvetica" w:hAnsi="Helvetica" w:cs="Helvetica"/>
          <w:sz w:val="18"/>
          <w:szCs w:val="18"/>
        </w:rPr>
        <w:t>d amount of changes in interest rates, foreign currency exchange rates and the Company’s actual exposures and positions.</w:t>
      </w:r>
    </w:p>
    <w:p w14:paraId="2A73A3D3" w14:textId="77777777" w:rsidR="00FA5565" w:rsidRDefault="00FA5565">
      <w:pPr>
        <w:rPr>
          <w:rFonts w:ascii="Times New Roman" w:hAnsi="Times New Roman"/>
          <w:sz w:val="20"/>
          <w:szCs w:val="20"/>
        </w:rPr>
      </w:pPr>
    </w:p>
    <w:p w14:paraId="2A73A3D4"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27</w:t>
      </w:r>
    </w:p>
    <w:p w14:paraId="2A73A3D5" w14:textId="77777777" w:rsidR="00FA5565" w:rsidRDefault="00D804D1">
      <w:r>
        <w:rPr>
          <w:rFonts w:ascii="Times New Roman" w:hAnsi="Times New Roman"/>
          <w:sz w:val="16"/>
          <w:szCs w:val="16"/>
        </w:rPr>
        <w:pict w14:anchorId="2A73C0B7">
          <v:rect id="_x0000_i1053" style="width:415.3pt;height:1.5pt" o:hralign="center" o:hrstd="t" o:hr="t" fillcolor="#a0a0a0" stroked="f"/>
        </w:pict>
      </w:r>
    </w:p>
    <w:p w14:paraId="2A73A3D6" w14:textId="77777777" w:rsidR="00FA5565" w:rsidRDefault="00FA556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3962"/>
      </w:tblGrid>
      <w:tr w:rsidR="00FA5565" w14:paraId="2A73A3D9" w14:textId="77777777">
        <w:trPr>
          <w:tblCellSpacing w:w="0" w:type="dxa"/>
        </w:trPr>
        <w:tc>
          <w:tcPr>
            <w:tcW w:w="1200" w:type="dxa"/>
            <w:shd w:val="clear" w:color="auto" w:fill="auto"/>
            <w:vAlign w:val="center"/>
          </w:tcPr>
          <w:p w14:paraId="2A73A3D7" w14:textId="77777777" w:rsidR="00FA5565" w:rsidRDefault="00FA5565">
            <w:pPr>
              <w:rPr>
                <w:rFonts w:ascii="Times New Roman" w:hAnsi="Times New Roman"/>
                <w:sz w:val="20"/>
                <w:szCs w:val="20"/>
              </w:rPr>
            </w:pPr>
          </w:p>
        </w:tc>
        <w:tc>
          <w:tcPr>
            <w:tcW w:w="0" w:type="auto"/>
            <w:shd w:val="clear" w:color="auto" w:fill="auto"/>
            <w:vAlign w:val="center"/>
          </w:tcPr>
          <w:p w14:paraId="2A73A3D8" w14:textId="77777777" w:rsidR="00FA5565" w:rsidRDefault="00FA5565">
            <w:pPr>
              <w:rPr>
                <w:rFonts w:ascii="Times New Roman" w:hAnsi="Times New Roman"/>
                <w:sz w:val="20"/>
                <w:szCs w:val="20"/>
              </w:rPr>
            </w:pPr>
          </w:p>
        </w:tc>
      </w:tr>
      <w:tr w:rsidR="00FA5565" w14:paraId="2A73A3DC" w14:textId="77777777">
        <w:trPr>
          <w:tblCellSpacing w:w="0" w:type="dxa"/>
        </w:trPr>
        <w:tc>
          <w:tcPr>
            <w:tcW w:w="0" w:type="auto"/>
            <w:shd w:val="clear" w:color="auto" w:fill="auto"/>
          </w:tcPr>
          <w:p w14:paraId="2A73A3DA"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8.</w:t>
            </w:r>
          </w:p>
        </w:tc>
        <w:tc>
          <w:tcPr>
            <w:tcW w:w="0" w:type="auto"/>
            <w:shd w:val="clear" w:color="auto" w:fill="auto"/>
          </w:tcPr>
          <w:p w14:paraId="2A73A3DB"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Financial Statements and Supplementary Data</w:t>
            </w:r>
          </w:p>
        </w:tc>
      </w:tr>
    </w:tbl>
    <w:p w14:paraId="2A73A3DD" w14:textId="77777777" w:rsidR="00FA5565" w:rsidRDefault="00FA5565">
      <w:pPr>
        <w:rPr>
          <w:vanish/>
        </w:rPr>
      </w:pPr>
    </w:p>
    <w:tbl>
      <w:tblPr>
        <w:tblW w:w="5000" w:type="pct"/>
        <w:tblCellMar>
          <w:left w:w="0" w:type="dxa"/>
          <w:right w:w="0" w:type="dxa"/>
        </w:tblCellMar>
        <w:tblLook w:val="04A0" w:firstRow="1" w:lastRow="0" w:firstColumn="1" w:lastColumn="0" w:noHBand="0" w:noVBand="1"/>
      </w:tblPr>
      <w:tblGrid>
        <w:gridCol w:w="7476"/>
        <w:gridCol w:w="332"/>
        <w:gridCol w:w="498"/>
      </w:tblGrid>
      <w:tr w:rsidR="00FA5565" w14:paraId="2A73A3DF" w14:textId="77777777">
        <w:tc>
          <w:tcPr>
            <w:tcW w:w="0" w:type="auto"/>
            <w:gridSpan w:val="3"/>
            <w:shd w:val="clear" w:color="auto" w:fill="auto"/>
            <w:vAlign w:val="center"/>
          </w:tcPr>
          <w:p w14:paraId="2A73A3DE" w14:textId="77777777" w:rsidR="00FA5565" w:rsidRDefault="00FA5565">
            <w:pPr>
              <w:rPr>
                <w:rFonts w:ascii="Times New Roman" w:hAnsi="Times New Roman"/>
                <w:sz w:val="20"/>
                <w:szCs w:val="20"/>
              </w:rPr>
            </w:pPr>
          </w:p>
        </w:tc>
      </w:tr>
      <w:tr w:rsidR="00FA5565" w14:paraId="2A73A3E3" w14:textId="77777777">
        <w:tc>
          <w:tcPr>
            <w:tcW w:w="4500" w:type="pct"/>
            <w:shd w:val="clear" w:color="auto" w:fill="auto"/>
            <w:vAlign w:val="center"/>
          </w:tcPr>
          <w:p w14:paraId="2A73A3E0" w14:textId="77777777" w:rsidR="00FA5565" w:rsidRDefault="00FA5565">
            <w:pPr>
              <w:rPr>
                <w:rFonts w:ascii="Times New Roman" w:hAnsi="Times New Roman"/>
                <w:sz w:val="20"/>
                <w:szCs w:val="20"/>
              </w:rPr>
            </w:pPr>
          </w:p>
        </w:tc>
        <w:tc>
          <w:tcPr>
            <w:tcW w:w="200" w:type="pct"/>
            <w:shd w:val="clear" w:color="auto" w:fill="auto"/>
            <w:vAlign w:val="center"/>
          </w:tcPr>
          <w:p w14:paraId="2A73A3E1" w14:textId="77777777" w:rsidR="00FA5565" w:rsidRDefault="00FA5565">
            <w:pPr>
              <w:rPr>
                <w:rFonts w:ascii="Times New Roman" w:hAnsi="Times New Roman"/>
                <w:sz w:val="20"/>
                <w:szCs w:val="20"/>
              </w:rPr>
            </w:pPr>
          </w:p>
        </w:tc>
        <w:tc>
          <w:tcPr>
            <w:tcW w:w="300" w:type="pct"/>
            <w:shd w:val="clear" w:color="auto" w:fill="auto"/>
            <w:vAlign w:val="center"/>
          </w:tcPr>
          <w:p w14:paraId="2A73A3E2" w14:textId="77777777" w:rsidR="00FA5565" w:rsidRDefault="00FA5565">
            <w:pPr>
              <w:rPr>
                <w:rFonts w:ascii="Times New Roman" w:hAnsi="Times New Roman"/>
                <w:sz w:val="20"/>
                <w:szCs w:val="20"/>
              </w:rPr>
            </w:pPr>
          </w:p>
        </w:tc>
      </w:tr>
      <w:tr w:rsidR="00FA5565" w14:paraId="2A73A3E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2A73A3E4"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 xml:space="preserve">Index to Consolidated </w:t>
            </w:r>
            <w:r>
              <w:rPr>
                <w:rFonts w:ascii="Helvetica" w:eastAsia="Helvetica" w:hAnsi="Helvetica" w:cs="Helvetica"/>
                <w:b/>
                <w:bCs/>
                <w:sz w:val="16"/>
                <w:szCs w:val="16"/>
              </w:rPr>
              <w:t>Financial Statements</w:t>
            </w:r>
          </w:p>
        </w:tc>
        <w:tc>
          <w:tcPr>
            <w:tcW w:w="0" w:type="auto"/>
            <w:shd w:val="clear" w:color="auto" w:fill="auto"/>
            <w:tcMar>
              <w:top w:w="40" w:type="dxa"/>
              <w:left w:w="40" w:type="dxa"/>
              <w:bottom w:w="40" w:type="dxa"/>
              <w:right w:w="40" w:type="dxa"/>
            </w:tcMar>
            <w:vAlign w:val="bottom"/>
          </w:tcPr>
          <w:p w14:paraId="2A73A3E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A3E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Page</w:t>
            </w:r>
          </w:p>
        </w:tc>
      </w:tr>
      <w:tr w:rsidR="00FA5565" w14:paraId="2A73A3EB" w14:textId="77777777">
        <w:tc>
          <w:tcPr>
            <w:tcW w:w="0" w:type="auto"/>
            <w:shd w:val="clear" w:color="auto" w:fill="auto"/>
            <w:tcMar>
              <w:top w:w="40" w:type="dxa"/>
              <w:left w:w="40" w:type="dxa"/>
              <w:bottom w:w="40" w:type="dxa"/>
              <w:right w:w="40" w:type="dxa"/>
            </w:tcMar>
            <w:vAlign w:val="bottom"/>
          </w:tcPr>
          <w:p w14:paraId="2A73A3E8" w14:textId="77777777" w:rsidR="00FA5565" w:rsidRDefault="00D804D1">
            <w:pPr>
              <w:ind w:hanging="240"/>
              <w:textAlignment w:val="bottom"/>
              <w:rPr>
                <w:rFonts w:ascii="Times New Roman" w:hAnsi="Times New Roman"/>
                <w:sz w:val="18"/>
                <w:szCs w:val="18"/>
              </w:rPr>
            </w:pPr>
            <w:hyperlink r:id="rId74" w:anchor="sD628584EE6B55393A4E35023D14120AE" w:history="1">
              <w:r>
                <w:rPr>
                  <w:rStyle w:val="a5"/>
                  <w:rFonts w:ascii="Helvetica" w:eastAsia="Helvetica" w:hAnsi="Helvetica" w:cs="Helvetica"/>
                  <w:sz w:val="18"/>
                  <w:szCs w:val="18"/>
                </w:rPr>
                <w:t>Consolidated Statements of Operations for the years ended September 28, 2019, September 29, 2018 and Sept</w:t>
              </w:r>
              <w:r>
                <w:rPr>
                  <w:rStyle w:val="a5"/>
                  <w:rFonts w:ascii="Helvetica" w:eastAsia="Helvetica" w:hAnsi="Helvetica" w:cs="Helvetica"/>
                  <w:sz w:val="18"/>
                  <w:szCs w:val="18"/>
                </w:rPr>
                <w:t>ember 30, 2017</w:t>
              </w:r>
            </w:hyperlink>
          </w:p>
        </w:tc>
        <w:tc>
          <w:tcPr>
            <w:tcW w:w="0" w:type="auto"/>
            <w:shd w:val="clear" w:color="auto" w:fill="auto"/>
            <w:tcMar>
              <w:top w:w="40" w:type="dxa"/>
              <w:left w:w="40" w:type="dxa"/>
              <w:bottom w:w="40" w:type="dxa"/>
              <w:right w:w="40" w:type="dxa"/>
            </w:tcMar>
            <w:vAlign w:val="bottom"/>
          </w:tcPr>
          <w:p w14:paraId="2A73A3E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3EA" w14:textId="77777777" w:rsidR="00FA5565" w:rsidRDefault="00D804D1">
            <w:pPr>
              <w:jc w:val="center"/>
              <w:textAlignment w:val="bottom"/>
              <w:rPr>
                <w:rFonts w:ascii="Times New Roman" w:hAnsi="Times New Roman"/>
                <w:sz w:val="18"/>
                <w:szCs w:val="18"/>
              </w:rPr>
            </w:pPr>
            <w:hyperlink r:id="rId75" w:anchor="sD628584EE6B55393A4E35023D14120AE" w:history="1">
              <w:r>
                <w:rPr>
                  <w:rStyle w:val="a5"/>
                  <w:rFonts w:ascii="Helvetica" w:eastAsia="Helvetica" w:hAnsi="Helvetica" w:cs="Helvetica"/>
                  <w:color w:val="000000"/>
                  <w:sz w:val="18"/>
                  <w:szCs w:val="18"/>
                  <w:u w:val="none"/>
                </w:rPr>
                <w:t>29</w:t>
              </w:r>
            </w:hyperlink>
          </w:p>
        </w:tc>
      </w:tr>
      <w:tr w:rsidR="00FA5565" w14:paraId="2A73A3EF" w14:textId="77777777">
        <w:tc>
          <w:tcPr>
            <w:tcW w:w="0" w:type="auto"/>
            <w:shd w:val="clear" w:color="auto" w:fill="EFEFEF"/>
            <w:tcMar>
              <w:top w:w="40" w:type="dxa"/>
              <w:left w:w="40" w:type="dxa"/>
              <w:bottom w:w="40" w:type="dxa"/>
              <w:right w:w="40" w:type="dxa"/>
            </w:tcMar>
            <w:vAlign w:val="bottom"/>
          </w:tcPr>
          <w:p w14:paraId="2A73A3EC" w14:textId="77777777" w:rsidR="00FA5565" w:rsidRDefault="00D804D1">
            <w:pPr>
              <w:ind w:hanging="240"/>
              <w:textAlignment w:val="bottom"/>
              <w:rPr>
                <w:rFonts w:ascii="Times New Roman" w:hAnsi="Times New Roman"/>
                <w:sz w:val="18"/>
                <w:szCs w:val="18"/>
              </w:rPr>
            </w:pPr>
            <w:hyperlink r:id="rId76" w:anchor="s43F41C0D88375104950641E5AD6BB17A" w:history="1">
              <w:r>
                <w:rPr>
                  <w:rStyle w:val="a5"/>
                  <w:rFonts w:ascii="Helvetica" w:eastAsia="Helvetica" w:hAnsi="Helvetica" w:cs="Helvetica"/>
                  <w:sz w:val="18"/>
                  <w:szCs w:val="18"/>
                </w:rPr>
                <w:t>Consolidated Statements of Comprehensive Income for the years ended September 28, 2019, September 29, 201</w:t>
              </w:r>
              <w:r>
                <w:rPr>
                  <w:rStyle w:val="a5"/>
                  <w:rFonts w:ascii="Helvetica" w:eastAsia="Helvetica" w:hAnsi="Helvetica" w:cs="Helvetica"/>
                  <w:sz w:val="18"/>
                  <w:szCs w:val="18"/>
                </w:rPr>
                <w:t>8 and September 30, 2017</w:t>
              </w:r>
            </w:hyperlink>
          </w:p>
        </w:tc>
        <w:tc>
          <w:tcPr>
            <w:tcW w:w="0" w:type="auto"/>
            <w:shd w:val="clear" w:color="auto" w:fill="EFEFEF"/>
            <w:tcMar>
              <w:top w:w="40" w:type="dxa"/>
              <w:left w:w="40" w:type="dxa"/>
              <w:bottom w:w="40" w:type="dxa"/>
              <w:right w:w="40" w:type="dxa"/>
            </w:tcMar>
            <w:vAlign w:val="bottom"/>
          </w:tcPr>
          <w:p w14:paraId="2A73A3E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3EE" w14:textId="77777777" w:rsidR="00FA5565" w:rsidRDefault="00D804D1">
            <w:pPr>
              <w:jc w:val="center"/>
              <w:textAlignment w:val="bottom"/>
              <w:rPr>
                <w:rFonts w:ascii="Times New Roman" w:hAnsi="Times New Roman"/>
                <w:sz w:val="18"/>
                <w:szCs w:val="18"/>
              </w:rPr>
            </w:pPr>
            <w:hyperlink r:id="rId77" w:anchor="s43F41C0D88375104950641E5AD6BB17A" w:history="1">
              <w:r>
                <w:rPr>
                  <w:rStyle w:val="a5"/>
                  <w:rFonts w:ascii="Helvetica" w:eastAsia="Helvetica" w:hAnsi="Helvetica" w:cs="Helvetica"/>
                  <w:color w:val="000000"/>
                  <w:sz w:val="18"/>
                  <w:szCs w:val="18"/>
                  <w:u w:val="none"/>
                </w:rPr>
                <w:t>30</w:t>
              </w:r>
            </w:hyperlink>
          </w:p>
        </w:tc>
      </w:tr>
      <w:tr w:rsidR="00FA5565" w14:paraId="2A73A3F3" w14:textId="77777777">
        <w:tc>
          <w:tcPr>
            <w:tcW w:w="0" w:type="auto"/>
            <w:shd w:val="clear" w:color="auto" w:fill="auto"/>
            <w:tcMar>
              <w:top w:w="40" w:type="dxa"/>
              <w:left w:w="40" w:type="dxa"/>
              <w:bottom w:w="40" w:type="dxa"/>
              <w:right w:w="40" w:type="dxa"/>
            </w:tcMar>
            <w:vAlign w:val="bottom"/>
          </w:tcPr>
          <w:p w14:paraId="2A73A3F0" w14:textId="77777777" w:rsidR="00FA5565" w:rsidRDefault="00D804D1">
            <w:pPr>
              <w:ind w:hanging="240"/>
              <w:textAlignment w:val="bottom"/>
              <w:rPr>
                <w:rFonts w:ascii="Times New Roman" w:hAnsi="Times New Roman"/>
                <w:sz w:val="18"/>
                <w:szCs w:val="18"/>
              </w:rPr>
            </w:pPr>
            <w:hyperlink r:id="rId78" w:anchor="s6D62EE50CBA95D4FB3E6485B01BAD719" w:history="1">
              <w:r>
                <w:rPr>
                  <w:rStyle w:val="a5"/>
                  <w:rFonts w:ascii="Helvetica" w:eastAsia="Helvetica" w:hAnsi="Helvetica" w:cs="Helvetica"/>
                  <w:sz w:val="18"/>
                  <w:szCs w:val="18"/>
                </w:rPr>
                <w:t>Consolidated Balance Sheets as of September 28, 2019 and September 29, 2018</w:t>
              </w:r>
            </w:hyperlink>
          </w:p>
        </w:tc>
        <w:tc>
          <w:tcPr>
            <w:tcW w:w="0" w:type="auto"/>
            <w:shd w:val="clear" w:color="auto" w:fill="auto"/>
            <w:tcMar>
              <w:top w:w="40" w:type="dxa"/>
              <w:left w:w="40" w:type="dxa"/>
              <w:bottom w:w="40" w:type="dxa"/>
              <w:right w:w="40" w:type="dxa"/>
            </w:tcMar>
            <w:vAlign w:val="bottom"/>
          </w:tcPr>
          <w:p w14:paraId="2A73A3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3F2" w14:textId="77777777" w:rsidR="00FA5565" w:rsidRDefault="00D804D1">
            <w:pPr>
              <w:jc w:val="center"/>
              <w:textAlignment w:val="bottom"/>
              <w:rPr>
                <w:rFonts w:ascii="Times New Roman" w:hAnsi="Times New Roman"/>
                <w:sz w:val="18"/>
                <w:szCs w:val="18"/>
              </w:rPr>
            </w:pPr>
            <w:hyperlink r:id="rId79" w:anchor="s6D62EE50CBA95D4FB3E6485B01BAD719" w:history="1">
              <w:r>
                <w:rPr>
                  <w:rStyle w:val="a5"/>
                  <w:rFonts w:ascii="Helvetica" w:eastAsia="Helvetica" w:hAnsi="Helvetica" w:cs="Helvetica"/>
                  <w:color w:val="000000"/>
                  <w:sz w:val="18"/>
                  <w:szCs w:val="18"/>
                  <w:u w:val="none"/>
                </w:rPr>
                <w:t>31</w:t>
              </w:r>
            </w:hyperlink>
          </w:p>
        </w:tc>
      </w:tr>
      <w:tr w:rsidR="00FA5565" w14:paraId="2A73A3F7" w14:textId="77777777">
        <w:tc>
          <w:tcPr>
            <w:tcW w:w="0" w:type="auto"/>
            <w:shd w:val="clear" w:color="auto" w:fill="EFEFEF"/>
            <w:tcMar>
              <w:top w:w="40" w:type="dxa"/>
              <w:left w:w="40" w:type="dxa"/>
              <w:bottom w:w="40" w:type="dxa"/>
              <w:right w:w="40" w:type="dxa"/>
            </w:tcMar>
            <w:vAlign w:val="bottom"/>
          </w:tcPr>
          <w:p w14:paraId="2A73A3F4" w14:textId="77777777" w:rsidR="00FA5565" w:rsidRDefault="00D804D1">
            <w:pPr>
              <w:ind w:hanging="240"/>
              <w:textAlignment w:val="bottom"/>
              <w:rPr>
                <w:rFonts w:ascii="Times New Roman" w:hAnsi="Times New Roman"/>
                <w:sz w:val="18"/>
                <w:szCs w:val="18"/>
              </w:rPr>
            </w:pPr>
            <w:hyperlink r:id="rId80" w:anchor="s4B3C881CFFBD57FCA56006EDB8D567DC" w:history="1">
              <w:r>
                <w:rPr>
                  <w:rStyle w:val="a5"/>
                  <w:rFonts w:ascii="Helvetica" w:eastAsia="Helvetica" w:hAnsi="Helvetica" w:cs="Helvetica"/>
                  <w:sz w:val="18"/>
                  <w:szCs w:val="18"/>
                </w:rPr>
                <w:t>Consolidated Statements of Shareholders’ Equity for the years ended September 28, 2019, September 29, 2018 and September 30, 2017</w:t>
              </w:r>
            </w:hyperlink>
          </w:p>
        </w:tc>
        <w:tc>
          <w:tcPr>
            <w:tcW w:w="0" w:type="auto"/>
            <w:shd w:val="clear" w:color="auto" w:fill="EFEFEF"/>
            <w:tcMar>
              <w:top w:w="40" w:type="dxa"/>
              <w:left w:w="40" w:type="dxa"/>
              <w:bottom w:w="40" w:type="dxa"/>
              <w:right w:w="40" w:type="dxa"/>
            </w:tcMar>
            <w:vAlign w:val="bottom"/>
          </w:tcPr>
          <w:p w14:paraId="2A73A3F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3F6" w14:textId="77777777" w:rsidR="00FA5565" w:rsidRDefault="00D804D1">
            <w:pPr>
              <w:jc w:val="center"/>
              <w:textAlignment w:val="bottom"/>
              <w:rPr>
                <w:rFonts w:ascii="Times New Roman" w:hAnsi="Times New Roman"/>
                <w:sz w:val="18"/>
                <w:szCs w:val="18"/>
              </w:rPr>
            </w:pPr>
            <w:hyperlink r:id="rId81" w:anchor="s4B3C881CFFBD57FCA56006EDB8D567DC" w:history="1">
              <w:r>
                <w:rPr>
                  <w:rStyle w:val="a5"/>
                  <w:rFonts w:ascii="Helvetica" w:eastAsia="Helvetica" w:hAnsi="Helvetica" w:cs="Helvetica"/>
                  <w:color w:val="000000"/>
                  <w:sz w:val="18"/>
                  <w:szCs w:val="18"/>
                  <w:u w:val="none"/>
                </w:rPr>
                <w:t>32</w:t>
              </w:r>
            </w:hyperlink>
          </w:p>
        </w:tc>
      </w:tr>
      <w:tr w:rsidR="00FA5565" w14:paraId="2A73A3FB" w14:textId="77777777">
        <w:tc>
          <w:tcPr>
            <w:tcW w:w="0" w:type="auto"/>
            <w:shd w:val="clear" w:color="auto" w:fill="auto"/>
            <w:tcMar>
              <w:top w:w="40" w:type="dxa"/>
              <w:left w:w="40" w:type="dxa"/>
              <w:bottom w:w="40" w:type="dxa"/>
              <w:right w:w="40" w:type="dxa"/>
            </w:tcMar>
            <w:vAlign w:val="bottom"/>
          </w:tcPr>
          <w:p w14:paraId="2A73A3F8" w14:textId="77777777" w:rsidR="00FA5565" w:rsidRDefault="00D804D1">
            <w:pPr>
              <w:ind w:hanging="240"/>
              <w:textAlignment w:val="bottom"/>
              <w:rPr>
                <w:rFonts w:ascii="Times New Roman" w:hAnsi="Times New Roman"/>
                <w:sz w:val="18"/>
                <w:szCs w:val="18"/>
              </w:rPr>
            </w:pPr>
            <w:hyperlink r:id="rId82" w:anchor="s518AB031B05D5A74940A902D148B98B2" w:history="1">
              <w:r>
                <w:rPr>
                  <w:rStyle w:val="a5"/>
                  <w:rFonts w:ascii="Helvetica" w:eastAsia="Helvetica" w:hAnsi="Helvetica" w:cs="Helvetica"/>
                  <w:sz w:val="18"/>
                  <w:szCs w:val="18"/>
                </w:rPr>
                <w:t xml:space="preserve">Consolidated Statements of Cash </w:t>
              </w:r>
              <w:r>
                <w:rPr>
                  <w:rStyle w:val="a5"/>
                  <w:rFonts w:ascii="Helvetica" w:eastAsia="Helvetica" w:hAnsi="Helvetica" w:cs="Helvetica"/>
                  <w:sz w:val="18"/>
                  <w:szCs w:val="18"/>
                </w:rPr>
                <w:t>Flows for the years ended September 28, 2019, September 29, 2018 and September 30, 2017</w:t>
              </w:r>
            </w:hyperlink>
          </w:p>
        </w:tc>
        <w:tc>
          <w:tcPr>
            <w:tcW w:w="0" w:type="auto"/>
            <w:shd w:val="clear" w:color="auto" w:fill="auto"/>
            <w:tcMar>
              <w:top w:w="40" w:type="dxa"/>
              <w:left w:w="40" w:type="dxa"/>
              <w:bottom w:w="40" w:type="dxa"/>
              <w:right w:w="40" w:type="dxa"/>
            </w:tcMar>
            <w:vAlign w:val="bottom"/>
          </w:tcPr>
          <w:p w14:paraId="2A73A3F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3FA" w14:textId="77777777" w:rsidR="00FA5565" w:rsidRDefault="00D804D1">
            <w:pPr>
              <w:jc w:val="center"/>
              <w:textAlignment w:val="bottom"/>
              <w:rPr>
                <w:rFonts w:ascii="Times New Roman" w:hAnsi="Times New Roman"/>
                <w:sz w:val="18"/>
                <w:szCs w:val="18"/>
              </w:rPr>
            </w:pPr>
            <w:hyperlink r:id="rId83" w:anchor="s518AB031B05D5A74940A902D148B98B2" w:history="1">
              <w:r>
                <w:rPr>
                  <w:rStyle w:val="a5"/>
                  <w:rFonts w:ascii="Helvetica" w:eastAsia="Helvetica" w:hAnsi="Helvetica" w:cs="Helvetica"/>
                  <w:color w:val="000000"/>
                  <w:sz w:val="18"/>
                  <w:szCs w:val="18"/>
                  <w:u w:val="none"/>
                </w:rPr>
                <w:t>33</w:t>
              </w:r>
            </w:hyperlink>
          </w:p>
        </w:tc>
      </w:tr>
      <w:tr w:rsidR="00FA5565" w14:paraId="2A73A3FF" w14:textId="77777777">
        <w:tc>
          <w:tcPr>
            <w:tcW w:w="0" w:type="auto"/>
            <w:shd w:val="clear" w:color="auto" w:fill="EFEFEF"/>
            <w:tcMar>
              <w:top w:w="40" w:type="dxa"/>
              <w:left w:w="40" w:type="dxa"/>
              <w:bottom w:w="40" w:type="dxa"/>
              <w:right w:w="40" w:type="dxa"/>
            </w:tcMar>
            <w:vAlign w:val="bottom"/>
          </w:tcPr>
          <w:p w14:paraId="2A73A3FC" w14:textId="77777777" w:rsidR="00FA5565" w:rsidRDefault="00D804D1">
            <w:pPr>
              <w:ind w:hanging="240"/>
              <w:textAlignment w:val="bottom"/>
              <w:rPr>
                <w:rFonts w:ascii="Times New Roman" w:hAnsi="Times New Roman"/>
                <w:sz w:val="18"/>
                <w:szCs w:val="18"/>
              </w:rPr>
            </w:pPr>
            <w:hyperlink r:id="rId84" w:anchor="s55F749F26A3D5A0395EE3A73708D295D" w:history="1">
              <w:r>
                <w:rPr>
                  <w:rStyle w:val="a5"/>
                  <w:rFonts w:ascii="Helvetica" w:eastAsia="Helvetica" w:hAnsi="Helvetica" w:cs="Helvetica"/>
                  <w:sz w:val="18"/>
                  <w:szCs w:val="18"/>
                </w:rPr>
                <w:t>Notes to Consolidated Financial Statements</w:t>
              </w:r>
            </w:hyperlink>
          </w:p>
        </w:tc>
        <w:tc>
          <w:tcPr>
            <w:tcW w:w="0" w:type="auto"/>
            <w:shd w:val="clear" w:color="auto" w:fill="EFEFEF"/>
            <w:tcMar>
              <w:top w:w="40" w:type="dxa"/>
              <w:left w:w="40" w:type="dxa"/>
              <w:bottom w:w="40" w:type="dxa"/>
              <w:right w:w="40" w:type="dxa"/>
            </w:tcMar>
            <w:vAlign w:val="bottom"/>
          </w:tcPr>
          <w:p w14:paraId="2A73A3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3FE" w14:textId="77777777" w:rsidR="00FA5565" w:rsidRDefault="00D804D1">
            <w:pPr>
              <w:jc w:val="center"/>
              <w:textAlignment w:val="bottom"/>
              <w:rPr>
                <w:rFonts w:ascii="Times New Roman" w:hAnsi="Times New Roman"/>
                <w:sz w:val="18"/>
                <w:szCs w:val="18"/>
              </w:rPr>
            </w:pPr>
            <w:hyperlink r:id="rId85" w:anchor="s55F749F26A3D5A0395EE3A73708D295D" w:history="1">
              <w:r>
                <w:rPr>
                  <w:rStyle w:val="a5"/>
                  <w:rFonts w:ascii="Helvetica" w:eastAsia="Helvetica" w:hAnsi="Helvetica" w:cs="Helvetica"/>
                  <w:color w:val="000000"/>
                  <w:sz w:val="18"/>
                  <w:szCs w:val="18"/>
                  <w:u w:val="none"/>
                </w:rPr>
                <w:t>34</w:t>
              </w:r>
            </w:hyperlink>
          </w:p>
        </w:tc>
      </w:tr>
      <w:tr w:rsidR="00FA5565" w14:paraId="2A73A403" w14:textId="77777777">
        <w:tc>
          <w:tcPr>
            <w:tcW w:w="0" w:type="auto"/>
            <w:shd w:val="clear" w:color="auto" w:fill="auto"/>
            <w:tcMar>
              <w:top w:w="40" w:type="dxa"/>
              <w:left w:w="40" w:type="dxa"/>
              <w:bottom w:w="40" w:type="dxa"/>
              <w:right w:w="40" w:type="dxa"/>
            </w:tcMar>
            <w:vAlign w:val="bottom"/>
          </w:tcPr>
          <w:p w14:paraId="2A73A400" w14:textId="77777777" w:rsidR="00FA5565" w:rsidRDefault="00D804D1">
            <w:pPr>
              <w:ind w:hanging="240"/>
              <w:textAlignment w:val="bottom"/>
              <w:rPr>
                <w:rFonts w:ascii="Times New Roman" w:hAnsi="Times New Roman"/>
                <w:sz w:val="18"/>
                <w:szCs w:val="18"/>
              </w:rPr>
            </w:pPr>
            <w:hyperlink r:id="rId86" w:anchor="s7D3B610B0B9E50E2AD227A1A14EA70E6" w:history="1">
              <w:r>
                <w:rPr>
                  <w:rStyle w:val="a5"/>
                  <w:rFonts w:ascii="Helvetica" w:eastAsia="Helvetica" w:hAnsi="Helvetica" w:cs="Helvetica"/>
                  <w:sz w:val="18"/>
                  <w:szCs w:val="18"/>
                </w:rPr>
                <w:t>Selected Quarterly Financial Information (Unaudited)</w:t>
              </w:r>
            </w:hyperlink>
          </w:p>
        </w:tc>
        <w:tc>
          <w:tcPr>
            <w:tcW w:w="0" w:type="auto"/>
            <w:shd w:val="clear" w:color="auto" w:fill="auto"/>
            <w:tcMar>
              <w:top w:w="40" w:type="dxa"/>
              <w:left w:w="40" w:type="dxa"/>
              <w:bottom w:w="40" w:type="dxa"/>
              <w:right w:w="40" w:type="dxa"/>
            </w:tcMar>
            <w:vAlign w:val="bottom"/>
          </w:tcPr>
          <w:p w14:paraId="2A73A4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402" w14:textId="77777777" w:rsidR="00FA5565" w:rsidRDefault="00D804D1">
            <w:pPr>
              <w:jc w:val="center"/>
              <w:textAlignment w:val="bottom"/>
              <w:rPr>
                <w:rFonts w:ascii="Times New Roman" w:hAnsi="Times New Roman"/>
                <w:sz w:val="18"/>
                <w:szCs w:val="18"/>
              </w:rPr>
            </w:pPr>
            <w:hyperlink r:id="rId87" w:anchor="s7D3B610B0B9E50E2AD227A1A14EA70E6" w:history="1">
              <w:r>
                <w:rPr>
                  <w:rStyle w:val="a5"/>
                  <w:rFonts w:ascii="Helvetica" w:eastAsia="Helvetica" w:hAnsi="Helvetica" w:cs="Helvetica"/>
                  <w:color w:val="000000"/>
                  <w:sz w:val="18"/>
                  <w:szCs w:val="18"/>
                  <w:u w:val="none"/>
                </w:rPr>
                <w:t>55</w:t>
              </w:r>
            </w:hyperlink>
          </w:p>
        </w:tc>
      </w:tr>
      <w:tr w:rsidR="00FA5565" w14:paraId="2A73A407" w14:textId="77777777">
        <w:tc>
          <w:tcPr>
            <w:tcW w:w="0" w:type="auto"/>
            <w:shd w:val="clear" w:color="auto" w:fill="EFEFEF"/>
            <w:tcMar>
              <w:top w:w="40" w:type="dxa"/>
              <w:left w:w="40" w:type="dxa"/>
              <w:bottom w:w="40" w:type="dxa"/>
              <w:right w:w="40" w:type="dxa"/>
            </w:tcMar>
            <w:vAlign w:val="bottom"/>
          </w:tcPr>
          <w:p w14:paraId="2A73A404" w14:textId="77777777" w:rsidR="00FA5565" w:rsidRDefault="00D804D1">
            <w:pPr>
              <w:ind w:hanging="240"/>
              <w:textAlignment w:val="bottom"/>
              <w:rPr>
                <w:rFonts w:ascii="Times New Roman" w:hAnsi="Times New Roman"/>
                <w:sz w:val="18"/>
                <w:szCs w:val="18"/>
              </w:rPr>
            </w:pPr>
            <w:hyperlink r:id="rId88" w:anchor="s9FD5F74E60ED59B798D9FFE366A57E96" w:history="1">
              <w:r>
                <w:rPr>
                  <w:rStyle w:val="a5"/>
                  <w:rFonts w:ascii="Helvetica" w:eastAsia="Helvetica" w:hAnsi="Helvetica" w:cs="Helvetica"/>
                  <w:sz w:val="18"/>
                  <w:szCs w:val="18"/>
                </w:rPr>
                <w:t>Reports of Independent Registered Public Accounting Firm</w:t>
              </w:r>
            </w:hyperlink>
          </w:p>
        </w:tc>
        <w:tc>
          <w:tcPr>
            <w:tcW w:w="0" w:type="auto"/>
            <w:shd w:val="clear" w:color="auto" w:fill="EFEFEF"/>
            <w:tcMar>
              <w:top w:w="40" w:type="dxa"/>
              <w:left w:w="40" w:type="dxa"/>
              <w:bottom w:w="40" w:type="dxa"/>
              <w:right w:w="40" w:type="dxa"/>
            </w:tcMar>
            <w:vAlign w:val="bottom"/>
          </w:tcPr>
          <w:p w14:paraId="2A73A40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406" w14:textId="77777777" w:rsidR="00FA5565" w:rsidRDefault="00D804D1">
            <w:pPr>
              <w:jc w:val="center"/>
              <w:textAlignment w:val="bottom"/>
              <w:rPr>
                <w:rFonts w:ascii="Times New Roman" w:hAnsi="Times New Roman"/>
                <w:sz w:val="18"/>
                <w:szCs w:val="18"/>
              </w:rPr>
            </w:pPr>
            <w:hyperlink r:id="rId89" w:anchor="s9FD5F74E60ED59B798D9FFE366A57E96" w:history="1">
              <w:r>
                <w:rPr>
                  <w:rStyle w:val="a5"/>
                  <w:rFonts w:ascii="Helvetica" w:eastAsia="Helvetica" w:hAnsi="Helvetica" w:cs="Helvetica"/>
                  <w:color w:val="000000"/>
                  <w:sz w:val="18"/>
                  <w:szCs w:val="18"/>
                  <w:u w:val="none"/>
                </w:rPr>
                <w:t>56</w:t>
              </w:r>
            </w:hyperlink>
          </w:p>
        </w:tc>
      </w:tr>
    </w:tbl>
    <w:p w14:paraId="2A73A40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All financial statement schedules have been omitted, since the required information is not applica</w:t>
      </w:r>
      <w:r>
        <w:rPr>
          <w:rFonts w:ascii="Helvetica" w:eastAsia="Helvetica" w:hAnsi="Helvetica" w:cs="Helvetica"/>
          <w:sz w:val="18"/>
          <w:szCs w:val="18"/>
        </w:rPr>
        <w:t>ble or is not present in amounts sufficient to require submission of the schedule, or because the information required is included in the consolidated financial statements and accompanying notes.</w:t>
      </w:r>
    </w:p>
    <w:p w14:paraId="2A73A409" w14:textId="77777777" w:rsidR="00FA5565" w:rsidRDefault="00FA5565">
      <w:pPr>
        <w:rPr>
          <w:rFonts w:ascii="Times New Roman" w:hAnsi="Times New Roman"/>
          <w:sz w:val="20"/>
          <w:szCs w:val="20"/>
        </w:rPr>
      </w:pPr>
    </w:p>
    <w:p w14:paraId="2A73A40A"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28</w:t>
      </w:r>
    </w:p>
    <w:p w14:paraId="2A73A40B" w14:textId="77777777" w:rsidR="00FA5565" w:rsidRDefault="00D804D1">
      <w:r>
        <w:rPr>
          <w:rFonts w:ascii="Times New Roman" w:hAnsi="Times New Roman"/>
          <w:sz w:val="16"/>
          <w:szCs w:val="16"/>
        </w:rPr>
        <w:pict w14:anchorId="2A73C0B8">
          <v:rect id="_x0000_i1054" style="width:415.3pt;height:1.5pt" o:hralign="center" o:hrstd="t" o:hr="t" fillcolor="#a0a0a0" stroked="f"/>
        </w:pict>
      </w:r>
    </w:p>
    <w:p w14:paraId="2A73A40C" w14:textId="77777777" w:rsidR="00FA5565" w:rsidRDefault="00FA5565">
      <w:pPr>
        <w:rPr>
          <w:rFonts w:ascii="Times New Roman" w:hAnsi="Times New Roman"/>
          <w:sz w:val="20"/>
          <w:szCs w:val="20"/>
        </w:rPr>
      </w:pPr>
    </w:p>
    <w:p w14:paraId="2A73A40D"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2A73A40E"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CONSOLIDATED STATEMENTS OF OPERATIONS</w:t>
      </w:r>
    </w:p>
    <w:p w14:paraId="2A73A40F"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(In millions, except number of shares which are reflected in thousands and per share amounts)</w:t>
      </w:r>
    </w:p>
    <w:p w14:paraId="2A73A410" w14:textId="77777777" w:rsidR="00FA5565" w:rsidRDefault="00FA5565">
      <w:pPr>
        <w:spacing w:line="288" w:lineRule="auto"/>
        <w:jc w:val="both"/>
        <w:rPr>
          <w:rFonts w:ascii="Times New Roman" w:hAnsi="Times New Roman"/>
        </w:rPr>
      </w:pPr>
    </w:p>
    <w:tbl>
      <w:tblPr>
        <w:tblW w:w="5000" w:type="pct"/>
        <w:tblCellMar>
          <w:left w:w="0" w:type="dxa"/>
          <w:right w:w="0" w:type="dxa"/>
        </w:tblCellMar>
        <w:tblLook w:val="04A0" w:firstRow="1" w:lastRow="0" w:firstColumn="1" w:lastColumn="0" w:noHBand="0" w:noVBand="1"/>
      </w:tblPr>
      <w:tblGrid>
        <w:gridCol w:w="4371"/>
        <w:gridCol w:w="142"/>
        <w:gridCol w:w="993"/>
        <w:gridCol w:w="90"/>
        <w:gridCol w:w="130"/>
        <w:gridCol w:w="142"/>
        <w:gridCol w:w="993"/>
        <w:gridCol w:w="90"/>
        <w:gridCol w:w="130"/>
        <w:gridCol w:w="142"/>
        <w:gridCol w:w="993"/>
        <w:gridCol w:w="90"/>
      </w:tblGrid>
      <w:tr w:rsidR="00FA5565" w14:paraId="2A73A412" w14:textId="77777777">
        <w:tc>
          <w:tcPr>
            <w:tcW w:w="0" w:type="auto"/>
            <w:gridSpan w:val="12"/>
            <w:shd w:val="clear" w:color="auto" w:fill="auto"/>
            <w:vAlign w:val="center"/>
          </w:tcPr>
          <w:p w14:paraId="2A73A411" w14:textId="77777777" w:rsidR="00FA5565" w:rsidRDefault="00FA5565">
            <w:pPr>
              <w:rPr>
                <w:rFonts w:ascii="Times New Roman" w:hAnsi="Times New Roman"/>
                <w:sz w:val="20"/>
                <w:szCs w:val="20"/>
              </w:rPr>
            </w:pPr>
          </w:p>
        </w:tc>
      </w:tr>
      <w:tr w:rsidR="00FA5565" w14:paraId="2A73A41F" w14:textId="77777777">
        <w:tc>
          <w:tcPr>
            <w:tcW w:w="2950" w:type="pct"/>
            <w:shd w:val="clear" w:color="auto" w:fill="auto"/>
            <w:vAlign w:val="center"/>
          </w:tcPr>
          <w:p w14:paraId="2A73A413" w14:textId="77777777" w:rsidR="00FA5565" w:rsidRDefault="00FA5565">
            <w:pPr>
              <w:rPr>
                <w:rFonts w:ascii="Times New Roman" w:hAnsi="Times New Roman"/>
                <w:sz w:val="20"/>
                <w:szCs w:val="20"/>
              </w:rPr>
            </w:pPr>
          </w:p>
        </w:tc>
        <w:tc>
          <w:tcPr>
            <w:tcW w:w="50" w:type="pct"/>
            <w:shd w:val="clear" w:color="auto" w:fill="auto"/>
            <w:vAlign w:val="center"/>
          </w:tcPr>
          <w:p w14:paraId="2A73A414" w14:textId="77777777" w:rsidR="00FA5565" w:rsidRDefault="00FA5565">
            <w:pPr>
              <w:rPr>
                <w:rFonts w:ascii="Times New Roman" w:hAnsi="Times New Roman"/>
                <w:sz w:val="20"/>
                <w:szCs w:val="20"/>
              </w:rPr>
            </w:pPr>
          </w:p>
        </w:tc>
        <w:tc>
          <w:tcPr>
            <w:tcW w:w="550" w:type="pct"/>
            <w:shd w:val="clear" w:color="auto" w:fill="auto"/>
            <w:vAlign w:val="center"/>
          </w:tcPr>
          <w:p w14:paraId="2A73A415" w14:textId="77777777" w:rsidR="00FA5565" w:rsidRDefault="00FA5565">
            <w:pPr>
              <w:rPr>
                <w:rFonts w:ascii="Times New Roman" w:hAnsi="Times New Roman"/>
                <w:sz w:val="20"/>
                <w:szCs w:val="20"/>
              </w:rPr>
            </w:pPr>
          </w:p>
        </w:tc>
        <w:tc>
          <w:tcPr>
            <w:tcW w:w="50" w:type="pct"/>
            <w:shd w:val="clear" w:color="auto" w:fill="auto"/>
            <w:vAlign w:val="center"/>
          </w:tcPr>
          <w:p w14:paraId="2A73A416" w14:textId="77777777" w:rsidR="00FA5565" w:rsidRDefault="00FA5565">
            <w:pPr>
              <w:rPr>
                <w:rFonts w:ascii="Times New Roman" w:hAnsi="Times New Roman"/>
                <w:sz w:val="20"/>
                <w:szCs w:val="20"/>
              </w:rPr>
            </w:pPr>
          </w:p>
        </w:tc>
        <w:tc>
          <w:tcPr>
            <w:tcW w:w="50" w:type="pct"/>
            <w:shd w:val="clear" w:color="auto" w:fill="auto"/>
            <w:vAlign w:val="center"/>
          </w:tcPr>
          <w:p w14:paraId="2A73A417" w14:textId="77777777" w:rsidR="00FA5565" w:rsidRDefault="00FA5565">
            <w:pPr>
              <w:rPr>
                <w:rFonts w:ascii="Times New Roman" w:hAnsi="Times New Roman"/>
                <w:sz w:val="20"/>
                <w:szCs w:val="20"/>
              </w:rPr>
            </w:pPr>
          </w:p>
        </w:tc>
        <w:tc>
          <w:tcPr>
            <w:tcW w:w="50" w:type="pct"/>
            <w:shd w:val="clear" w:color="auto" w:fill="auto"/>
            <w:vAlign w:val="center"/>
          </w:tcPr>
          <w:p w14:paraId="2A73A418" w14:textId="77777777" w:rsidR="00FA5565" w:rsidRDefault="00FA5565">
            <w:pPr>
              <w:rPr>
                <w:rFonts w:ascii="Times New Roman" w:hAnsi="Times New Roman"/>
                <w:sz w:val="20"/>
                <w:szCs w:val="20"/>
              </w:rPr>
            </w:pPr>
          </w:p>
        </w:tc>
        <w:tc>
          <w:tcPr>
            <w:tcW w:w="550" w:type="pct"/>
            <w:shd w:val="clear" w:color="auto" w:fill="auto"/>
            <w:vAlign w:val="center"/>
          </w:tcPr>
          <w:p w14:paraId="2A73A419" w14:textId="77777777" w:rsidR="00FA5565" w:rsidRDefault="00FA5565">
            <w:pPr>
              <w:rPr>
                <w:rFonts w:ascii="Times New Roman" w:hAnsi="Times New Roman"/>
                <w:sz w:val="20"/>
                <w:szCs w:val="20"/>
              </w:rPr>
            </w:pPr>
          </w:p>
        </w:tc>
        <w:tc>
          <w:tcPr>
            <w:tcW w:w="50" w:type="pct"/>
            <w:shd w:val="clear" w:color="auto" w:fill="auto"/>
            <w:vAlign w:val="center"/>
          </w:tcPr>
          <w:p w14:paraId="2A73A41A" w14:textId="77777777" w:rsidR="00FA5565" w:rsidRDefault="00FA5565">
            <w:pPr>
              <w:rPr>
                <w:rFonts w:ascii="Times New Roman" w:hAnsi="Times New Roman"/>
                <w:sz w:val="20"/>
                <w:szCs w:val="20"/>
              </w:rPr>
            </w:pPr>
          </w:p>
        </w:tc>
        <w:tc>
          <w:tcPr>
            <w:tcW w:w="50" w:type="pct"/>
            <w:shd w:val="clear" w:color="auto" w:fill="auto"/>
            <w:vAlign w:val="center"/>
          </w:tcPr>
          <w:p w14:paraId="2A73A41B" w14:textId="77777777" w:rsidR="00FA5565" w:rsidRDefault="00FA5565">
            <w:pPr>
              <w:rPr>
                <w:rFonts w:ascii="Times New Roman" w:hAnsi="Times New Roman"/>
                <w:sz w:val="20"/>
                <w:szCs w:val="20"/>
              </w:rPr>
            </w:pPr>
          </w:p>
        </w:tc>
        <w:tc>
          <w:tcPr>
            <w:tcW w:w="50" w:type="pct"/>
            <w:shd w:val="clear" w:color="auto" w:fill="auto"/>
            <w:vAlign w:val="center"/>
          </w:tcPr>
          <w:p w14:paraId="2A73A41C" w14:textId="77777777" w:rsidR="00FA5565" w:rsidRDefault="00FA5565">
            <w:pPr>
              <w:rPr>
                <w:rFonts w:ascii="Times New Roman" w:hAnsi="Times New Roman"/>
                <w:sz w:val="20"/>
                <w:szCs w:val="20"/>
              </w:rPr>
            </w:pPr>
          </w:p>
        </w:tc>
        <w:tc>
          <w:tcPr>
            <w:tcW w:w="550" w:type="pct"/>
            <w:shd w:val="clear" w:color="auto" w:fill="auto"/>
            <w:vAlign w:val="center"/>
          </w:tcPr>
          <w:p w14:paraId="2A73A41D" w14:textId="77777777" w:rsidR="00FA5565" w:rsidRDefault="00FA5565">
            <w:pPr>
              <w:rPr>
                <w:rFonts w:ascii="Times New Roman" w:hAnsi="Times New Roman"/>
                <w:sz w:val="20"/>
                <w:szCs w:val="20"/>
              </w:rPr>
            </w:pPr>
          </w:p>
        </w:tc>
        <w:tc>
          <w:tcPr>
            <w:tcW w:w="50" w:type="pct"/>
            <w:shd w:val="clear" w:color="auto" w:fill="auto"/>
            <w:vAlign w:val="center"/>
          </w:tcPr>
          <w:p w14:paraId="2A73A41E" w14:textId="77777777" w:rsidR="00FA5565" w:rsidRDefault="00FA5565">
            <w:pPr>
              <w:rPr>
                <w:rFonts w:ascii="Times New Roman" w:hAnsi="Times New Roman"/>
                <w:sz w:val="20"/>
                <w:szCs w:val="20"/>
              </w:rPr>
            </w:pPr>
          </w:p>
        </w:tc>
      </w:tr>
      <w:tr w:rsidR="00FA5565" w14:paraId="2A73A422" w14:textId="77777777">
        <w:tc>
          <w:tcPr>
            <w:tcW w:w="0" w:type="auto"/>
            <w:shd w:val="clear" w:color="auto" w:fill="auto"/>
            <w:tcMar>
              <w:top w:w="40" w:type="dxa"/>
              <w:left w:w="40" w:type="dxa"/>
              <w:bottom w:w="40" w:type="dxa"/>
              <w:right w:w="40" w:type="dxa"/>
            </w:tcMar>
            <w:vAlign w:val="bottom"/>
          </w:tcPr>
          <w:p w14:paraId="2A73A4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2A73A42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Years ended</w:t>
            </w:r>
          </w:p>
        </w:tc>
      </w:tr>
      <w:tr w:rsidR="00FA5565" w14:paraId="2A73A429" w14:textId="77777777">
        <w:tc>
          <w:tcPr>
            <w:tcW w:w="0" w:type="auto"/>
            <w:shd w:val="clear" w:color="auto" w:fill="auto"/>
            <w:tcMar>
              <w:top w:w="40" w:type="dxa"/>
              <w:left w:w="40" w:type="dxa"/>
              <w:bottom w:w="40" w:type="dxa"/>
              <w:right w:w="40" w:type="dxa"/>
            </w:tcMar>
            <w:vAlign w:val="bottom"/>
          </w:tcPr>
          <w:p w14:paraId="2A73A4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A42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2A73A42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42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29, </w:t>
            </w:r>
            <w:r>
              <w:rPr>
                <w:rFonts w:ascii="Helvetica" w:eastAsia="Helvetica" w:hAnsi="Helvetica" w:cs="Helvetica"/>
                <w:b/>
                <w:bCs/>
                <w:sz w:val="16"/>
                <w:szCs w:val="16"/>
              </w:rPr>
              <w:br/>
              <w:t>2018</w:t>
            </w:r>
          </w:p>
        </w:tc>
        <w:tc>
          <w:tcPr>
            <w:tcW w:w="0" w:type="auto"/>
            <w:shd w:val="clear" w:color="auto" w:fill="auto"/>
            <w:tcMar>
              <w:top w:w="40" w:type="dxa"/>
              <w:left w:w="40" w:type="dxa"/>
              <w:bottom w:w="40" w:type="dxa"/>
              <w:right w:w="40" w:type="dxa"/>
            </w:tcMar>
            <w:vAlign w:val="bottom"/>
          </w:tcPr>
          <w:p w14:paraId="2A73A42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42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30, </w:t>
            </w:r>
            <w:r>
              <w:rPr>
                <w:rFonts w:ascii="Helvetica" w:eastAsia="Helvetica" w:hAnsi="Helvetica" w:cs="Helvetica"/>
                <w:b/>
                <w:bCs/>
                <w:sz w:val="16"/>
                <w:szCs w:val="16"/>
              </w:rPr>
              <w:br/>
              <w:t>2017</w:t>
            </w:r>
          </w:p>
        </w:tc>
      </w:tr>
      <w:tr w:rsidR="00FA5565" w14:paraId="2A73A430" w14:textId="77777777">
        <w:tc>
          <w:tcPr>
            <w:tcW w:w="0" w:type="auto"/>
            <w:shd w:val="clear" w:color="auto" w:fill="auto"/>
            <w:tcMar>
              <w:top w:w="40" w:type="dxa"/>
              <w:left w:w="40" w:type="dxa"/>
              <w:bottom w:w="40" w:type="dxa"/>
              <w:right w:w="40" w:type="dxa"/>
            </w:tcMar>
            <w:vAlign w:val="bottom"/>
          </w:tcPr>
          <w:p w14:paraId="2A73A42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Net sales: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2A73A42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4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2A73A42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4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2A73A42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43D" w14:textId="77777777">
        <w:tc>
          <w:tcPr>
            <w:tcW w:w="0" w:type="auto"/>
            <w:shd w:val="clear" w:color="auto" w:fill="EFEFEF"/>
            <w:tcMar>
              <w:top w:w="40" w:type="dxa"/>
              <w:left w:w="40" w:type="dxa"/>
              <w:bottom w:w="40" w:type="dxa"/>
              <w:right w:w="40" w:type="dxa"/>
            </w:tcMar>
            <w:vAlign w:val="bottom"/>
          </w:tcPr>
          <w:p w14:paraId="2A73A43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Products</w:t>
            </w:r>
          </w:p>
        </w:tc>
        <w:tc>
          <w:tcPr>
            <w:tcW w:w="0" w:type="auto"/>
            <w:shd w:val="clear" w:color="auto" w:fill="EFEFEF"/>
            <w:tcMar>
              <w:top w:w="40" w:type="dxa"/>
              <w:left w:w="40" w:type="dxa"/>
              <w:bottom w:w="40" w:type="dxa"/>
            </w:tcMar>
            <w:vAlign w:val="bottom"/>
          </w:tcPr>
          <w:p w14:paraId="2A73A43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43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213,883</w:t>
            </w:r>
          </w:p>
        </w:tc>
        <w:tc>
          <w:tcPr>
            <w:tcW w:w="0" w:type="auto"/>
            <w:shd w:val="clear" w:color="auto" w:fill="EFEFEF"/>
            <w:vAlign w:val="bottom"/>
          </w:tcPr>
          <w:p w14:paraId="2A73A43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43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43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225,847</w:t>
            </w:r>
          </w:p>
        </w:tc>
        <w:tc>
          <w:tcPr>
            <w:tcW w:w="0" w:type="auto"/>
            <w:shd w:val="clear" w:color="auto" w:fill="EFEFEF"/>
            <w:vAlign w:val="bottom"/>
          </w:tcPr>
          <w:p w14:paraId="2A73A43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43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43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196,534</w:t>
            </w:r>
          </w:p>
        </w:tc>
        <w:tc>
          <w:tcPr>
            <w:tcW w:w="0" w:type="auto"/>
            <w:shd w:val="clear" w:color="auto" w:fill="EFEFEF"/>
            <w:vAlign w:val="bottom"/>
          </w:tcPr>
          <w:p w14:paraId="2A73A43C" w14:textId="77777777" w:rsidR="00FA5565" w:rsidRDefault="00FA5565">
            <w:pPr>
              <w:textAlignment w:val="bottom"/>
              <w:rPr>
                <w:rFonts w:ascii="Times New Roman" w:hAnsi="Times New Roman"/>
                <w:sz w:val="20"/>
                <w:szCs w:val="20"/>
              </w:rPr>
            </w:pPr>
          </w:p>
        </w:tc>
      </w:tr>
      <w:tr w:rsidR="00FA5565" w14:paraId="2A73A447" w14:textId="77777777">
        <w:tc>
          <w:tcPr>
            <w:tcW w:w="0" w:type="auto"/>
            <w:shd w:val="clear" w:color="auto" w:fill="auto"/>
            <w:tcMar>
              <w:top w:w="40" w:type="dxa"/>
              <w:left w:w="40" w:type="dxa"/>
              <w:bottom w:w="40" w:type="dxa"/>
              <w:right w:w="40" w:type="dxa"/>
            </w:tcMar>
            <w:vAlign w:val="bottom"/>
          </w:tcPr>
          <w:p w14:paraId="2A73A43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Services</w:t>
            </w:r>
          </w:p>
        </w:tc>
        <w:tc>
          <w:tcPr>
            <w:tcW w:w="0" w:type="auto"/>
            <w:gridSpan w:val="2"/>
            <w:tcBorders>
              <w:bottom w:val="single" w:sz="8" w:space="0" w:color="000000"/>
            </w:tcBorders>
            <w:shd w:val="clear" w:color="auto" w:fill="auto"/>
            <w:tcMar>
              <w:top w:w="40" w:type="dxa"/>
              <w:left w:w="40" w:type="dxa"/>
              <w:bottom w:w="40" w:type="dxa"/>
            </w:tcMar>
            <w:vAlign w:val="bottom"/>
          </w:tcPr>
          <w:p w14:paraId="2A73A43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46,291</w:t>
            </w:r>
          </w:p>
        </w:tc>
        <w:tc>
          <w:tcPr>
            <w:tcW w:w="0" w:type="auto"/>
            <w:tcBorders>
              <w:bottom w:val="single" w:sz="8" w:space="0" w:color="000000"/>
            </w:tcBorders>
            <w:shd w:val="clear" w:color="auto" w:fill="auto"/>
            <w:vAlign w:val="bottom"/>
          </w:tcPr>
          <w:p w14:paraId="2A73A44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4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44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39,748</w:t>
            </w:r>
          </w:p>
        </w:tc>
        <w:tc>
          <w:tcPr>
            <w:tcW w:w="0" w:type="auto"/>
            <w:tcBorders>
              <w:bottom w:val="single" w:sz="8" w:space="0" w:color="000000"/>
            </w:tcBorders>
            <w:shd w:val="clear" w:color="auto" w:fill="auto"/>
            <w:vAlign w:val="bottom"/>
          </w:tcPr>
          <w:p w14:paraId="2A73A44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4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44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32,700</w:t>
            </w:r>
          </w:p>
        </w:tc>
        <w:tc>
          <w:tcPr>
            <w:tcW w:w="0" w:type="auto"/>
            <w:tcBorders>
              <w:bottom w:val="single" w:sz="8" w:space="0" w:color="000000"/>
            </w:tcBorders>
            <w:shd w:val="clear" w:color="auto" w:fill="auto"/>
            <w:vAlign w:val="bottom"/>
          </w:tcPr>
          <w:p w14:paraId="2A73A446" w14:textId="77777777" w:rsidR="00FA5565" w:rsidRDefault="00FA5565">
            <w:pPr>
              <w:textAlignment w:val="bottom"/>
              <w:rPr>
                <w:rFonts w:ascii="Times New Roman" w:hAnsi="Times New Roman"/>
                <w:sz w:val="20"/>
                <w:szCs w:val="20"/>
              </w:rPr>
            </w:pPr>
          </w:p>
        </w:tc>
      </w:tr>
      <w:tr w:rsidR="00FA5565" w14:paraId="2A73A451" w14:textId="77777777">
        <w:tc>
          <w:tcPr>
            <w:tcW w:w="0" w:type="auto"/>
            <w:shd w:val="clear" w:color="auto" w:fill="EFEFEF"/>
            <w:tcMar>
              <w:top w:w="40" w:type="dxa"/>
              <w:left w:w="560" w:type="dxa"/>
              <w:bottom w:w="40" w:type="dxa"/>
              <w:right w:w="40" w:type="dxa"/>
            </w:tcMar>
            <w:vAlign w:val="bottom"/>
          </w:tcPr>
          <w:p w14:paraId="2A73A44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Total net sales</w:t>
            </w:r>
          </w:p>
        </w:tc>
        <w:tc>
          <w:tcPr>
            <w:tcW w:w="0" w:type="auto"/>
            <w:gridSpan w:val="2"/>
            <w:tcBorders>
              <w:top w:val="single" w:sz="8" w:space="0" w:color="000000"/>
            </w:tcBorders>
            <w:shd w:val="clear" w:color="auto" w:fill="EFEFEF"/>
            <w:tcMar>
              <w:top w:w="40" w:type="dxa"/>
              <w:left w:w="40" w:type="dxa"/>
              <w:bottom w:w="40" w:type="dxa"/>
            </w:tcMar>
            <w:vAlign w:val="bottom"/>
          </w:tcPr>
          <w:p w14:paraId="2A73A44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260,174</w:t>
            </w:r>
          </w:p>
        </w:tc>
        <w:tc>
          <w:tcPr>
            <w:tcW w:w="0" w:type="auto"/>
            <w:tcBorders>
              <w:top w:val="single" w:sz="8" w:space="0" w:color="000000"/>
            </w:tcBorders>
            <w:shd w:val="clear" w:color="auto" w:fill="EFEFEF"/>
            <w:vAlign w:val="bottom"/>
          </w:tcPr>
          <w:p w14:paraId="2A73A44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2A73A44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265,595</w:t>
            </w:r>
          </w:p>
        </w:tc>
        <w:tc>
          <w:tcPr>
            <w:tcW w:w="0" w:type="auto"/>
            <w:tcBorders>
              <w:top w:val="single" w:sz="8" w:space="0" w:color="000000"/>
            </w:tcBorders>
            <w:shd w:val="clear" w:color="auto" w:fill="EFEFEF"/>
            <w:vAlign w:val="bottom"/>
          </w:tcPr>
          <w:p w14:paraId="2A73A44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2A73A44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229,234</w:t>
            </w:r>
          </w:p>
        </w:tc>
        <w:tc>
          <w:tcPr>
            <w:tcW w:w="0" w:type="auto"/>
            <w:tcBorders>
              <w:top w:val="single" w:sz="8" w:space="0" w:color="000000"/>
            </w:tcBorders>
            <w:shd w:val="clear" w:color="auto" w:fill="EFEFEF"/>
            <w:vAlign w:val="bottom"/>
          </w:tcPr>
          <w:p w14:paraId="2A73A450" w14:textId="77777777" w:rsidR="00FA5565" w:rsidRDefault="00FA5565">
            <w:pPr>
              <w:textAlignment w:val="bottom"/>
              <w:rPr>
                <w:rFonts w:ascii="Times New Roman" w:hAnsi="Times New Roman"/>
                <w:sz w:val="20"/>
                <w:szCs w:val="20"/>
              </w:rPr>
            </w:pPr>
          </w:p>
        </w:tc>
      </w:tr>
      <w:tr w:rsidR="00FA5565" w14:paraId="2A73A458" w14:textId="77777777">
        <w:tc>
          <w:tcPr>
            <w:tcW w:w="0" w:type="auto"/>
            <w:shd w:val="clear" w:color="auto" w:fill="auto"/>
            <w:tcMar>
              <w:top w:w="40" w:type="dxa"/>
              <w:left w:w="40" w:type="dxa"/>
              <w:bottom w:w="40" w:type="dxa"/>
              <w:right w:w="40" w:type="dxa"/>
            </w:tcMar>
            <w:vAlign w:val="bottom"/>
          </w:tcPr>
          <w:p w14:paraId="2A73A4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45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45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45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4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4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45F" w14:textId="77777777">
        <w:tc>
          <w:tcPr>
            <w:tcW w:w="0" w:type="auto"/>
            <w:shd w:val="clear" w:color="auto" w:fill="EFEFEF"/>
            <w:tcMar>
              <w:top w:w="40" w:type="dxa"/>
              <w:left w:w="40" w:type="dxa"/>
              <w:bottom w:w="40" w:type="dxa"/>
              <w:right w:w="40" w:type="dxa"/>
            </w:tcMar>
            <w:vAlign w:val="bottom"/>
          </w:tcPr>
          <w:p w14:paraId="2A73A45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Cost of sales:</w:t>
            </w:r>
          </w:p>
        </w:tc>
        <w:tc>
          <w:tcPr>
            <w:tcW w:w="0" w:type="auto"/>
            <w:gridSpan w:val="3"/>
            <w:shd w:val="clear" w:color="auto" w:fill="EFEFEF"/>
            <w:tcMar>
              <w:top w:w="40" w:type="dxa"/>
              <w:left w:w="40" w:type="dxa"/>
              <w:bottom w:w="40" w:type="dxa"/>
              <w:right w:w="40" w:type="dxa"/>
            </w:tcMar>
            <w:vAlign w:val="bottom"/>
          </w:tcPr>
          <w:p w14:paraId="2A73A45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45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45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4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4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469" w14:textId="77777777">
        <w:tc>
          <w:tcPr>
            <w:tcW w:w="0" w:type="auto"/>
            <w:shd w:val="clear" w:color="auto" w:fill="auto"/>
            <w:tcMar>
              <w:top w:w="40" w:type="dxa"/>
              <w:left w:w="40" w:type="dxa"/>
              <w:bottom w:w="40" w:type="dxa"/>
              <w:right w:w="40" w:type="dxa"/>
            </w:tcMar>
            <w:vAlign w:val="bottom"/>
          </w:tcPr>
          <w:p w14:paraId="2A73A46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Products</w:t>
            </w:r>
          </w:p>
        </w:tc>
        <w:tc>
          <w:tcPr>
            <w:tcW w:w="0" w:type="auto"/>
            <w:gridSpan w:val="2"/>
            <w:shd w:val="clear" w:color="auto" w:fill="auto"/>
            <w:tcMar>
              <w:top w:w="40" w:type="dxa"/>
              <w:left w:w="40" w:type="dxa"/>
              <w:bottom w:w="40" w:type="dxa"/>
            </w:tcMar>
            <w:vAlign w:val="bottom"/>
          </w:tcPr>
          <w:p w14:paraId="2A73A46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144,996</w:t>
            </w:r>
          </w:p>
        </w:tc>
        <w:tc>
          <w:tcPr>
            <w:tcW w:w="0" w:type="auto"/>
            <w:shd w:val="clear" w:color="auto" w:fill="auto"/>
            <w:vAlign w:val="bottom"/>
          </w:tcPr>
          <w:p w14:paraId="2A73A46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6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46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148,164</w:t>
            </w:r>
          </w:p>
        </w:tc>
        <w:tc>
          <w:tcPr>
            <w:tcW w:w="0" w:type="auto"/>
            <w:shd w:val="clear" w:color="auto" w:fill="auto"/>
            <w:vAlign w:val="bottom"/>
          </w:tcPr>
          <w:p w14:paraId="2A73A46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6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46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126,337</w:t>
            </w:r>
          </w:p>
        </w:tc>
        <w:tc>
          <w:tcPr>
            <w:tcW w:w="0" w:type="auto"/>
            <w:shd w:val="clear" w:color="auto" w:fill="auto"/>
            <w:vAlign w:val="bottom"/>
          </w:tcPr>
          <w:p w14:paraId="2A73A468" w14:textId="77777777" w:rsidR="00FA5565" w:rsidRDefault="00FA5565">
            <w:pPr>
              <w:textAlignment w:val="bottom"/>
              <w:rPr>
                <w:rFonts w:ascii="Times New Roman" w:hAnsi="Times New Roman"/>
                <w:sz w:val="20"/>
                <w:szCs w:val="20"/>
              </w:rPr>
            </w:pPr>
          </w:p>
        </w:tc>
      </w:tr>
      <w:tr w:rsidR="00FA5565" w14:paraId="2A73A473" w14:textId="77777777">
        <w:tc>
          <w:tcPr>
            <w:tcW w:w="0" w:type="auto"/>
            <w:shd w:val="clear" w:color="auto" w:fill="EFEFEF"/>
            <w:tcMar>
              <w:top w:w="40" w:type="dxa"/>
              <w:left w:w="40" w:type="dxa"/>
              <w:bottom w:w="40" w:type="dxa"/>
              <w:right w:w="40" w:type="dxa"/>
            </w:tcMar>
            <w:vAlign w:val="bottom"/>
          </w:tcPr>
          <w:p w14:paraId="2A73A46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Services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6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16,786</w:t>
            </w:r>
          </w:p>
        </w:tc>
        <w:tc>
          <w:tcPr>
            <w:tcW w:w="0" w:type="auto"/>
            <w:tcBorders>
              <w:bottom w:val="single" w:sz="8" w:space="0" w:color="000000"/>
            </w:tcBorders>
            <w:shd w:val="clear" w:color="auto" w:fill="EFEFEF"/>
            <w:vAlign w:val="bottom"/>
          </w:tcPr>
          <w:p w14:paraId="2A73A46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6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15,592</w:t>
            </w:r>
          </w:p>
        </w:tc>
        <w:tc>
          <w:tcPr>
            <w:tcW w:w="0" w:type="auto"/>
            <w:tcBorders>
              <w:bottom w:val="single" w:sz="8" w:space="0" w:color="000000"/>
            </w:tcBorders>
            <w:shd w:val="clear" w:color="auto" w:fill="EFEFEF"/>
            <w:vAlign w:val="bottom"/>
          </w:tcPr>
          <w:p w14:paraId="2A73A46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7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7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14,711</w:t>
            </w:r>
          </w:p>
        </w:tc>
        <w:tc>
          <w:tcPr>
            <w:tcW w:w="0" w:type="auto"/>
            <w:tcBorders>
              <w:bottom w:val="single" w:sz="8" w:space="0" w:color="000000"/>
            </w:tcBorders>
            <w:shd w:val="clear" w:color="auto" w:fill="EFEFEF"/>
            <w:vAlign w:val="bottom"/>
          </w:tcPr>
          <w:p w14:paraId="2A73A472" w14:textId="77777777" w:rsidR="00FA5565" w:rsidRDefault="00FA5565">
            <w:pPr>
              <w:textAlignment w:val="bottom"/>
              <w:rPr>
                <w:rFonts w:ascii="Times New Roman" w:hAnsi="Times New Roman"/>
                <w:sz w:val="20"/>
                <w:szCs w:val="20"/>
              </w:rPr>
            </w:pPr>
          </w:p>
        </w:tc>
      </w:tr>
      <w:tr w:rsidR="00FA5565" w14:paraId="2A73A47D" w14:textId="77777777">
        <w:tc>
          <w:tcPr>
            <w:tcW w:w="0" w:type="auto"/>
            <w:shd w:val="clear" w:color="auto" w:fill="auto"/>
            <w:tcMar>
              <w:top w:w="40" w:type="dxa"/>
              <w:left w:w="560" w:type="dxa"/>
              <w:bottom w:w="40" w:type="dxa"/>
              <w:right w:w="40" w:type="dxa"/>
            </w:tcMar>
            <w:vAlign w:val="bottom"/>
          </w:tcPr>
          <w:p w14:paraId="2A73A47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Total cost of sales</w:t>
            </w:r>
          </w:p>
        </w:tc>
        <w:tc>
          <w:tcPr>
            <w:tcW w:w="0" w:type="auto"/>
            <w:gridSpan w:val="2"/>
            <w:tcBorders>
              <w:bottom w:val="single" w:sz="8" w:space="0" w:color="000000"/>
            </w:tcBorders>
            <w:shd w:val="clear" w:color="auto" w:fill="auto"/>
            <w:tcMar>
              <w:top w:w="40" w:type="dxa"/>
              <w:left w:w="40" w:type="dxa"/>
              <w:bottom w:w="40" w:type="dxa"/>
            </w:tcMar>
            <w:vAlign w:val="bottom"/>
          </w:tcPr>
          <w:p w14:paraId="2A73A47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161,782</w:t>
            </w:r>
          </w:p>
        </w:tc>
        <w:tc>
          <w:tcPr>
            <w:tcW w:w="0" w:type="auto"/>
            <w:tcBorders>
              <w:bottom w:val="single" w:sz="8" w:space="0" w:color="000000"/>
            </w:tcBorders>
            <w:shd w:val="clear" w:color="auto" w:fill="auto"/>
            <w:vAlign w:val="bottom"/>
          </w:tcPr>
          <w:p w14:paraId="2A73A47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47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163,756</w:t>
            </w:r>
          </w:p>
        </w:tc>
        <w:tc>
          <w:tcPr>
            <w:tcW w:w="0" w:type="auto"/>
            <w:tcBorders>
              <w:bottom w:val="single" w:sz="8" w:space="0" w:color="000000"/>
            </w:tcBorders>
            <w:shd w:val="clear" w:color="auto" w:fill="auto"/>
            <w:vAlign w:val="bottom"/>
          </w:tcPr>
          <w:p w14:paraId="2A73A47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7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47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141,048</w:t>
            </w:r>
          </w:p>
        </w:tc>
        <w:tc>
          <w:tcPr>
            <w:tcW w:w="0" w:type="auto"/>
            <w:tcBorders>
              <w:bottom w:val="single" w:sz="8" w:space="0" w:color="000000"/>
            </w:tcBorders>
            <w:shd w:val="clear" w:color="auto" w:fill="auto"/>
            <w:vAlign w:val="bottom"/>
          </w:tcPr>
          <w:p w14:paraId="2A73A47C" w14:textId="77777777" w:rsidR="00FA5565" w:rsidRDefault="00FA5565">
            <w:pPr>
              <w:textAlignment w:val="bottom"/>
              <w:rPr>
                <w:rFonts w:ascii="Times New Roman" w:hAnsi="Times New Roman"/>
                <w:sz w:val="20"/>
                <w:szCs w:val="20"/>
              </w:rPr>
            </w:pPr>
          </w:p>
        </w:tc>
      </w:tr>
      <w:tr w:rsidR="00FA5565" w14:paraId="2A73A487" w14:textId="77777777">
        <w:tc>
          <w:tcPr>
            <w:tcW w:w="0" w:type="auto"/>
            <w:shd w:val="clear" w:color="auto" w:fill="EFEFEF"/>
            <w:tcMar>
              <w:top w:w="40" w:type="dxa"/>
              <w:left w:w="1040" w:type="dxa"/>
              <w:bottom w:w="40" w:type="dxa"/>
              <w:right w:w="40" w:type="dxa"/>
            </w:tcMar>
            <w:vAlign w:val="bottom"/>
          </w:tcPr>
          <w:p w14:paraId="2A73A47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Gross margin</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7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98,392</w:t>
            </w:r>
          </w:p>
        </w:tc>
        <w:tc>
          <w:tcPr>
            <w:tcW w:w="0" w:type="auto"/>
            <w:tcBorders>
              <w:bottom w:val="single" w:sz="8" w:space="0" w:color="000000"/>
            </w:tcBorders>
            <w:shd w:val="clear" w:color="auto" w:fill="EFEFEF"/>
            <w:vAlign w:val="bottom"/>
          </w:tcPr>
          <w:p w14:paraId="2A73A48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81"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EFEFEF"/>
            <w:tcMar>
              <w:top w:w="40" w:type="dxa"/>
              <w:left w:w="40" w:type="dxa"/>
              <w:bottom w:w="40" w:type="dxa"/>
            </w:tcMar>
            <w:vAlign w:val="bottom"/>
          </w:tcPr>
          <w:p w14:paraId="2A73A48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101,839</w:t>
            </w:r>
          </w:p>
        </w:tc>
        <w:tc>
          <w:tcPr>
            <w:tcW w:w="0" w:type="auto"/>
            <w:tcBorders>
              <w:bottom w:val="single" w:sz="8" w:space="0" w:color="000000"/>
            </w:tcBorders>
            <w:shd w:val="clear" w:color="auto" w:fill="EFEFEF"/>
            <w:vAlign w:val="bottom"/>
          </w:tcPr>
          <w:p w14:paraId="2A73A48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84"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EFEFEF"/>
            <w:tcMar>
              <w:top w:w="40" w:type="dxa"/>
              <w:left w:w="40" w:type="dxa"/>
              <w:bottom w:w="40" w:type="dxa"/>
            </w:tcMar>
            <w:vAlign w:val="bottom"/>
          </w:tcPr>
          <w:p w14:paraId="2A73A48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88,186</w:t>
            </w:r>
          </w:p>
        </w:tc>
        <w:tc>
          <w:tcPr>
            <w:tcW w:w="0" w:type="auto"/>
            <w:tcBorders>
              <w:bottom w:val="single" w:sz="8" w:space="0" w:color="000000"/>
            </w:tcBorders>
            <w:shd w:val="clear" w:color="auto" w:fill="EFEFEF"/>
            <w:vAlign w:val="bottom"/>
          </w:tcPr>
          <w:p w14:paraId="2A73A486" w14:textId="77777777" w:rsidR="00FA5565" w:rsidRDefault="00FA5565">
            <w:pPr>
              <w:textAlignment w:val="bottom"/>
              <w:rPr>
                <w:rFonts w:ascii="Times New Roman" w:hAnsi="Times New Roman"/>
                <w:sz w:val="20"/>
                <w:szCs w:val="20"/>
              </w:rPr>
            </w:pPr>
          </w:p>
        </w:tc>
      </w:tr>
      <w:tr w:rsidR="00FA5565" w14:paraId="2A73A48E" w14:textId="77777777">
        <w:tc>
          <w:tcPr>
            <w:tcW w:w="0" w:type="auto"/>
            <w:shd w:val="clear" w:color="auto" w:fill="auto"/>
            <w:tcMar>
              <w:top w:w="40" w:type="dxa"/>
              <w:left w:w="40" w:type="dxa"/>
              <w:bottom w:w="40" w:type="dxa"/>
              <w:right w:w="40" w:type="dxa"/>
            </w:tcMar>
            <w:vAlign w:val="bottom"/>
          </w:tcPr>
          <w:p w14:paraId="2A73A4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4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48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4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4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4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495" w14:textId="77777777">
        <w:tc>
          <w:tcPr>
            <w:tcW w:w="0" w:type="auto"/>
            <w:shd w:val="clear" w:color="auto" w:fill="EFEFEF"/>
            <w:tcMar>
              <w:top w:w="40" w:type="dxa"/>
              <w:left w:w="40" w:type="dxa"/>
              <w:bottom w:w="40" w:type="dxa"/>
              <w:right w:w="40" w:type="dxa"/>
            </w:tcMar>
          </w:tcPr>
          <w:p w14:paraId="2A73A48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Operating expenses:</w:t>
            </w:r>
          </w:p>
        </w:tc>
        <w:tc>
          <w:tcPr>
            <w:tcW w:w="0" w:type="auto"/>
            <w:gridSpan w:val="3"/>
            <w:shd w:val="clear" w:color="auto" w:fill="EFEFEF"/>
            <w:tcMar>
              <w:top w:w="40" w:type="dxa"/>
              <w:left w:w="40" w:type="dxa"/>
              <w:bottom w:w="40" w:type="dxa"/>
              <w:right w:w="40" w:type="dxa"/>
            </w:tcMar>
            <w:vAlign w:val="bottom"/>
          </w:tcPr>
          <w:p w14:paraId="2A73A4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4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49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49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49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49F" w14:textId="77777777">
        <w:tc>
          <w:tcPr>
            <w:tcW w:w="0" w:type="auto"/>
            <w:shd w:val="clear" w:color="auto" w:fill="auto"/>
            <w:tcMar>
              <w:top w:w="40" w:type="dxa"/>
              <w:left w:w="560" w:type="dxa"/>
              <w:bottom w:w="40" w:type="dxa"/>
              <w:right w:w="40" w:type="dxa"/>
            </w:tcMar>
          </w:tcPr>
          <w:p w14:paraId="2A73A49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Research and development</w:t>
            </w:r>
          </w:p>
        </w:tc>
        <w:tc>
          <w:tcPr>
            <w:tcW w:w="0" w:type="auto"/>
            <w:gridSpan w:val="2"/>
            <w:shd w:val="clear" w:color="auto" w:fill="auto"/>
            <w:tcMar>
              <w:top w:w="40" w:type="dxa"/>
              <w:left w:w="40" w:type="dxa"/>
              <w:bottom w:w="40" w:type="dxa"/>
            </w:tcMar>
            <w:vAlign w:val="bottom"/>
          </w:tcPr>
          <w:p w14:paraId="2A73A49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16,217</w:t>
            </w:r>
          </w:p>
        </w:tc>
        <w:tc>
          <w:tcPr>
            <w:tcW w:w="0" w:type="auto"/>
            <w:shd w:val="clear" w:color="auto" w:fill="auto"/>
            <w:vAlign w:val="bottom"/>
          </w:tcPr>
          <w:p w14:paraId="2A73A49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49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14,236</w:t>
            </w:r>
          </w:p>
        </w:tc>
        <w:tc>
          <w:tcPr>
            <w:tcW w:w="0" w:type="auto"/>
            <w:shd w:val="clear" w:color="auto" w:fill="auto"/>
            <w:vAlign w:val="bottom"/>
          </w:tcPr>
          <w:p w14:paraId="2A73A49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49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11,581</w:t>
            </w:r>
          </w:p>
        </w:tc>
        <w:tc>
          <w:tcPr>
            <w:tcW w:w="0" w:type="auto"/>
            <w:shd w:val="clear" w:color="auto" w:fill="auto"/>
            <w:vAlign w:val="bottom"/>
          </w:tcPr>
          <w:p w14:paraId="2A73A49E" w14:textId="77777777" w:rsidR="00FA5565" w:rsidRDefault="00FA5565">
            <w:pPr>
              <w:textAlignment w:val="bottom"/>
              <w:rPr>
                <w:rFonts w:ascii="Times New Roman" w:hAnsi="Times New Roman"/>
                <w:sz w:val="20"/>
                <w:szCs w:val="20"/>
              </w:rPr>
            </w:pPr>
          </w:p>
        </w:tc>
      </w:tr>
      <w:tr w:rsidR="00FA5565" w14:paraId="2A73A4A9" w14:textId="77777777">
        <w:tc>
          <w:tcPr>
            <w:tcW w:w="0" w:type="auto"/>
            <w:shd w:val="clear" w:color="auto" w:fill="EFEFEF"/>
            <w:tcMar>
              <w:top w:w="40" w:type="dxa"/>
              <w:left w:w="560" w:type="dxa"/>
              <w:bottom w:w="40" w:type="dxa"/>
              <w:right w:w="40" w:type="dxa"/>
            </w:tcMar>
          </w:tcPr>
          <w:p w14:paraId="2A73A4A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Selling, general and administrative</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A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18,245</w:t>
            </w:r>
          </w:p>
        </w:tc>
        <w:tc>
          <w:tcPr>
            <w:tcW w:w="0" w:type="auto"/>
            <w:tcBorders>
              <w:bottom w:val="single" w:sz="8" w:space="0" w:color="000000"/>
            </w:tcBorders>
            <w:shd w:val="clear" w:color="auto" w:fill="EFEFEF"/>
            <w:vAlign w:val="bottom"/>
          </w:tcPr>
          <w:p w14:paraId="2A73A4A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A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A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16,705</w:t>
            </w:r>
          </w:p>
        </w:tc>
        <w:tc>
          <w:tcPr>
            <w:tcW w:w="0" w:type="auto"/>
            <w:tcBorders>
              <w:bottom w:val="single" w:sz="8" w:space="0" w:color="000000"/>
            </w:tcBorders>
            <w:shd w:val="clear" w:color="auto" w:fill="EFEFEF"/>
            <w:vAlign w:val="bottom"/>
          </w:tcPr>
          <w:p w14:paraId="2A73A4A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A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A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15,261</w:t>
            </w:r>
          </w:p>
        </w:tc>
        <w:tc>
          <w:tcPr>
            <w:tcW w:w="0" w:type="auto"/>
            <w:tcBorders>
              <w:bottom w:val="single" w:sz="8" w:space="0" w:color="000000"/>
            </w:tcBorders>
            <w:shd w:val="clear" w:color="auto" w:fill="EFEFEF"/>
            <w:vAlign w:val="bottom"/>
          </w:tcPr>
          <w:p w14:paraId="2A73A4A8" w14:textId="77777777" w:rsidR="00FA5565" w:rsidRDefault="00FA5565">
            <w:pPr>
              <w:textAlignment w:val="bottom"/>
              <w:rPr>
                <w:rFonts w:ascii="Times New Roman" w:hAnsi="Times New Roman"/>
                <w:sz w:val="20"/>
                <w:szCs w:val="20"/>
              </w:rPr>
            </w:pPr>
          </w:p>
        </w:tc>
      </w:tr>
      <w:tr w:rsidR="00FA5565" w14:paraId="2A73A4B3" w14:textId="77777777">
        <w:tc>
          <w:tcPr>
            <w:tcW w:w="0" w:type="auto"/>
            <w:shd w:val="clear" w:color="auto" w:fill="auto"/>
            <w:tcMar>
              <w:top w:w="40" w:type="dxa"/>
              <w:left w:w="1040" w:type="dxa"/>
              <w:bottom w:w="40" w:type="dxa"/>
              <w:right w:w="40" w:type="dxa"/>
            </w:tcMar>
          </w:tcPr>
          <w:p w14:paraId="2A73A4A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operating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2A73A4A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34,462</w:t>
            </w:r>
          </w:p>
        </w:tc>
        <w:tc>
          <w:tcPr>
            <w:tcW w:w="0" w:type="auto"/>
            <w:tcBorders>
              <w:bottom w:val="single" w:sz="8" w:space="0" w:color="000000"/>
            </w:tcBorders>
            <w:shd w:val="clear" w:color="auto" w:fill="auto"/>
            <w:vAlign w:val="bottom"/>
          </w:tcPr>
          <w:p w14:paraId="2A73A4A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AD"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auto"/>
            <w:tcMar>
              <w:top w:w="40" w:type="dxa"/>
              <w:left w:w="40" w:type="dxa"/>
              <w:bottom w:w="40" w:type="dxa"/>
            </w:tcMar>
            <w:vAlign w:val="bottom"/>
          </w:tcPr>
          <w:p w14:paraId="2A73A4A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30,941</w:t>
            </w:r>
          </w:p>
        </w:tc>
        <w:tc>
          <w:tcPr>
            <w:tcW w:w="0" w:type="auto"/>
            <w:tcBorders>
              <w:bottom w:val="single" w:sz="8" w:space="0" w:color="000000"/>
            </w:tcBorders>
            <w:shd w:val="clear" w:color="auto" w:fill="auto"/>
            <w:vAlign w:val="bottom"/>
          </w:tcPr>
          <w:p w14:paraId="2A73A4A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B0"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auto"/>
            <w:tcMar>
              <w:top w:w="40" w:type="dxa"/>
              <w:left w:w="40" w:type="dxa"/>
              <w:bottom w:w="40" w:type="dxa"/>
            </w:tcMar>
            <w:vAlign w:val="bottom"/>
          </w:tcPr>
          <w:p w14:paraId="2A73A4B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26,842</w:t>
            </w:r>
          </w:p>
        </w:tc>
        <w:tc>
          <w:tcPr>
            <w:tcW w:w="0" w:type="auto"/>
            <w:tcBorders>
              <w:bottom w:val="single" w:sz="8" w:space="0" w:color="000000"/>
            </w:tcBorders>
            <w:shd w:val="clear" w:color="auto" w:fill="auto"/>
            <w:vAlign w:val="bottom"/>
          </w:tcPr>
          <w:p w14:paraId="2A73A4B2" w14:textId="77777777" w:rsidR="00FA5565" w:rsidRDefault="00FA5565">
            <w:pPr>
              <w:textAlignment w:val="bottom"/>
              <w:rPr>
                <w:rFonts w:ascii="Times New Roman" w:hAnsi="Times New Roman"/>
                <w:sz w:val="20"/>
                <w:szCs w:val="20"/>
              </w:rPr>
            </w:pPr>
          </w:p>
        </w:tc>
      </w:tr>
      <w:tr w:rsidR="00FA5565" w14:paraId="2A73A4BA" w14:textId="77777777">
        <w:tc>
          <w:tcPr>
            <w:tcW w:w="0" w:type="auto"/>
            <w:shd w:val="clear" w:color="auto" w:fill="EFEFEF"/>
            <w:tcMar>
              <w:top w:w="40" w:type="dxa"/>
              <w:left w:w="40" w:type="dxa"/>
              <w:bottom w:w="40" w:type="dxa"/>
              <w:right w:w="40" w:type="dxa"/>
            </w:tcMar>
            <w:vAlign w:val="bottom"/>
          </w:tcPr>
          <w:p w14:paraId="2A73A4B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4B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4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4B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4B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4B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4C4" w14:textId="77777777">
        <w:tc>
          <w:tcPr>
            <w:tcW w:w="0" w:type="auto"/>
            <w:shd w:val="clear" w:color="auto" w:fill="auto"/>
            <w:tcMar>
              <w:top w:w="40" w:type="dxa"/>
              <w:left w:w="40" w:type="dxa"/>
              <w:bottom w:w="40" w:type="dxa"/>
              <w:right w:w="40" w:type="dxa"/>
            </w:tcMar>
          </w:tcPr>
          <w:p w14:paraId="2A73A4B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Operating income</w:t>
            </w:r>
          </w:p>
        </w:tc>
        <w:tc>
          <w:tcPr>
            <w:tcW w:w="0" w:type="auto"/>
            <w:gridSpan w:val="2"/>
            <w:shd w:val="clear" w:color="auto" w:fill="auto"/>
            <w:tcMar>
              <w:top w:w="40" w:type="dxa"/>
              <w:left w:w="40" w:type="dxa"/>
              <w:bottom w:w="40" w:type="dxa"/>
            </w:tcMar>
            <w:vAlign w:val="bottom"/>
          </w:tcPr>
          <w:p w14:paraId="2A73A4B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63,930</w:t>
            </w:r>
          </w:p>
        </w:tc>
        <w:tc>
          <w:tcPr>
            <w:tcW w:w="0" w:type="auto"/>
            <w:shd w:val="clear" w:color="auto" w:fill="auto"/>
            <w:vAlign w:val="bottom"/>
          </w:tcPr>
          <w:p w14:paraId="2A73A4B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4B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70,898</w:t>
            </w:r>
          </w:p>
        </w:tc>
        <w:tc>
          <w:tcPr>
            <w:tcW w:w="0" w:type="auto"/>
            <w:shd w:val="clear" w:color="auto" w:fill="auto"/>
            <w:vAlign w:val="bottom"/>
          </w:tcPr>
          <w:p w14:paraId="2A73A4C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4C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61,344</w:t>
            </w:r>
          </w:p>
        </w:tc>
        <w:tc>
          <w:tcPr>
            <w:tcW w:w="0" w:type="auto"/>
            <w:shd w:val="clear" w:color="auto" w:fill="auto"/>
            <w:vAlign w:val="bottom"/>
          </w:tcPr>
          <w:p w14:paraId="2A73A4C3" w14:textId="77777777" w:rsidR="00FA5565" w:rsidRDefault="00FA5565">
            <w:pPr>
              <w:textAlignment w:val="bottom"/>
              <w:rPr>
                <w:rFonts w:ascii="Times New Roman" w:hAnsi="Times New Roman"/>
                <w:sz w:val="20"/>
                <w:szCs w:val="20"/>
              </w:rPr>
            </w:pPr>
          </w:p>
        </w:tc>
      </w:tr>
      <w:tr w:rsidR="00FA5565" w14:paraId="2A73A4CE" w14:textId="77777777">
        <w:tc>
          <w:tcPr>
            <w:tcW w:w="0" w:type="auto"/>
            <w:shd w:val="clear" w:color="auto" w:fill="EFEFEF"/>
            <w:tcMar>
              <w:top w:w="40" w:type="dxa"/>
              <w:left w:w="40" w:type="dxa"/>
              <w:bottom w:w="40" w:type="dxa"/>
              <w:right w:w="40" w:type="dxa"/>
            </w:tcMar>
          </w:tcPr>
          <w:p w14:paraId="2A73A4C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income/(expense), net</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C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1,807</w:t>
            </w:r>
          </w:p>
        </w:tc>
        <w:tc>
          <w:tcPr>
            <w:tcW w:w="0" w:type="auto"/>
            <w:tcBorders>
              <w:bottom w:val="single" w:sz="8" w:space="0" w:color="000000"/>
            </w:tcBorders>
            <w:shd w:val="clear" w:color="auto" w:fill="EFEFEF"/>
            <w:vAlign w:val="bottom"/>
          </w:tcPr>
          <w:p w14:paraId="2A73A4C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C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2,005</w:t>
            </w:r>
          </w:p>
        </w:tc>
        <w:tc>
          <w:tcPr>
            <w:tcW w:w="0" w:type="auto"/>
            <w:tcBorders>
              <w:bottom w:val="single" w:sz="8" w:space="0" w:color="000000"/>
            </w:tcBorders>
            <w:shd w:val="clear" w:color="auto" w:fill="EFEFEF"/>
            <w:vAlign w:val="bottom"/>
          </w:tcPr>
          <w:p w14:paraId="2A73A4C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C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2,745</w:t>
            </w:r>
          </w:p>
        </w:tc>
        <w:tc>
          <w:tcPr>
            <w:tcW w:w="0" w:type="auto"/>
            <w:tcBorders>
              <w:bottom w:val="single" w:sz="8" w:space="0" w:color="000000"/>
            </w:tcBorders>
            <w:shd w:val="clear" w:color="auto" w:fill="EFEFEF"/>
            <w:vAlign w:val="bottom"/>
          </w:tcPr>
          <w:p w14:paraId="2A73A4CD" w14:textId="77777777" w:rsidR="00FA5565" w:rsidRDefault="00FA5565">
            <w:pPr>
              <w:textAlignment w:val="bottom"/>
              <w:rPr>
                <w:rFonts w:ascii="Times New Roman" w:hAnsi="Times New Roman"/>
                <w:sz w:val="20"/>
                <w:szCs w:val="20"/>
              </w:rPr>
            </w:pPr>
          </w:p>
        </w:tc>
      </w:tr>
      <w:tr w:rsidR="00FA5565" w14:paraId="2A73A4D8" w14:textId="77777777">
        <w:tc>
          <w:tcPr>
            <w:tcW w:w="0" w:type="auto"/>
            <w:shd w:val="clear" w:color="auto" w:fill="auto"/>
            <w:tcMar>
              <w:top w:w="40" w:type="dxa"/>
              <w:left w:w="40" w:type="dxa"/>
              <w:bottom w:w="40" w:type="dxa"/>
              <w:right w:w="40" w:type="dxa"/>
            </w:tcMar>
          </w:tcPr>
          <w:p w14:paraId="2A73A4C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Income before provision for income taxes</w:t>
            </w:r>
          </w:p>
        </w:tc>
        <w:tc>
          <w:tcPr>
            <w:tcW w:w="0" w:type="auto"/>
            <w:gridSpan w:val="2"/>
            <w:shd w:val="clear" w:color="auto" w:fill="auto"/>
            <w:tcMar>
              <w:top w:w="40" w:type="dxa"/>
              <w:left w:w="40" w:type="dxa"/>
              <w:bottom w:w="40" w:type="dxa"/>
            </w:tcMar>
            <w:vAlign w:val="bottom"/>
          </w:tcPr>
          <w:p w14:paraId="2A73A4D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65,737</w:t>
            </w:r>
          </w:p>
        </w:tc>
        <w:tc>
          <w:tcPr>
            <w:tcW w:w="0" w:type="auto"/>
            <w:shd w:val="clear" w:color="auto" w:fill="auto"/>
            <w:vAlign w:val="bottom"/>
          </w:tcPr>
          <w:p w14:paraId="2A73A4D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D2" w14:textId="77777777" w:rsidR="00FA5565" w:rsidRDefault="00FA5565">
            <w:pPr>
              <w:jc w:val="right"/>
              <w:textAlignment w:val="bottom"/>
              <w:rPr>
                <w:rFonts w:ascii="Times New Roman" w:hAnsi="Times New Roman"/>
                <w:sz w:val="18"/>
                <w:szCs w:val="18"/>
              </w:rPr>
            </w:pPr>
          </w:p>
        </w:tc>
        <w:tc>
          <w:tcPr>
            <w:tcW w:w="0" w:type="auto"/>
            <w:gridSpan w:val="2"/>
            <w:shd w:val="clear" w:color="auto" w:fill="auto"/>
            <w:tcMar>
              <w:top w:w="40" w:type="dxa"/>
              <w:left w:w="40" w:type="dxa"/>
              <w:bottom w:w="40" w:type="dxa"/>
            </w:tcMar>
            <w:vAlign w:val="bottom"/>
          </w:tcPr>
          <w:p w14:paraId="2A73A4D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72,903</w:t>
            </w:r>
          </w:p>
        </w:tc>
        <w:tc>
          <w:tcPr>
            <w:tcW w:w="0" w:type="auto"/>
            <w:shd w:val="clear" w:color="auto" w:fill="auto"/>
            <w:vAlign w:val="bottom"/>
          </w:tcPr>
          <w:p w14:paraId="2A73A4D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D5" w14:textId="77777777" w:rsidR="00FA5565" w:rsidRDefault="00FA5565">
            <w:pPr>
              <w:jc w:val="right"/>
              <w:textAlignment w:val="bottom"/>
              <w:rPr>
                <w:rFonts w:ascii="Times New Roman" w:hAnsi="Times New Roman"/>
                <w:sz w:val="18"/>
                <w:szCs w:val="18"/>
              </w:rPr>
            </w:pPr>
          </w:p>
        </w:tc>
        <w:tc>
          <w:tcPr>
            <w:tcW w:w="0" w:type="auto"/>
            <w:gridSpan w:val="2"/>
            <w:shd w:val="clear" w:color="auto" w:fill="auto"/>
            <w:tcMar>
              <w:top w:w="40" w:type="dxa"/>
              <w:left w:w="40" w:type="dxa"/>
              <w:bottom w:w="40" w:type="dxa"/>
            </w:tcMar>
            <w:vAlign w:val="bottom"/>
          </w:tcPr>
          <w:p w14:paraId="2A73A4D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64,089</w:t>
            </w:r>
          </w:p>
        </w:tc>
        <w:tc>
          <w:tcPr>
            <w:tcW w:w="0" w:type="auto"/>
            <w:shd w:val="clear" w:color="auto" w:fill="auto"/>
            <w:vAlign w:val="bottom"/>
          </w:tcPr>
          <w:p w14:paraId="2A73A4D7" w14:textId="77777777" w:rsidR="00FA5565" w:rsidRDefault="00FA5565">
            <w:pPr>
              <w:textAlignment w:val="bottom"/>
              <w:rPr>
                <w:rFonts w:ascii="Times New Roman" w:hAnsi="Times New Roman"/>
                <w:sz w:val="20"/>
                <w:szCs w:val="20"/>
              </w:rPr>
            </w:pPr>
          </w:p>
        </w:tc>
      </w:tr>
      <w:tr w:rsidR="00FA5565" w14:paraId="2A73A4E2" w14:textId="77777777">
        <w:tc>
          <w:tcPr>
            <w:tcW w:w="0" w:type="auto"/>
            <w:shd w:val="clear" w:color="auto" w:fill="EFEFEF"/>
            <w:tcMar>
              <w:top w:w="40" w:type="dxa"/>
              <w:left w:w="40" w:type="dxa"/>
              <w:bottom w:w="40" w:type="dxa"/>
              <w:right w:w="40" w:type="dxa"/>
            </w:tcMar>
          </w:tcPr>
          <w:p w14:paraId="2A73A4D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Provision for income taxes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D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10,481</w:t>
            </w:r>
          </w:p>
        </w:tc>
        <w:tc>
          <w:tcPr>
            <w:tcW w:w="0" w:type="auto"/>
            <w:tcBorders>
              <w:bottom w:val="single" w:sz="8" w:space="0" w:color="000000"/>
            </w:tcBorders>
            <w:shd w:val="clear" w:color="auto" w:fill="EFEFEF"/>
            <w:vAlign w:val="bottom"/>
          </w:tcPr>
          <w:p w14:paraId="2A73A4D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D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D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13,372</w:t>
            </w:r>
          </w:p>
        </w:tc>
        <w:tc>
          <w:tcPr>
            <w:tcW w:w="0" w:type="auto"/>
            <w:tcBorders>
              <w:bottom w:val="single" w:sz="8" w:space="0" w:color="000000"/>
            </w:tcBorders>
            <w:shd w:val="clear" w:color="auto" w:fill="EFEFEF"/>
            <w:vAlign w:val="bottom"/>
          </w:tcPr>
          <w:p w14:paraId="2A73A4D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4D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4E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15,738</w:t>
            </w:r>
          </w:p>
        </w:tc>
        <w:tc>
          <w:tcPr>
            <w:tcW w:w="0" w:type="auto"/>
            <w:tcBorders>
              <w:bottom w:val="single" w:sz="8" w:space="0" w:color="000000"/>
            </w:tcBorders>
            <w:shd w:val="clear" w:color="auto" w:fill="EFEFEF"/>
            <w:vAlign w:val="bottom"/>
          </w:tcPr>
          <w:p w14:paraId="2A73A4E1" w14:textId="77777777" w:rsidR="00FA5565" w:rsidRDefault="00FA5565">
            <w:pPr>
              <w:textAlignment w:val="bottom"/>
              <w:rPr>
                <w:rFonts w:ascii="Times New Roman" w:hAnsi="Times New Roman"/>
                <w:sz w:val="20"/>
                <w:szCs w:val="20"/>
              </w:rPr>
            </w:pPr>
          </w:p>
        </w:tc>
      </w:tr>
      <w:tr w:rsidR="00FA5565" w14:paraId="2A73A4EF" w14:textId="77777777">
        <w:tc>
          <w:tcPr>
            <w:tcW w:w="0" w:type="auto"/>
            <w:shd w:val="clear" w:color="auto" w:fill="auto"/>
            <w:tcMar>
              <w:top w:w="40" w:type="dxa"/>
              <w:left w:w="40" w:type="dxa"/>
              <w:bottom w:w="40" w:type="dxa"/>
              <w:right w:w="40" w:type="dxa"/>
            </w:tcMar>
          </w:tcPr>
          <w:p w14:paraId="2A73A4E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income</w:t>
            </w:r>
          </w:p>
        </w:tc>
        <w:tc>
          <w:tcPr>
            <w:tcW w:w="0" w:type="auto"/>
            <w:tcBorders>
              <w:bottom w:val="double" w:sz="6" w:space="0" w:color="000000"/>
            </w:tcBorders>
            <w:shd w:val="clear" w:color="auto" w:fill="auto"/>
            <w:tcMar>
              <w:top w:w="40" w:type="dxa"/>
              <w:left w:w="40" w:type="dxa"/>
              <w:bottom w:w="40" w:type="dxa"/>
            </w:tcMar>
            <w:vAlign w:val="bottom"/>
          </w:tcPr>
          <w:p w14:paraId="2A73A4E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A4E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55,256</w:t>
            </w:r>
          </w:p>
        </w:tc>
        <w:tc>
          <w:tcPr>
            <w:tcW w:w="0" w:type="auto"/>
            <w:tcBorders>
              <w:bottom w:val="double" w:sz="6" w:space="0" w:color="000000"/>
            </w:tcBorders>
            <w:shd w:val="clear" w:color="auto" w:fill="auto"/>
            <w:vAlign w:val="bottom"/>
          </w:tcPr>
          <w:p w14:paraId="2A73A4E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E7"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auto"/>
            <w:tcMar>
              <w:top w:w="40" w:type="dxa"/>
              <w:left w:w="40" w:type="dxa"/>
              <w:bottom w:w="40" w:type="dxa"/>
            </w:tcMar>
            <w:vAlign w:val="bottom"/>
          </w:tcPr>
          <w:p w14:paraId="2A73A4E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A4E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59,531</w:t>
            </w:r>
          </w:p>
        </w:tc>
        <w:tc>
          <w:tcPr>
            <w:tcW w:w="0" w:type="auto"/>
            <w:tcBorders>
              <w:bottom w:val="double" w:sz="6" w:space="0" w:color="000000"/>
            </w:tcBorders>
            <w:shd w:val="clear" w:color="auto" w:fill="auto"/>
            <w:vAlign w:val="bottom"/>
          </w:tcPr>
          <w:p w14:paraId="2A73A4E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4EB"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auto"/>
            <w:tcMar>
              <w:top w:w="40" w:type="dxa"/>
              <w:left w:w="40" w:type="dxa"/>
              <w:bottom w:w="40" w:type="dxa"/>
            </w:tcMar>
            <w:vAlign w:val="bottom"/>
          </w:tcPr>
          <w:p w14:paraId="2A73A4E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A4E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48,351</w:t>
            </w:r>
          </w:p>
        </w:tc>
        <w:tc>
          <w:tcPr>
            <w:tcW w:w="0" w:type="auto"/>
            <w:tcBorders>
              <w:bottom w:val="double" w:sz="6" w:space="0" w:color="000000"/>
            </w:tcBorders>
            <w:shd w:val="clear" w:color="auto" w:fill="auto"/>
            <w:vAlign w:val="bottom"/>
          </w:tcPr>
          <w:p w14:paraId="2A73A4EE" w14:textId="77777777" w:rsidR="00FA5565" w:rsidRDefault="00FA5565">
            <w:pPr>
              <w:textAlignment w:val="bottom"/>
              <w:rPr>
                <w:rFonts w:ascii="Times New Roman" w:hAnsi="Times New Roman"/>
                <w:sz w:val="20"/>
                <w:szCs w:val="20"/>
              </w:rPr>
            </w:pPr>
          </w:p>
        </w:tc>
      </w:tr>
      <w:tr w:rsidR="00FA5565" w14:paraId="2A73A4F6" w14:textId="77777777">
        <w:tc>
          <w:tcPr>
            <w:tcW w:w="0" w:type="auto"/>
            <w:shd w:val="clear" w:color="auto" w:fill="EFEFEF"/>
            <w:tcMar>
              <w:top w:w="40" w:type="dxa"/>
              <w:left w:w="40" w:type="dxa"/>
              <w:bottom w:w="40" w:type="dxa"/>
              <w:right w:w="40" w:type="dxa"/>
            </w:tcMar>
            <w:vAlign w:val="bottom"/>
          </w:tcPr>
          <w:p w14:paraId="2A73A4F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4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4F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4F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4F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4F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4FD" w14:textId="77777777">
        <w:tc>
          <w:tcPr>
            <w:tcW w:w="0" w:type="auto"/>
            <w:shd w:val="clear" w:color="auto" w:fill="auto"/>
            <w:tcMar>
              <w:top w:w="40" w:type="dxa"/>
              <w:left w:w="40" w:type="dxa"/>
              <w:bottom w:w="40" w:type="dxa"/>
              <w:right w:w="40" w:type="dxa"/>
            </w:tcMar>
          </w:tcPr>
          <w:p w14:paraId="2A73A4F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Earnings per share:</w:t>
            </w:r>
          </w:p>
        </w:tc>
        <w:tc>
          <w:tcPr>
            <w:tcW w:w="0" w:type="auto"/>
            <w:gridSpan w:val="3"/>
            <w:shd w:val="clear" w:color="auto" w:fill="auto"/>
            <w:tcMar>
              <w:top w:w="40" w:type="dxa"/>
              <w:left w:w="40" w:type="dxa"/>
              <w:bottom w:w="40" w:type="dxa"/>
              <w:right w:w="40" w:type="dxa"/>
            </w:tcMar>
            <w:vAlign w:val="bottom"/>
          </w:tcPr>
          <w:p w14:paraId="2A73A4F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4F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4F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4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4F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50A" w14:textId="77777777">
        <w:tc>
          <w:tcPr>
            <w:tcW w:w="0" w:type="auto"/>
            <w:shd w:val="clear" w:color="auto" w:fill="EFEFEF"/>
            <w:tcMar>
              <w:top w:w="40" w:type="dxa"/>
              <w:left w:w="560" w:type="dxa"/>
              <w:bottom w:w="40" w:type="dxa"/>
              <w:right w:w="40" w:type="dxa"/>
            </w:tcMar>
          </w:tcPr>
          <w:p w14:paraId="2A73A4F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Basic</w:t>
            </w:r>
          </w:p>
        </w:tc>
        <w:tc>
          <w:tcPr>
            <w:tcW w:w="0" w:type="auto"/>
            <w:shd w:val="clear" w:color="auto" w:fill="EFEFEF"/>
            <w:tcMar>
              <w:top w:w="40" w:type="dxa"/>
              <w:left w:w="40" w:type="dxa"/>
              <w:bottom w:w="40" w:type="dxa"/>
            </w:tcMar>
            <w:vAlign w:val="bottom"/>
          </w:tcPr>
          <w:p w14:paraId="2A73A4F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50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11.97</w:t>
            </w:r>
          </w:p>
        </w:tc>
        <w:tc>
          <w:tcPr>
            <w:tcW w:w="0" w:type="auto"/>
            <w:shd w:val="clear" w:color="auto" w:fill="EFEFEF"/>
            <w:vAlign w:val="bottom"/>
          </w:tcPr>
          <w:p w14:paraId="2A73A50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50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50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50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12.01</w:t>
            </w:r>
          </w:p>
        </w:tc>
        <w:tc>
          <w:tcPr>
            <w:tcW w:w="0" w:type="auto"/>
            <w:shd w:val="clear" w:color="auto" w:fill="EFEFEF"/>
            <w:vAlign w:val="bottom"/>
          </w:tcPr>
          <w:p w14:paraId="2A73A50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5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50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50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9.27</w:t>
            </w:r>
          </w:p>
        </w:tc>
        <w:tc>
          <w:tcPr>
            <w:tcW w:w="0" w:type="auto"/>
            <w:shd w:val="clear" w:color="auto" w:fill="EFEFEF"/>
            <w:vAlign w:val="bottom"/>
          </w:tcPr>
          <w:p w14:paraId="2A73A509" w14:textId="77777777" w:rsidR="00FA5565" w:rsidRDefault="00FA5565">
            <w:pPr>
              <w:textAlignment w:val="bottom"/>
              <w:rPr>
                <w:rFonts w:ascii="Times New Roman" w:hAnsi="Times New Roman"/>
                <w:sz w:val="20"/>
                <w:szCs w:val="20"/>
              </w:rPr>
            </w:pPr>
          </w:p>
        </w:tc>
      </w:tr>
      <w:tr w:rsidR="00FA5565" w14:paraId="2A73A517" w14:textId="77777777">
        <w:tc>
          <w:tcPr>
            <w:tcW w:w="0" w:type="auto"/>
            <w:shd w:val="clear" w:color="auto" w:fill="auto"/>
            <w:tcMar>
              <w:top w:w="40" w:type="dxa"/>
              <w:left w:w="560" w:type="dxa"/>
              <w:bottom w:w="40" w:type="dxa"/>
              <w:right w:w="40" w:type="dxa"/>
            </w:tcMar>
          </w:tcPr>
          <w:p w14:paraId="2A73A50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Diluted</w:t>
            </w:r>
          </w:p>
        </w:tc>
        <w:tc>
          <w:tcPr>
            <w:tcW w:w="0" w:type="auto"/>
            <w:shd w:val="clear" w:color="auto" w:fill="auto"/>
            <w:tcMar>
              <w:top w:w="40" w:type="dxa"/>
              <w:left w:w="40" w:type="dxa"/>
              <w:bottom w:w="40" w:type="dxa"/>
            </w:tcMar>
            <w:vAlign w:val="bottom"/>
          </w:tcPr>
          <w:p w14:paraId="2A73A50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50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11.89</w:t>
            </w:r>
          </w:p>
        </w:tc>
        <w:tc>
          <w:tcPr>
            <w:tcW w:w="0" w:type="auto"/>
            <w:shd w:val="clear" w:color="auto" w:fill="auto"/>
            <w:vAlign w:val="bottom"/>
          </w:tcPr>
          <w:p w14:paraId="2A73A50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0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51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51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11.91</w:t>
            </w:r>
          </w:p>
        </w:tc>
        <w:tc>
          <w:tcPr>
            <w:tcW w:w="0" w:type="auto"/>
            <w:shd w:val="clear" w:color="auto" w:fill="auto"/>
            <w:vAlign w:val="bottom"/>
          </w:tcPr>
          <w:p w14:paraId="2A73A51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1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51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51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9.21</w:t>
            </w:r>
          </w:p>
        </w:tc>
        <w:tc>
          <w:tcPr>
            <w:tcW w:w="0" w:type="auto"/>
            <w:shd w:val="clear" w:color="auto" w:fill="auto"/>
            <w:vAlign w:val="bottom"/>
          </w:tcPr>
          <w:p w14:paraId="2A73A516" w14:textId="77777777" w:rsidR="00FA5565" w:rsidRDefault="00FA5565">
            <w:pPr>
              <w:textAlignment w:val="bottom"/>
              <w:rPr>
                <w:rFonts w:ascii="Times New Roman" w:hAnsi="Times New Roman"/>
                <w:sz w:val="20"/>
                <w:szCs w:val="20"/>
              </w:rPr>
            </w:pPr>
          </w:p>
        </w:tc>
      </w:tr>
      <w:tr w:rsidR="00FA5565" w14:paraId="2A73A51E" w14:textId="77777777">
        <w:tc>
          <w:tcPr>
            <w:tcW w:w="0" w:type="auto"/>
            <w:shd w:val="clear" w:color="auto" w:fill="EFEFEF"/>
            <w:tcMar>
              <w:top w:w="40" w:type="dxa"/>
              <w:left w:w="40" w:type="dxa"/>
              <w:bottom w:w="40" w:type="dxa"/>
              <w:right w:w="40" w:type="dxa"/>
            </w:tcMar>
            <w:vAlign w:val="bottom"/>
          </w:tcPr>
          <w:p w14:paraId="2A73A51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51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1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5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1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525" w14:textId="77777777">
        <w:tc>
          <w:tcPr>
            <w:tcW w:w="0" w:type="auto"/>
            <w:shd w:val="clear" w:color="auto" w:fill="auto"/>
            <w:tcMar>
              <w:top w:w="40" w:type="dxa"/>
              <w:left w:w="40" w:type="dxa"/>
              <w:bottom w:w="40" w:type="dxa"/>
              <w:right w:w="40" w:type="dxa"/>
            </w:tcMar>
          </w:tcPr>
          <w:p w14:paraId="2A73A51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Shares used in </w:t>
            </w:r>
            <w:r>
              <w:rPr>
                <w:rFonts w:ascii="Helvetica" w:eastAsia="Helvetica" w:hAnsi="Helvetica" w:cs="Helvetica"/>
                <w:sz w:val="18"/>
                <w:szCs w:val="18"/>
              </w:rPr>
              <w:t>computing earnings per share:</w:t>
            </w:r>
          </w:p>
        </w:tc>
        <w:tc>
          <w:tcPr>
            <w:tcW w:w="0" w:type="auto"/>
            <w:gridSpan w:val="3"/>
            <w:shd w:val="clear" w:color="auto" w:fill="auto"/>
            <w:tcMar>
              <w:top w:w="40" w:type="dxa"/>
              <w:left w:w="40" w:type="dxa"/>
              <w:bottom w:w="40" w:type="dxa"/>
              <w:right w:w="40" w:type="dxa"/>
            </w:tcMar>
            <w:vAlign w:val="bottom"/>
          </w:tcPr>
          <w:p w14:paraId="2A73A5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5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52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5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5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52F" w14:textId="77777777">
        <w:tc>
          <w:tcPr>
            <w:tcW w:w="0" w:type="auto"/>
            <w:shd w:val="clear" w:color="auto" w:fill="EFEFEF"/>
            <w:tcMar>
              <w:top w:w="40" w:type="dxa"/>
              <w:left w:w="560" w:type="dxa"/>
              <w:bottom w:w="40" w:type="dxa"/>
              <w:right w:w="40" w:type="dxa"/>
            </w:tcMar>
          </w:tcPr>
          <w:p w14:paraId="2A73A52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Basic</w:t>
            </w:r>
          </w:p>
        </w:tc>
        <w:tc>
          <w:tcPr>
            <w:tcW w:w="0" w:type="auto"/>
            <w:gridSpan w:val="2"/>
            <w:shd w:val="clear" w:color="auto" w:fill="EFEFEF"/>
            <w:tcMar>
              <w:top w:w="40" w:type="dxa"/>
              <w:left w:w="40" w:type="dxa"/>
              <w:bottom w:w="40" w:type="dxa"/>
            </w:tcMar>
            <w:vAlign w:val="bottom"/>
          </w:tcPr>
          <w:p w14:paraId="2A73A52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4,617,834</w:t>
            </w:r>
          </w:p>
        </w:tc>
        <w:tc>
          <w:tcPr>
            <w:tcW w:w="0" w:type="auto"/>
            <w:shd w:val="clear" w:color="auto" w:fill="EFEFEF"/>
            <w:vAlign w:val="bottom"/>
          </w:tcPr>
          <w:p w14:paraId="2A73A52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5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52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4,955,377</w:t>
            </w:r>
          </w:p>
        </w:tc>
        <w:tc>
          <w:tcPr>
            <w:tcW w:w="0" w:type="auto"/>
            <w:shd w:val="clear" w:color="auto" w:fill="EFEFEF"/>
            <w:vAlign w:val="bottom"/>
          </w:tcPr>
          <w:p w14:paraId="2A73A52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5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52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5,217,242</w:t>
            </w:r>
          </w:p>
        </w:tc>
        <w:tc>
          <w:tcPr>
            <w:tcW w:w="0" w:type="auto"/>
            <w:shd w:val="clear" w:color="auto" w:fill="EFEFEF"/>
            <w:vAlign w:val="bottom"/>
          </w:tcPr>
          <w:p w14:paraId="2A73A52E" w14:textId="77777777" w:rsidR="00FA5565" w:rsidRDefault="00FA5565">
            <w:pPr>
              <w:textAlignment w:val="bottom"/>
              <w:rPr>
                <w:rFonts w:ascii="Times New Roman" w:hAnsi="Times New Roman"/>
                <w:sz w:val="20"/>
                <w:szCs w:val="20"/>
              </w:rPr>
            </w:pPr>
          </w:p>
        </w:tc>
      </w:tr>
      <w:tr w:rsidR="00FA5565" w14:paraId="2A73A539" w14:textId="77777777">
        <w:tc>
          <w:tcPr>
            <w:tcW w:w="0" w:type="auto"/>
            <w:shd w:val="clear" w:color="auto" w:fill="auto"/>
            <w:tcMar>
              <w:top w:w="40" w:type="dxa"/>
              <w:left w:w="560" w:type="dxa"/>
              <w:bottom w:w="40" w:type="dxa"/>
              <w:right w:w="40" w:type="dxa"/>
            </w:tcMar>
          </w:tcPr>
          <w:p w14:paraId="2A73A53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Diluted</w:t>
            </w:r>
          </w:p>
        </w:tc>
        <w:tc>
          <w:tcPr>
            <w:tcW w:w="0" w:type="auto"/>
            <w:gridSpan w:val="2"/>
            <w:shd w:val="clear" w:color="auto" w:fill="auto"/>
            <w:tcMar>
              <w:top w:w="40" w:type="dxa"/>
              <w:left w:w="40" w:type="dxa"/>
              <w:bottom w:w="40" w:type="dxa"/>
            </w:tcMar>
            <w:vAlign w:val="bottom"/>
          </w:tcPr>
          <w:p w14:paraId="2A73A53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4,648,913</w:t>
            </w:r>
          </w:p>
        </w:tc>
        <w:tc>
          <w:tcPr>
            <w:tcW w:w="0" w:type="auto"/>
            <w:shd w:val="clear" w:color="auto" w:fill="auto"/>
            <w:vAlign w:val="bottom"/>
          </w:tcPr>
          <w:p w14:paraId="2A73A53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3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53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5,000,109</w:t>
            </w:r>
          </w:p>
        </w:tc>
        <w:tc>
          <w:tcPr>
            <w:tcW w:w="0" w:type="auto"/>
            <w:shd w:val="clear" w:color="auto" w:fill="auto"/>
            <w:vAlign w:val="bottom"/>
          </w:tcPr>
          <w:p w14:paraId="2A73A53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3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53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5,251,692</w:t>
            </w:r>
          </w:p>
        </w:tc>
        <w:tc>
          <w:tcPr>
            <w:tcW w:w="0" w:type="auto"/>
            <w:shd w:val="clear" w:color="auto" w:fill="auto"/>
            <w:vAlign w:val="bottom"/>
          </w:tcPr>
          <w:p w14:paraId="2A73A538" w14:textId="77777777" w:rsidR="00FA5565" w:rsidRDefault="00FA5565">
            <w:pPr>
              <w:textAlignment w:val="bottom"/>
              <w:rPr>
                <w:rFonts w:ascii="Times New Roman" w:hAnsi="Times New Roman"/>
                <w:sz w:val="20"/>
                <w:szCs w:val="20"/>
              </w:rPr>
            </w:pPr>
          </w:p>
        </w:tc>
      </w:tr>
    </w:tbl>
    <w:p w14:paraId="2A73A53A"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See accompanying Notes to Consolidated Financial Statements.</w:t>
      </w:r>
    </w:p>
    <w:p w14:paraId="2A73A53B" w14:textId="77777777" w:rsidR="00FA5565" w:rsidRDefault="00FA5565">
      <w:pPr>
        <w:rPr>
          <w:rFonts w:ascii="Times New Roman" w:hAnsi="Times New Roman"/>
          <w:sz w:val="20"/>
          <w:szCs w:val="20"/>
        </w:rPr>
      </w:pPr>
    </w:p>
    <w:p w14:paraId="2A73A53C"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29</w:t>
      </w:r>
    </w:p>
    <w:p w14:paraId="2A73A53D" w14:textId="77777777" w:rsidR="00FA5565" w:rsidRDefault="00D804D1">
      <w:r>
        <w:rPr>
          <w:rFonts w:ascii="Times New Roman" w:hAnsi="Times New Roman"/>
          <w:sz w:val="16"/>
          <w:szCs w:val="16"/>
        </w:rPr>
        <w:pict w14:anchorId="2A73C0B9">
          <v:rect id="_x0000_i1055" style="width:415.3pt;height:1.5pt" o:hralign="center" o:hrstd="t" o:hr="t" fillcolor="#a0a0a0" stroked="f"/>
        </w:pict>
      </w:r>
    </w:p>
    <w:p w14:paraId="2A73A53E" w14:textId="77777777" w:rsidR="00FA5565" w:rsidRDefault="00FA5565">
      <w:pPr>
        <w:rPr>
          <w:rFonts w:ascii="Times New Roman" w:hAnsi="Times New Roman"/>
          <w:sz w:val="20"/>
          <w:szCs w:val="20"/>
        </w:rPr>
      </w:pPr>
    </w:p>
    <w:p w14:paraId="2A73A53F"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2A73A540"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CONSOLIDATED STATEMENTS OF COMPREHENSIVE INCOME</w:t>
      </w:r>
    </w:p>
    <w:p w14:paraId="2A73A541"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(In millions)</w:t>
      </w:r>
    </w:p>
    <w:p w14:paraId="2A73A542" w14:textId="77777777" w:rsidR="00FA5565" w:rsidRDefault="00FA5565">
      <w:pPr>
        <w:spacing w:line="288" w:lineRule="auto"/>
        <w:jc w:val="both"/>
        <w:rPr>
          <w:rFonts w:ascii="Times New Roman" w:hAnsi="Times New Roman"/>
        </w:rPr>
      </w:pPr>
    </w:p>
    <w:tbl>
      <w:tblPr>
        <w:tblW w:w="5000" w:type="pct"/>
        <w:tblCellMar>
          <w:left w:w="0" w:type="dxa"/>
          <w:right w:w="0" w:type="dxa"/>
        </w:tblCellMar>
        <w:tblLook w:val="04A0" w:firstRow="1" w:lastRow="0" w:firstColumn="1" w:lastColumn="0" w:noHBand="0" w:noVBand="1"/>
      </w:tblPr>
      <w:tblGrid>
        <w:gridCol w:w="4341"/>
        <w:gridCol w:w="142"/>
        <w:gridCol w:w="993"/>
        <w:gridCol w:w="100"/>
        <w:gridCol w:w="130"/>
        <w:gridCol w:w="142"/>
        <w:gridCol w:w="993"/>
        <w:gridCol w:w="100"/>
        <w:gridCol w:w="130"/>
        <w:gridCol w:w="142"/>
        <w:gridCol w:w="993"/>
        <w:gridCol w:w="100"/>
      </w:tblGrid>
      <w:tr w:rsidR="00FA5565" w14:paraId="2A73A544" w14:textId="77777777">
        <w:tc>
          <w:tcPr>
            <w:tcW w:w="0" w:type="auto"/>
            <w:gridSpan w:val="12"/>
            <w:shd w:val="clear" w:color="auto" w:fill="auto"/>
            <w:vAlign w:val="center"/>
          </w:tcPr>
          <w:p w14:paraId="2A73A543" w14:textId="77777777" w:rsidR="00FA5565" w:rsidRDefault="00FA5565">
            <w:pPr>
              <w:rPr>
                <w:rFonts w:ascii="Times New Roman" w:hAnsi="Times New Roman"/>
                <w:sz w:val="20"/>
                <w:szCs w:val="20"/>
              </w:rPr>
            </w:pPr>
          </w:p>
        </w:tc>
      </w:tr>
      <w:tr w:rsidR="00FA5565" w14:paraId="2A73A551" w14:textId="77777777">
        <w:tc>
          <w:tcPr>
            <w:tcW w:w="2950" w:type="pct"/>
            <w:shd w:val="clear" w:color="auto" w:fill="auto"/>
            <w:vAlign w:val="center"/>
          </w:tcPr>
          <w:p w14:paraId="2A73A545" w14:textId="77777777" w:rsidR="00FA5565" w:rsidRDefault="00FA5565">
            <w:pPr>
              <w:rPr>
                <w:rFonts w:ascii="Times New Roman" w:hAnsi="Times New Roman"/>
                <w:sz w:val="20"/>
                <w:szCs w:val="20"/>
              </w:rPr>
            </w:pPr>
          </w:p>
        </w:tc>
        <w:tc>
          <w:tcPr>
            <w:tcW w:w="50" w:type="pct"/>
            <w:shd w:val="clear" w:color="auto" w:fill="auto"/>
            <w:vAlign w:val="center"/>
          </w:tcPr>
          <w:p w14:paraId="2A73A546" w14:textId="77777777" w:rsidR="00FA5565" w:rsidRDefault="00FA5565">
            <w:pPr>
              <w:rPr>
                <w:rFonts w:ascii="Times New Roman" w:hAnsi="Times New Roman"/>
                <w:sz w:val="20"/>
                <w:szCs w:val="20"/>
              </w:rPr>
            </w:pPr>
          </w:p>
        </w:tc>
        <w:tc>
          <w:tcPr>
            <w:tcW w:w="550" w:type="pct"/>
            <w:shd w:val="clear" w:color="auto" w:fill="auto"/>
            <w:vAlign w:val="center"/>
          </w:tcPr>
          <w:p w14:paraId="2A73A547" w14:textId="77777777" w:rsidR="00FA5565" w:rsidRDefault="00FA5565">
            <w:pPr>
              <w:rPr>
                <w:rFonts w:ascii="Times New Roman" w:hAnsi="Times New Roman"/>
                <w:sz w:val="20"/>
                <w:szCs w:val="20"/>
              </w:rPr>
            </w:pPr>
          </w:p>
        </w:tc>
        <w:tc>
          <w:tcPr>
            <w:tcW w:w="50" w:type="pct"/>
            <w:shd w:val="clear" w:color="auto" w:fill="auto"/>
            <w:vAlign w:val="center"/>
          </w:tcPr>
          <w:p w14:paraId="2A73A548" w14:textId="77777777" w:rsidR="00FA5565" w:rsidRDefault="00FA5565">
            <w:pPr>
              <w:rPr>
                <w:rFonts w:ascii="Times New Roman" w:hAnsi="Times New Roman"/>
                <w:sz w:val="20"/>
                <w:szCs w:val="20"/>
              </w:rPr>
            </w:pPr>
          </w:p>
        </w:tc>
        <w:tc>
          <w:tcPr>
            <w:tcW w:w="50" w:type="pct"/>
            <w:shd w:val="clear" w:color="auto" w:fill="auto"/>
            <w:vAlign w:val="center"/>
          </w:tcPr>
          <w:p w14:paraId="2A73A549" w14:textId="77777777" w:rsidR="00FA5565" w:rsidRDefault="00FA5565">
            <w:pPr>
              <w:rPr>
                <w:rFonts w:ascii="Times New Roman" w:hAnsi="Times New Roman"/>
                <w:sz w:val="20"/>
                <w:szCs w:val="20"/>
              </w:rPr>
            </w:pPr>
          </w:p>
        </w:tc>
        <w:tc>
          <w:tcPr>
            <w:tcW w:w="50" w:type="pct"/>
            <w:shd w:val="clear" w:color="auto" w:fill="auto"/>
            <w:vAlign w:val="center"/>
          </w:tcPr>
          <w:p w14:paraId="2A73A54A" w14:textId="77777777" w:rsidR="00FA5565" w:rsidRDefault="00FA5565">
            <w:pPr>
              <w:rPr>
                <w:rFonts w:ascii="Times New Roman" w:hAnsi="Times New Roman"/>
                <w:sz w:val="20"/>
                <w:szCs w:val="20"/>
              </w:rPr>
            </w:pPr>
          </w:p>
        </w:tc>
        <w:tc>
          <w:tcPr>
            <w:tcW w:w="550" w:type="pct"/>
            <w:shd w:val="clear" w:color="auto" w:fill="auto"/>
            <w:vAlign w:val="center"/>
          </w:tcPr>
          <w:p w14:paraId="2A73A54B" w14:textId="77777777" w:rsidR="00FA5565" w:rsidRDefault="00FA5565">
            <w:pPr>
              <w:rPr>
                <w:rFonts w:ascii="Times New Roman" w:hAnsi="Times New Roman"/>
                <w:sz w:val="20"/>
                <w:szCs w:val="20"/>
              </w:rPr>
            </w:pPr>
          </w:p>
        </w:tc>
        <w:tc>
          <w:tcPr>
            <w:tcW w:w="50" w:type="pct"/>
            <w:shd w:val="clear" w:color="auto" w:fill="auto"/>
            <w:vAlign w:val="center"/>
          </w:tcPr>
          <w:p w14:paraId="2A73A54C" w14:textId="77777777" w:rsidR="00FA5565" w:rsidRDefault="00FA5565">
            <w:pPr>
              <w:rPr>
                <w:rFonts w:ascii="Times New Roman" w:hAnsi="Times New Roman"/>
                <w:sz w:val="20"/>
                <w:szCs w:val="20"/>
              </w:rPr>
            </w:pPr>
          </w:p>
        </w:tc>
        <w:tc>
          <w:tcPr>
            <w:tcW w:w="50" w:type="pct"/>
            <w:shd w:val="clear" w:color="auto" w:fill="auto"/>
            <w:vAlign w:val="center"/>
          </w:tcPr>
          <w:p w14:paraId="2A73A54D" w14:textId="77777777" w:rsidR="00FA5565" w:rsidRDefault="00FA5565">
            <w:pPr>
              <w:rPr>
                <w:rFonts w:ascii="Times New Roman" w:hAnsi="Times New Roman"/>
                <w:sz w:val="20"/>
                <w:szCs w:val="20"/>
              </w:rPr>
            </w:pPr>
          </w:p>
        </w:tc>
        <w:tc>
          <w:tcPr>
            <w:tcW w:w="50" w:type="pct"/>
            <w:shd w:val="clear" w:color="auto" w:fill="auto"/>
            <w:vAlign w:val="center"/>
          </w:tcPr>
          <w:p w14:paraId="2A73A54E" w14:textId="77777777" w:rsidR="00FA5565" w:rsidRDefault="00FA5565">
            <w:pPr>
              <w:rPr>
                <w:rFonts w:ascii="Times New Roman" w:hAnsi="Times New Roman"/>
                <w:sz w:val="20"/>
                <w:szCs w:val="20"/>
              </w:rPr>
            </w:pPr>
          </w:p>
        </w:tc>
        <w:tc>
          <w:tcPr>
            <w:tcW w:w="550" w:type="pct"/>
            <w:shd w:val="clear" w:color="auto" w:fill="auto"/>
            <w:vAlign w:val="center"/>
          </w:tcPr>
          <w:p w14:paraId="2A73A54F" w14:textId="77777777" w:rsidR="00FA5565" w:rsidRDefault="00FA5565">
            <w:pPr>
              <w:rPr>
                <w:rFonts w:ascii="Times New Roman" w:hAnsi="Times New Roman"/>
                <w:sz w:val="20"/>
                <w:szCs w:val="20"/>
              </w:rPr>
            </w:pPr>
          </w:p>
        </w:tc>
        <w:tc>
          <w:tcPr>
            <w:tcW w:w="50" w:type="pct"/>
            <w:shd w:val="clear" w:color="auto" w:fill="auto"/>
            <w:vAlign w:val="center"/>
          </w:tcPr>
          <w:p w14:paraId="2A73A550" w14:textId="77777777" w:rsidR="00FA5565" w:rsidRDefault="00FA5565">
            <w:pPr>
              <w:rPr>
                <w:rFonts w:ascii="Times New Roman" w:hAnsi="Times New Roman"/>
                <w:sz w:val="20"/>
                <w:szCs w:val="20"/>
              </w:rPr>
            </w:pPr>
          </w:p>
        </w:tc>
      </w:tr>
      <w:tr w:rsidR="00FA5565" w14:paraId="2A73A554" w14:textId="77777777">
        <w:tc>
          <w:tcPr>
            <w:tcW w:w="0" w:type="auto"/>
            <w:shd w:val="clear" w:color="auto" w:fill="auto"/>
            <w:tcMar>
              <w:top w:w="40" w:type="dxa"/>
              <w:left w:w="40" w:type="dxa"/>
              <w:bottom w:w="40" w:type="dxa"/>
              <w:right w:w="40" w:type="dxa"/>
            </w:tcMar>
            <w:vAlign w:val="bottom"/>
          </w:tcPr>
          <w:p w14:paraId="2A73A5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2A73A55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Years ended</w:t>
            </w:r>
          </w:p>
        </w:tc>
      </w:tr>
      <w:tr w:rsidR="00FA5565" w14:paraId="2A73A55B" w14:textId="77777777">
        <w:tc>
          <w:tcPr>
            <w:tcW w:w="0" w:type="auto"/>
            <w:shd w:val="clear" w:color="auto" w:fill="auto"/>
            <w:tcMar>
              <w:top w:w="40" w:type="dxa"/>
              <w:left w:w="40" w:type="dxa"/>
              <w:bottom w:w="40" w:type="dxa"/>
              <w:right w:w="40" w:type="dxa"/>
            </w:tcMar>
            <w:vAlign w:val="bottom"/>
          </w:tcPr>
          <w:p w14:paraId="2A73A55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A55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28, </w:t>
            </w:r>
            <w:r>
              <w:rPr>
                <w:rFonts w:ascii="Helvetica" w:eastAsia="Helvetica" w:hAnsi="Helvetica" w:cs="Helvetica"/>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2A73A5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A55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29, </w:t>
            </w:r>
            <w:r>
              <w:rPr>
                <w:rFonts w:ascii="Helvetica" w:eastAsia="Helvetica" w:hAnsi="Helvetica" w:cs="Helvetica"/>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2A73A55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A55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30, </w:t>
            </w:r>
            <w:r>
              <w:rPr>
                <w:rFonts w:ascii="Helvetica" w:eastAsia="Helvetica" w:hAnsi="Helvetica" w:cs="Helvetica"/>
                <w:b/>
                <w:bCs/>
                <w:sz w:val="16"/>
                <w:szCs w:val="16"/>
              </w:rPr>
              <w:br/>
              <w:t>2017</w:t>
            </w:r>
          </w:p>
        </w:tc>
      </w:tr>
      <w:tr w:rsidR="00FA5565" w14:paraId="2A73A568" w14:textId="77777777">
        <w:tc>
          <w:tcPr>
            <w:tcW w:w="0" w:type="auto"/>
            <w:shd w:val="clear" w:color="auto" w:fill="auto"/>
            <w:tcMar>
              <w:top w:w="40" w:type="dxa"/>
              <w:left w:w="40" w:type="dxa"/>
              <w:bottom w:w="40" w:type="dxa"/>
              <w:right w:w="40" w:type="dxa"/>
            </w:tcMar>
            <w:vAlign w:val="bottom"/>
          </w:tcPr>
          <w:p w14:paraId="2A73A55C"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Net income</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2A73A55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2A73A55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55,256</w:t>
            </w:r>
          </w:p>
        </w:tc>
        <w:tc>
          <w:tcPr>
            <w:tcW w:w="0" w:type="auto"/>
            <w:tcBorders>
              <w:top w:val="single" w:sz="8" w:space="0" w:color="000000"/>
              <w:bottom w:val="single" w:sz="8" w:space="0" w:color="000000"/>
            </w:tcBorders>
            <w:shd w:val="clear" w:color="auto" w:fill="auto"/>
            <w:vAlign w:val="bottom"/>
          </w:tcPr>
          <w:p w14:paraId="2A73A55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2A73A56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2A73A56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59,531</w:t>
            </w:r>
          </w:p>
        </w:tc>
        <w:tc>
          <w:tcPr>
            <w:tcW w:w="0" w:type="auto"/>
            <w:tcBorders>
              <w:top w:val="single" w:sz="8" w:space="0" w:color="000000"/>
              <w:bottom w:val="single" w:sz="8" w:space="0" w:color="000000"/>
            </w:tcBorders>
            <w:shd w:val="clear" w:color="auto" w:fill="auto"/>
            <w:vAlign w:val="bottom"/>
          </w:tcPr>
          <w:p w14:paraId="2A73A56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2A73A56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2A73A56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48,351</w:t>
            </w:r>
          </w:p>
        </w:tc>
        <w:tc>
          <w:tcPr>
            <w:tcW w:w="0" w:type="auto"/>
            <w:tcBorders>
              <w:top w:val="single" w:sz="8" w:space="0" w:color="000000"/>
              <w:bottom w:val="single" w:sz="8" w:space="0" w:color="000000"/>
            </w:tcBorders>
            <w:shd w:val="clear" w:color="auto" w:fill="auto"/>
            <w:vAlign w:val="bottom"/>
          </w:tcPr>
          <w:p w14:paraId="2A73A567" w14:textId="77777777" w:rsidR="00FA5565" w:rsidRDefault="00FA5565">
            <w:pPr>
              <w:textAlignment w:val="bottom"/>
              <w:rPr>
                <w:rFonts w:ascii="Times New Roman" w:hAnsi="Times New Roman"/>
                <w:sz w:val="20"/>
                <w:szCs w:val="20"/>
              </w:rPr>
            </w:pPr>
          </w:p>
        </w:tc>
      </w:tr>
      <w:tr w:rsidR="00FA5565" w14:paraId="2A73A56F" w14:textId="77777777">
        <w:tc>
          <w:tcPr>
            <w:tcW w:w="0" w:type="auto"/>
            <w:shd w:val="clear" w:color="auto" w:fill="EFEFEF"/>
            <w:tcMar>
              <w:top w:w="40" w:type="dxa"/>
              <w:left w:w="40" w:type="dxa"/>
              <w:bottom w:w="40" w:type="dxa"/>
              <w:right w:w="40" w:type="dxa"/>
            </w:tcMar>
            <w:vAlign w:val="bottom"/>
          </w:tcPr>
          <w:p w14:paraId="2A73A56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Other comprehensive income/(loss):</w:t>
            </w:r>
          </w:p>
        </w:tc>
        <w:tc>
          <w:tcPr>
            <w:tcW w:w="0" w:type="auto"/>
            <w:gridSpan w:val="3"/>
            <w:shd w:val="clear" w:color="auto" w:fill="EFEFEF"/>
            <w:tcMar>
              <w:top w:w="40" w:type="dxa"/>
              <w:left w:w="40" w:type="dxa"/>
              <w:bottom w:w="40" w:type="dxa"/>
              <w:right w:w="40" w:type="dxa"/>
            </w:tcMar>
            <w:vAlign w:val="bottom"/>
          </w:tcPr>
          <w:p w14:paraId="2A73A5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5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6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5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6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579" w14:textId="77777777">
        <w:tc>
          <w:tcPr>
            <w:tcW w:w="0" w:type="auto"/>
            <w:shd w:val="clear" w:color="auto" w:fill="auto"/>
            <w:tcMar>
              <w:top w:w="40" w:type="dxa"/>
              <w:left w:w="560" w:type="dxa"/>
              <w:bottom w:w="40" w:type="dxa"/>
              <w:right w:w="40" w:type="dxa"/>
            </w:tcMar>
            <w:vAlign w:val="bottom"/>
          </w:tcPr>
          <w:p w14:paraId="2A73A570"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Change in foreign currency translation, net of tax</w:t>
            </w:r>
          </w:p>
        </w:tc>
        <w:tc>
          <w:tcPr>
            <w:tcW w:w="0" w:type="auto"/>
            <w:gridSpan w:val="2"/>
            <w:shd w:val="clear" w:color="auto" w:fill="auto"/>
            <w:tcMar>
              <w:top w:w="40" w:type="dxa"/>
              <w:left w:w="40" w:type="dxa"/>
              <w:bottom w:w="40" w:type="dxa"/>
            </w:tcMar>
            <w:vAlign w:val="bottom"/>
          </w:tcPr>
          <w:p w14:paraId="2A73A57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(408</w:t>
            </w:r>
          </w:p>
        </w:tc>
        <w:tc>
          <w:tcPr>
            <w:tcW w:w="0" w:type="auto"/>
            <w:shd w:val="clear" w:color="auto" w:fill="auto"/>
            <w:tcMar>
              <w:top w:w="40" w:type="dxa"/>
              <w:bottom w:w="40" w:type="dxa"/>
              <w:right w:w="40" w:type="dxa"/>
            </w:tcMar>
            <w:vAlign w:val="bottom"/>
          </w:tcPr>
          <w:p w14:paraId="2A73A57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57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57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(525</w:t>
            </w:r>
          </w:p>
        </w:tc>
        <w:tc>
          <w:tcPr>
            <w:tcW w:w="0" w:type="auto"/>
            <w:shd w:val="clear" w:color="auto" w:fill="auto"/>
            <w:tcMar>
              <w:top w:w="40" w:type="dxa"/>
              <w:bottom w:w="40" w:type="dxa"/>
              <w:right w:w="40" w:type="dxa"/>
            </w:tcMar>
            <w:vAlign w:val="bottom"/>
          </w:tcPr>
          <w:p w14:paraId="2A73A57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57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57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224</w:t>
            </w:r>
          </w:p>
        </w:tc>
        <w:tc>
          <w:tcPr>
            <w:tcW w:w="0" w:type="auto"/>
            <w:shd w:val="clear" w:color="auto" w:fill="auto"/>
            <w:vAlign w:val="bottom"/>
          </w:tcPr>
          <w:p w14:paraId="2A73A578" w14:textId="77777777" w:rsidR="00FA5565" w:rsidRDefault="00FA5565">
            <w:pPr>
              <w:textAlignment w:val="bottom"/>
              <w:rPr>
                <w:rFonts w:ascii="Times New Roman" w:hAnsi="Times New Roman"/>
                <w:sz w:val="20"/>
                <w:szCs w:val="20"/>
              </w:rPr>
            </w:pPr>
          </w:p>
        </w:tc>
      </w:tr>
      <w:tr w:rsidR="00FA5565" w14:paraId="2A73A580" w14:textId="77777777">
        <w:tc>
          <w:tcPr>
            <w:tcW w:w="0" w:type="auto"/>
            <w:shd w:val="clear" w:color="auto" w:fill="EFEFEF"/>
            <w:tcMar>
              <w:top w:w="40" w:type="dxa"/>
              <w:left w:w="40" w:type="dxa"/>
              <w:bottom w:w="40" w:type="dxa"/>
              <w:right w:w="40" w:type="dxa"/>
            </w:tcMar>
            <w:vAlign w:val="bottom"/>
          </w:tcPr>
          <w:p w14:paraId="2A73A57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7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57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7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57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7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587" w14:textId="77777777">
        <w:tc>
          <w:tcPr>
            <w:tcW w:w="0" w:type="auto"/>
            <w:shd w:val="clear" w:color="auto" w:fill="auto"/>
            <w:tcMar>
              <w:top w:w="40" w:type="dxa"/>
              <w:left w:w="560" w:type="dxa"/>
              <w:bottom w:w="40" w:type="dxa"/>
              <w:right w:w="40" w:type="dxa"/>
            </w:tcMar>
            <w:vAlign w:val="bottom"/>
          </w:tcPr>
          <w:p w14:paraId="2A73A581"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Change in unrealized gains/losses on derivative instruments, net of tax:</w:t>
            </w:r>
          </w:p>
        </w:tc>
        <w:tc>
          <w:tcPr>
            <w:tcW w:w="0" w:type="auto"/>
            <w:gridSpan w:val="3"/>
            <w:shd w:val="clear" w:color="auto" w:fill="auto"/>
            <w:tcMar>
              <w:top w:w="40" w:type="dxa"/>
              <w:left w:w="40" w:type="dxa"/>
              <w:bottom w:w="40" w:type="dxa"/>
              <w:right w:w="40" w:type="dxa"/>
            </w:tcMar>
            <w:vAlign w:val="bottom"/>
          </w:tcPr>
          <w:p w14:paraId="2A73A58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58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58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5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58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591" w14:textId="77777777">
        <w:tc>
          <w:tcPr>
            <w:tcW w:w="0" w:type="auto"/>
            <w:shd w:val="clear" w:color="auto" w:fill="EFEFEF"/>
            <w:tcMar>
              <w:top w:w="40" w:type="dxa"/>
              <w:left w:w="1040" w:type="dxa"/>
              <w:bottom w:w="40" w:type="dxa"/>
              <w:right w:w="40" w:type="dxa"/>
            </w:tcMar>
            <w:vAlign w:val="bottom"/>
          </w:tcPr>
          <w:p w14:paraId="2A73A588"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Change in fair value of derivatives</w:t>
            </w:r>
          </w:p>
        </w:tc>
        <w:tc>
          <w:tcPr>
            <w:tcW w:w="0" w:type="auto"/>
            <w:gridSpan w:val="2"/>
            <w:shd w:val="clear" w:color="auto" w:fill="EFEFEF"/>
            <w:tcMar>
              <w:top w:w="40" w:type="dxa"/>
              <w:left w:w="40" w:type="dxa"/>
              <w:bottom w:w="40" w:type="dxa"/>
            </w:tcMar>
            <w:vAlign w:val="bottom"/>
          </w:tcPr>
          <w:p w14:paraId="2A73A58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(661</w:t>
            </w:r>
          </w:p>
        </w:tc>
        <w:tc>
          <w:tcPr>
            <w:tcW w:w="0" w:type="auto"/>
            <w:shd w:val="clear" w:color="auto" w:fill="EFEFEF"/>
            <w:tcMar>
              <w:top w:w="40" w:type="dxa"/>
              <w:bottom w:w="40" w:type="dxa"/>
              <w:right w:w="40" w:type="dxa"/>
            </w:tcMar>
            <w:vAlign w:val="bottom"/>
          </w:tcPr>
          <w:p w14:paraId="2A73A58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5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58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523</w:t>
            </w:r>
          </w:p>
        </w:tc>
        <w:tc>
          <w:tcPr>
            <w:tcW w:w="0" w:type="auto"/>
            <w:shd w:val="clear" w:color="auto" w:fill="EFEFEF"/>
            <w:vAlign w:val="bottom"/>
          </w:tcPr>
          <w:p w14:paraId="2A73A58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58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58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1,315</w:t>
            </w:r>
          </w:p>
        </w:tc>
        <w:tc>
          <w:tcPr>
            <w:tcW w:w="0" w:type="auto"/>
            <w:shd w:val="clear" w:color="auto" w:fill="EFEFEF"/>
            <w:vAlign w:val="bottom"/>
          </w:tcPr>
          <w:p w14:paraId="2A73A590" w14:textId="77777777" w:rsidR="00FA5565" w:rsidRDefault="00FA5565">
            <w:pPr>
              <w:textAlignment w:val="bottom"/>
              <w:rPr>
                <w:rFonts w:ascii="Times New Roman" w:hAnsi="Times New Roman"/>
                <w:sz w:val="20"/>
                <w:szCs w:val="20"/>
              </w:rPr>
            </w:pPr>
          </w:p>
        </w:tc>
      </w:tr>
      <w:tr w:rsidR="00FA5565" w14:paraId="2A73A59B" w14:textId="77777777">
        <w:tc>
          <w:tcPr>
            <w:tcW w:w="0" w:type="auto"/>
            <w:shd w:val="clear" w:color="auto" w:fill="auto"/>
            <w:tcMar>
              <w:top w:w="40" w:type="dxa"/>
              <w:left w:w="1040" w:type="dxa"/>
              <w:bottom w:w="40" w:type="dxa"/>
              <w:right w:w="40" w:type="dxa"/>
            </w:tcMar>
            <w:vAlign w:val="bottom"/>
          </w:tcPr>
          <w:p w14:paraId="2A73A592"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 xml:space="preserve">Adjustment for net </w:t>
            </w:r>
            <w:r>
              <w:rPr>
                <w:rFonts w:ascii="Helvetica" w:eastAsia="Helvetica" w:hAnsi="Helvetica" w:cs="Helvetica"/>
                <w:sz w:val="18"/>
                <w:szCs w:val="18"/>
              </w:rPr>
              <w:t>(gains)/losses realized and included in net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2A73A59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w:t>
            </w:r>
          </w:p>
        </w:tc>
        <w:tc>
          <w:tcPr>
            <w:tcW w:w="0" w:type="auto"/>
            <w:tcBorders>
              <w:bottom w:val="single" w:sz="8" w:space="0" w:color="000000"/>
            </w:tcBorders>
            <w:shd w:val="clear" w:color="auto" w:fill="auto"/>
            <w:vAlign w:val="bottom"/>
          </w:tcPr>
          <w:p w14:paraId="2A73A59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59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382</w:t>
            </w:r>
          </w:p>
        </w:tc>
        <w:tc>
          <w:tcPr>
            <w:tcW w:w="0" w:type="auto"/>
            <w:tcBorders>
              <w:bottom w:val="single" w:sz="8" w:space="0" w:color="000000"/>
            </w:tcBorders>
            <w:shd w:val="clear" w:color="auto" w:fill="auto"/>
            <w:vAlign w:val="bottom"/>
          </w:tcPr>
          <w:p w14:paraId="2A73A59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9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59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(1,477</w:t>
            </w:r>
          </w:p>
        </w:tc>
        <w:tc>
          <w:tcPr>
            <w:tcW w:w="0" w:type="auto"/>
            <w:tcBorders>
              <w:bottom w:val="single" w:sz="8" w:space="0" w:color="000000"/>
            </w:tcBorders>
            <w:shd w:val="clear" w:color="auto" w:fill="auto"/>
            <w:tcMar>
              <w:top w:w="40" w:type="dxa"/>
              <w:bottom w:w="40" w:type="dxa"/>
              <w:right w:w="40" w:type="dxa"/>
            </w:tcMar>
            <w:vAlign w:val="bottom"/>
          </w:tcPr>
          <w:p w14:paraId="2A73A59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5A5" w14:textId="77777777">
        <w:tc>
          <w:tcPr>
            <w:tcW w:w="0" w:type="auto"/>
            <w:shd w:val="clear" w:color="auto" w:fill="EFEFEF"/>
            <w:tcMar>
              <w:top w:w="40" w:type="dxa"/>
              <w:left w:w="1680" w:type="dxa"/>
              <w:bottom w:w="40" w:type="dxa"/>
              <w:right w:w="40" w:type="dxa"/>
            </w:tcMar>
            <w:vAlign w:val="bottom"/>
          </w:tcPr>
          <w:p w14:paraId="2A73A59C"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Total change in unrealized gains/losses on derivative instruments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59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(638</w:t>
            </w:r>
          </w:p>
        </w:tc>
        <w:tc>
          <w:tcPr>
            <w:tcW w:w="0" w:type="auto"/>
            <w:tcBorders>
              <w:bottom w:val="single" w:sz="8" w:space="0" w:color="000000"/>
            </w:tcBorders>
            <w:shd w:val="clear" w:color="auto" w:fill="EFEFEF"/>
            <w:tcMar>
              <w:top w:w="40" w:type="dxa"/>
              <w:bottom w:w="40" w:type="dxa"/>
              <w:right w:w="40" w:type="dxa"/>
            </w:tcMar>
            <w:vAlign w:val="bottom"/>
          </w:tcPr>
          <w:p w14:paraId="2A73A59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59F"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EFEFEF"/>
            <w:tcMar>
              <w:top w:w="40" w:type="dxa"/>
              <w:left w:w="40" w:type="dxa"/>
              <w:bottom w:w="40" w:type="dxa"/>
            </w:tcMar>
            <w:vAlign w:val="bottom"/>
          </w:tcPr>
          <w:p w14:paraId="2A73A5A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905</w:t>
            </w:r>
          </w:p>
        </w:tc>
        <w:tc>
          <w:tcPr>
            <w:tcW w:w="0" w:type="auto"/>
            <w:tcBorders>
              <w:bottom w:val="single" w:sz="8" w:space="0" w:color="000000"/>
            </w:tcBorders>
            <w:shd w:val="clear" w:color="auto" w:fill="EFEFEF"/>
            <w:vAlign w:val="bottom"/>
          </w:tcPr>
          <w:p w14:paraId="2A73A5A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5A2"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EFEFEF"/>
            <w:tcMar>
              <w:top w:w="40" w:type="dxa"/>
              <w:left w:w="40" w:type="dxa"/>
              <w:bottom w:w="40" w:type="dxa"/>
            </w:tcMar>
            <w:vAlign w:val="bottom"/>
          </w:tcPr>
          <w:p w14:paraId="2A73A5A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w:t>
            </w:r>
          </w:p>
        </w:tc>
        <w:tc>
          <w:tcPr>
            <w:tcW w:w="0" w:type="auto"/>
            <w:tcBorders>
              <w:bottom w:val="single" w:sz="8" w:space="0" w:color="000000"/>
            </w:tcBorders>
            <w:shd w:val="clear" w:color="auto" w:fill="EFEFEF"/>
            <w:tcMar>
              <w:top w:w="40" w:type="dxa"/>
              <w:bottom w:w="40" w:type="dxa"/>
              <w:right w:w="40" w:type="dxa"/>
            </w:tcMar>
            <w:vAlign w:val="bottom"/>
          </w:tcPr>
          <w:p w14:paraId="2A73A5A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5AC" w14:textId="77777777">
        <w:tc>
          <w:tcPr>
            <w:tcW w:w="0" w:type="auto"/>
            <w:shd w:val="clear" w:color="auto" w:fill="auto"/>
            <w:tcMar>
              <w:top w:w="40" w:type="dxa"/>
              <w:left w:w="40" w:type="dxa"/>
              <w:bottom w:w="40" w:type="dxa"/>
              <w:right w:w="40" w:type="dxa"/>
            </w:tcMar>
            <w:vAlign w:val="bottom"/>
          </w:tcPr>
          <w:p w14:paraId="2A73A5A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5A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5A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5A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5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5A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5B3" w14:textId="77777777">
        <w:tc>
          <w:tcPr>
            <w:tcW w:w="0" w:type="auto"/>
            <w:shd w:val="clear" w:color="auto" w:fill="EFEFEF"/>
            <w:tcMar>
              <w:top w:w="40" w:type="dxa"/>
              <w:left w:w="560" w:type="dxa"/>
              <w:bottom w:w="40" w:type="dxa"/>
              <w:right w:w="40" w:type="dxa"/>
            </w:tcMar>
            <w:vAlign w:val="bottom"/>
          </w:tcPr>
          <w:p w14:paraId="2A73A5AD"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Change in unrealized gains/losses on marketable securities, net of tax:</w:t>
            </w:r>
          </w:p>
        </w:tc>
        <w:tc>
          <w:tcPr>
            <w:tcW w:w="0" w:type="auto"/>
            <w:gridSpan w:val="3"/>
            <w:shd w:val="clear" w:color="auto" w:fill="EFEFEF"/>
            <w:tcMar>
              <w:top w:w="40" w:type="dxa"/>
              <w:left w:w="40" w:type="dxa"/>
              <w:bottom w:w="40" w:type="dxa"/>
              <w:right w:w="40" w:type="dxa"/>
            </w:tcMar>
            <w:vAlign w:val="bottom"/>
          </w:tcPr>
          <w:p w14:paraId="2A73A5A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5A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B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5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B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5BD" w14:textId="77777777">
        <w:tc>
          <w:tcPr>
            <w:tcW w:w="0" w:type="auto"/>
            <w:shd w:val="clear" w:color="auto" w:fill="auto"/>
            <w:tcMar>
              <w:top w:w="40" w:type="dxa"/>
              <w:left w:w="1040" w:type="dxa"/>
              <w:bottom w:w="40" w:type="dxa"/>
              <w:right w:w="40" w:type="dxa"/>
            </w:tcMar>
            <w:vAlign w:val="bottom"/>
          </w:tcPr>
          <w:p w14:paraId="2A73A5B4"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Change in fair value of marketable securities</w:t>
            </w:r>
          </w:p>
        </w:tc>
        <w:tc>
          <w:tcPr>
            <w:tcW w:w="0" w:type="auto"/>
            <w:gridSpan w:val="2"/>
            <w:shd w:val="clear" w:color="auto" w:fill="auto"/>
            <w:tcMar>
              <w:top w:w="40" w:type="dxa"/>
              <w:left w:w="40" w:type="dxa"/>
              <w:bottom w:w="40" w:type="dxa"/>
            </w:tcMar>
            <w:vAlign w:val="bottom"/>
          </w:tcPr>
          <w:p w14:paraId="2A73A5B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3,802</w:t>
            </w:r>
          </w:p>
        </w:tc>
        <w:tc>
          <w:tcPr>
            <w:tcW w:w="0" w:type="auto"/>
            <w:shd w:val="clear" w:color="auto" w:fill="auto"/>
            <w:vAlign w:val="bottom"/>
          </w:tcPr>
          <w:p w14:paraId="2A73A5B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B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5B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(3,407</w:t>
            </w:r>
          </w:p>
        </w:tc>
        <w:tc>
          <w:tcPr>
            <w:tcW w:w="0" w:type="auto"/>
            <w:shd w:val="clear" w:color="auto" w:fill="auto"/>
            <w:tcMar>
              <w:top w:w="40" w:type="dxa"/>
              <w:bottom w:w="40" w:type="dxa"/>
              <w:right w:w="40" w:type="dxa"/>
            </w:tcMar>
            <w:vAlign w:val="bottom"/>
          </w:tcPr>
          <w:p w14:paraId="2A73A5B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5B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5B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(782</w:t>
            </w:r>
          </w:p>
        </w:tc>
        <w:tc>
          <w:tcPr>
            <w:tcW w:w="0" w:type="auto"/>
            <w:shd w:val="clear" w:color="auto" w:fill="auto"/>
            <w:tcMar>
              <w:top w:w="40" w:type="dxa"/>
              <w:bottom w:w="40" w:type="dxa"/>
              <w:right w:w="40" w:type="dxa"/>
            </w:tcMar>
            <w:vAlign w:val="bottom"/>
          </w:tcPr>
          <w:p w14:paraId="2A73A5B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5C7" w14:textId="77777777">
        <w:tc>
          <w:tcPr>
            <w:tcW w:w="0" w:type="auto"/>
            <w:shd w:val="clear" w:color="auto" w:fill="EFEFEF"/>
            <w:tcMar>
              <w:top w:w="40" w:type="dxa"/>
              <w:left w:w="1040" w:type="dxa"/>
              <w:bottom w:w="40" w:type="dxa"/>
              <w:right w:w="40" w:type="dxa"/>
            </w:tcMar>
            <w:vAlign w:val="bottom"/>
          </w:tcPr>
          <w:p w14:paraId="2A73A5BE"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Adjustment for net (gains)/losses realized and included in net income</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5B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w:t>
            </w:r>
          </w:p>
        </w:tc>
        <w:tc>
          <w:tcPr>
            <w:tcW w:w="0" w:type="auto"/>
            <w:tcBorders>
              <w:bottom w:val="single" w:sz="8" w:space="0" w:color="000000"/>
            </w:tcBorders>
            <w:shd w:val="clear" w:color="auto" w:fill="EFEFEF"/>
            <w:vAlign w:val="bottom"/>
          </w:tcPr>
          <w:p w14:paraId="2A73A5C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5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5C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w:t>
            </w:r>
          </w:p>
        </w:tc>
        <w:tc>
          <w:tcPr>
            <w:tcW w:w="0" w:type="auto"/>
            <w:tcBorders>
              <w:bottom w:val="single" w:sz="8" w:space="0" w:color="000000"/>
            </w:tcBorders>
            <w:shd w:val="clear" w:color="auto" w:fill="EFEFEF"/>
            <w:vAlign w:val="bottom"/>
          </w:tcPr>
          <w:p w14:paraId="2A73A5C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5C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5C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(64</w:t>
            </w:r>
          </w:p>
        </w:tc>
        <w:tc>
          <w:tcPr>
            <w:tcW w:w="0" w:type="auto"/>
            <w:tcBorders>
              <w:bottom w:val="single" w:sz="8" w:space="0" w:color="000000"/>
            </w:tcBorders>
            <w:shd w:val="clear" w:color="auto" w:fill="EFEFEF"/>
            <w:tcMar>
              <w:top w:w="40" w:type="dxa"/>
              <w:bottom w:w="40" w:type="dxa"/>
              <w:right w:w="40" w:type="dxa"/>
            </w:tcMar>
            <w:vAlign w:val="bottom"/>
          </w:tcPr>
          <w:p w14:paraId="2A73A5C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5D1" w14:textId="77777777">
        <w:tc>
          <w:tcPr>
            <w:tcW w:w="0" w:type="auto"/>
            <w:shd w:val="clear" w:color="auto" w:fill="auto"/>
            <w:tcMar>
              <w:top w:w="40" w:type="dxa"/>
              <w:left w:w="1680" w:type="dxa"/>
              <w:bottom w:w="40" w:type="dxa"/>
              <w:right w:w="40" w:type="dxa"/>
            </w:tcMar>
            <w:vAlign w:val="bottom"/>
          </w:tcPr>
          <w:p w14:paraId="2A73A5C8"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Total change in unrealized gains/losses on marketable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2A73A5C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3,827</w:t>
            </w:r>
          </w:p>
        </w:tc>
        <w:tc>
          <w:tcPr>
            <w:tcW w:w="0" w:type="auto"/>
            <w:tcBorders>
              <w:bottom w:val="single" w:sz="8" w:space="0" w:color="000000"/>
            </w:tcBorders>
            <w:shd w:val="clear" w:color="auto" w:fill="auto"/>
            <w:vAlign w:val="bottom"/>
          </w:tcPr>
          <w:p w14:paraId="2A73A5C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CB"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auto"/>
            <w:tcMar>
              <w:top w:w="40" w:type="dxa"/>
              <w:left w:w="40" w:type="dxa"/>
              <w:bottom w:w="40" w:type="dxa"/>
            </w:tcMar>
            <w:vAlign w:val="bottom"/>
          </w:tcPr>
          <w:p w14:paraId="2A73A5C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(3,406</w:t>
            </w:r>
          </w:p>
        </w:tc>
        <w:tc>
          <w:tcPr>
            <w:tcW w:w="0" w:type="auto"/>
            <w:tcBorders>
              <w:bottom w:val="single" w:sz="8" w:space="0" w:color="000000"/>
            </w:tcBorders>
            <w:shd w:val="clear" w:color="auto" w:fill="auto"/>
            <w:tcMar>
              <w:top w:w="40" w:type="dxa"/>
              <w:bottom w:w="40" w:type="dxa"/>
              <w:right w:w="40" w:type="dxa"/>
            </w:tcMar>
            <w:vAlign w:val="bottom"/>
          </w:tcPr>
          <w:p w14:paraId="2A73A5C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5CE"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auto"/>
            <w:tcMar>
              <w:top w:w="40" w:type="dxa"/>
              <w:left w:w="40" w:type="dxa"/>
              <w:bottom w:w="40" w:type="dxa"/>
            </w:tcMar>
            <w:vAlign w:val="bottom"/>
          </w:tcPr>
          <w:p w14:paraId="2A73A5C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(846</w:t>
            </w:r>
          </w:p>
        </w:tc>
        <w:tc>
          <w:tcPr>
            <w:tcW w:w="0" w:type="auto"/>
            <w:tcBorders>
              <w:bottom w:val="single" w:sz="8" w:space="0" w:color="000000"/>
            </w:tcBorders>
            <w:shd w:val="clear" w:color="auto" w:fill="auto"/>
            <w:tcMar>
              <w:top w:w="40" w:type="dxa"/>
              <w:bottom w:w="40" w:type="dxa"/>
              <w:right w:w="40" w:type="dxa"/>
            </w:tcMar>
            <w:vAlign w:val="bottom"/>
          </w:tcPr>
          <w:p w14:paraId="2A73A5D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5D8" w14:textId="77777777">
        <w:tc>
          <w:tcPr>
            <w:tcW w:w="0" w:type="auto"/>
            <w:shd w:val="clear" w:color="auto" w:fill="EFEFEF"/>
            <w:tcMar>
              <w:top w:w="40" w:type="dxa"/>
              <w:left w:w="40" w:type="dxa"/>
              <w:bottom w:w="40" w:type="dxa"/>
              <w:right w:w="40" w:type="dxa"/>
            </w:tcMar>
            <w:vAlign w:val="bottom"/>
          </w:tcPr>
          <w:p w14:paraId="2A73A5D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D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5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D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5D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5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5E2" w14:textId="77777777">
        <w:tc>
          <w:tcPr>
            <w:tcW w:w="0" w:type="auto"/>
            <w:shd w:val="clear" w:color="auto" w:fill="auto"/>
            <w:tcMar>
              <w:top w:w="40" w:type="dxa"/>
              <w:left w:w="40" w:type="dxa"/>
              <w:bottom w:w="40" w:type="dxa"/>
              <w:right w:w="40" w:type="dxa"/>
            </w:tcMar>
          </w:tcPr>
          <w:p w14:paraId="2A73A5D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other comprehensive income/(loss)</w:t>
            </w:r>
          </w:p>
        </w:tc>
        <w:tc>
          <w:tcPr>
            <w:tcW w:w="0" w:type="auto"/>
            <w:gridSpan w:val="2"/>
            <w:tcBorders>
              <w:bottom w:val="single" w:sz="8" w:space="0" w:color="000000"/>
            </w:tcBorders>
            <w:shd w:val="clear" w:color="auto" w:fill="auto"/>
            <w:tcMar>
              <w:top w:w="40" w:type="dxa"/>
              <w:left w:w="40" w:type="dxa"/>
              <w:bottom w:w="40" w:type="dxa"/>
            </w:tcMar>
            <w:vAlign w:val="bottom"/>
          </w:tcPr>
          <w:p w14:paraId="2A73A5D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2,781</w:t>
            </w:r>
          </w:p>
        </w:tc>
        <w:tc>
          <w:tcPr>
            <w:tcW w:w="0" w:type="auto"/>
            <w:tcBorders>
              <w:bottom w:val="single" w:sz="8" w:space="0" w:color="000000"/>
            </w:tcBorders>
            <w:shd w:val="clear" w:color="auto" w:fill="auto"/>
            <w:vAlign w:val="bottom"/>
          </w:tcPr>
          <w:p w14:paraId="2A73A5D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5DC"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auto"/>
            <w:tcMar>
              <w:top w:w="40" w:type="dxa"/>
              <w:left w:w="40" w:type="dxa"/>
              <w:bottom w:w="40" w:type="dxa"/>
            </w:tcMar>
            <w:vAlign w:val="bottom"/>
          </w:tcPr>
          <w:p w14:paraId="2A73A5D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(3,026</w:t>
            </w:r>
          </w:p>
        </w:tc>
        <w:tc>
          <w:tcPr>
            <w:tcW w:w="0" w:type="auto"/>
            <w:tcBorders>
              <w:bottom w:val="single" w:sz="8" w:space="0" w:color="000000"/>
            </w:tcBorders>
            <w:shd w:val="clear" w:color="auto" w:fill="auto"/>
            <w:tcMar>
              <w:top w:w="40" w:type="dxa"/>
              <w:bottom w:w="40" w:type="dxa"/>
              <w:right w:w="40" w:type="dxa"/>
            </w:tcMar>
            <w:vAlign w:val="bottom"/>
          </w:tcPr>
          <w:p w14:paraId="2A73A5D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5DF"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auto"/>
            <w:tcMar>
              <w:top w:w="40" w:type="dxa"/>
              <w:left w:w="40" w:type="dxa"/>
              <w:bottom w:w="40" w:type="dxa"/>
            </w:tcMar>
            <w:vAlign w:val="bottom"/>
          </w:tcPr>
          <w:p w14:paraId="2A73A5E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(784</w:t>
            </w:r>
          </w:p>
        </w:tc>
        <w:tc>
          <w:tcPr>
            <w:tcW w:w="0" w:type="auto"/>
            <w:tcBorders>
              <w:bottom w:val="single" w:sz="8" w:space="0" w:color="000000"/>
            </w:tcBorders>
            <w:shd w:val="clear" w:color="auto" w:fill="auto"/>
            <w:tcMar>
              <w:top w:w="40" w:type="dxa"/>
              <w:bottom w:w="40" w:type="dxa"/>
              <w:right w:w="40" w:type="dxa"/>
            </w:tcMar>
            <w:vAlign w:val="bottom"/>
          </w:tcPr>
          <w:p w14:paraId="2A73A5E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5EF" w14:textId="77777777">
        <w:tc>
          <w:tcPr>
            <w:tcW w:w="0" w:type="auto"/>
            <w:shd w:val="clear" w:color="auto" w:fill="EFEFEF"/>
            <w:tcMar>
              <w:top w:w="40" w:type="dxa"/>
              <w:left w:w="40" w:type="dxa"/>
              <w:bottom w:w="40" w:type="dxa"/>
              <w:right w:w="40" w:type="dxa"/>
            </w:tcMar>
          </w:tcPr>
          <w:p w14:paraId="2A73A5E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comprehensive income</w:t>
            </w:r>
          </w:p>
        </w:tc>
        <w:tc>
          <w:tcPr>
            <w:tcW w:w="0" w:type="auto"/>
            <w:tcBorders>
              <w:bottom w:val="double" w:sz="6" w:space="0" w:color="000000"/>
            </w:tcBorders>
            <w:shd w:val="clear" w:color="auto" w:fill="EFEFEF"/>
            <w:tcMar>
              <w:top w:w="40" w:type="dxa"/>
              <w:left w:w="40" w:type="dxa"/>
              <w:bottom w:w="40" w:type="dxa"/>
            </w:tcMar>
            <w:vAlign w:val="bottom"/>
          </w:tcPr>
          <w:p w14:paraId="2A73A5E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5E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58,037</w:t>
            </w:r>
          </w:p>
        </w:tc>
        <w:tc>
          <w:tcPr>
            <w:tcW w:w="0" w:type="auto"/>
            <w:tcBorders>
              <w:bottom w:val="double" w:sz="6" w:space="0" w:color="000000"/>
            </w:tcBorders>
            <w:shd w:val="clear" w:color="auto" w:fill="EFEFEF"/>
            <w:vAlign w:val="bottom"/>
          </w:tcPr>
          <w:p w14:paraId="2A73A5E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5E7"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EFEFEF"/>
            <w:tcMar>
              <w:top w:w="40" w:type="dxa"/>
              <w:left w:w="40" w:type="dxa"/>
              <w:bottom w:w="40" w:type="dxa"/>
            </w:tcMar>
            <w:vAlign w:val="bottom"/>
          </w:tcPr>
          <w:p w14:paraId="2A73A5E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5E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56,505</w:t>
            </w:r>
          </w:p>
        </w:tc>
        <w:tc>
          <w:tcPr>
            <w:tcW w:w="0" w:type="auto"/>
            <w:tcBorders>
              <w:bottom w:val="double" w:sz="6" w:space="0" w:color="000000"/>
            </w:tcBorders>
            <w:shd w:val="clear" w:color="auto" w:fill="EFEFEF"/>
            <w:vAlign w:val="bottom"/>
          </w:tcPr>
          <w:p w14:paraId="2A73A5E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5EB"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EFEFEF"/>
            <w:tcMar>
              <w:top w:w="40" w:type="dxa"/>
              <w:left w:w="40" w:type="dxa"/>
              <w:bottom w:w="40" w:type="dxa"/>
            </w:tcMar>
            <w:vAlign w:val="bottom"/>
          </w:tcPr>
          <w:p w14:paraId="2A73A5E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5E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47,567</w:t>
            </w:r>
          </w:p>
        </w:tc>
        <w:tc>
          <w:tcPr>
            <w:tcW w:w="0" w:type="auto"/>
            <w:tcBorders>
              <w:bottom w:val="double" w:sz="6" w:space="0" w:color="000000"/>
            </w:tcBorders>
            <w:shd w:val="clear" w:color="auto" w:fill="EFEFEF"/>
            <w:vAlign w:val="bottom"/>
          </w:tcPr>
          <w:p w14:paraId="2A73A5EE" w14:textId="77777777" w:rsidR="00FA5565" w:rsidRDefault="00FA5565">
            <w:pPr>
              <w:textAlignment w:val="bottom"/>
              <w:rPr>
                <w:rFonts w:ascii="Times New Roman" w:hAnsi="Times New Roman"/>
                <w:sz w:val="20"/>
                <w:szCs w:val="20"/>
              </w:rPr>
            </w:pPr>
          </w:p>
        </w:tc>
      </w:tr>
    </w:tbl>
    <w:p w14:paraId="2A73A5F0"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See accompanying Notes to Consolidated Financial Statements.</w:t>
      </w:r>
    </w:p>
    <w:p w14:paraId="2A73A5F1" w14:textId="77777777" w:rsidR="00FA5565" w:rsidRDefault="00FA5565">
      <w:pPr>
        <w:rPr>
          <w:rFonts w:ascii="Times New Roman" w:hAnsi="Times New Roman"/>
          <w:sz w:val="20"/>
          <w:szCs w:val="20"/>
        </w:rPr>
      </w:pPr>
    </w:p>
    <w:p w14:paraId="2A73A5F2"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30</w:t>
      </w:r>
    </w:p>
    <w:p w14:paraId="2A73A5F3" w14:textId="77777777" w:rsidR="00FA5565" w:rsidRDefault="00D804D1">
      <w:r>
        <w:rPr>
          <w:rFonts w:ascii="Times New Roman" w:hAnsi="Times New Roman"/>
          <w:sz w:val="16"/>
          <w:szCs w:val="16"/>
        </w:rPr>
        <w:pict w14:anchorId="2A73C0BA">
          <v:rect id="_x0000_i1056" style="width:415.3pt;height:1.5pt" o:hralign="center" o:hrstd="t" o:hr="t" fillcolor="#a0a0a0" stroked="f"/>
        </w:pict>
      </w:r>
    </w:p>
    <w:p w14:paraId="2A73A5F4" w14:textId="77777777" w:rsidR="00FA5565" w:rsidRDefault="00FA5565">
      <w:pPr>
        <w:rPr>
          <w:rFonts w:ascii="Times New Roman" w:hAnsi="Times New Roman"/>
          <w:sz w:val="20"/>
          <w:szCs w:val="20"/>
        </w:rPr>
      </w:pPr>
    </w:p>
    <w:p w14:paraId="2A73A5F5"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2A73A5F6"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CONSOLIDATED BALANCE SHEETS</w:t>
      </w:r>
    </w:p>
    <w:p w14:paraId="2A73A5F7"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(In millions, except number of shares which are reflected in thousands and par value)</w:t>
      </w:r>
    </w:p>
    <w:p w14:paraId="2A73A5F8" w14:textId="77777777" w:rsidR="00FA5565" w:rsidRDefault="00FA5565">
      <w:pPr>
        <w:spacing w:line="288" w:lineRule="auto"/>
        <w:rPr>
          <w:rFonts w:ascii="Times New Roman" w:hAnsi="Times New Roman"/>
        </w:rPr>
      </w:pPr>
    </w:p>
    <w:tbl>
      <w:tblPr>
        <w:tblW w:w="5000" w:type="pct"/>
        <w:tblCellMar>
          <w:left w:w="0" w:type="dxa"/>
          <w:right w:w="0" w:type="dxa"/>
        </w:tblCellMar>
        <w:tblLook w:val="04A0" w:firstRow="1" w:lastRow="0" w:firstColumn="1" w:lastColumn="0" w:noHBand="0" w:noVBand="1"/>
      </w:tblPr>
      <w:tblGrid>
        <w:gridCol w:w="5678"/>
        <w:gridCol w:w="142"/>
        <w:gridCol w:w="1007"/>
        <w:gridCol w:w="100"/>
        <w:gridCol w:w="130"/>
        <w:gridCol w:w="142"/>
        <w:gridCol w:w="1007"/>
        <w:gridCol w:w="100"/>
      </w:tblGrid>
      <w:tr w:rsidR="00FA5565" w14:paraId="2A73A5FA" w14:textId="77777777">
        <w:tc>
          <w:tcPr>
            <w:tcW w:w="0" w:type="auto"/>
            <w:gridSpan w:val="8"/>
            <w:shd w:val="clear" w:color="auto" w:fill="auto"/>
            <w:vAlign w:val="center"/>
          </w:tcPr>
          <w:p w14:paraId="2A73A5F9" w14:textId="77777777" w:rsidR="00FA5565" w:rsidRDefault="00FA5565">
            <w:pPr>
              <w:rPr>
                <w:rFonts w:ascii="Times New Roman" w:hAnsi="Times New Roman"/>
                <w:sz w:val="20"/>
                <w:szCs w:val="20"/>
              </w:rPr>
            </w:pPr>
          </w:p>
        </w:tc>
      </w:tr>
      <w:tr w:rsidR="00FA5565" w14:paraId="2A73A603" w14:textId="77777777">
        <w:tc>
          <w:tcPr>
            <w:tcW w:w="3550" w:type="pct"/>
            <w:shd w:val="clear" w:color="auto" w:fill="auto"/>
            <w:vAlign w:val="center"/>
          </w:tcPr>
          <w:p w14:paraId="2A73A5FB" w14:textId="77777777" w:rsidR="00FA5565" w:rsidRDefault="00FA5565">
            <w:pPr>
              <w:rPr>
                <w:rFonts w:ascii="Times New Roman" w:hAnsi="Times New Roman"/>
                <w:sz w:val="20"/>
                <w:szCs w:val="20"/>
              </w:rPr>
            </w:pPr>
          </w:p>
        </w:tc>
        <w:tc>
          <w:tcPr>
            <w:tcW w:w="50" w:type="pct"/>
            <w:shd w:val="clear" w:color="auto" w:fill="auto"/>
            <w:vAlign w:val="center"/>
          </w:tcPr>
          <w:p w14:paraId="2A73A5FC" w14:textId="77777777" w:rsidR="00FA5565" w:rsidRDefault="00FA5565">
            <w:pPr>
              <w:rPr>
                <w:rFonts w:ascii="Times New Roman" w:hAnsi="Times New Roman"/>
                <w:sz w:val="20"/>
                <w:szCs w:val="20"/>
              </w:rPr>
            </w:pPr>
          </w:p>
        </w:tc>
        <w:tc>
          <w:tcPr>
            <w:tcW w:w="600" w:type="pct"/>
            <w:shd w:val="clear" w:color="auto" w:fill="auto"/>
            <w:vAlign w:val="center"/>
          </w:tcPr>
          <w:p w14:paraId="2A73A5FD" w14:textId="77777777" w:rsidR="00FA5565" w:rsidRDefault="00FA5565">
            <w:pPr>
              <w:rPr>
                <w:rFonts w:ascii="Times New Roman" w:hAnsi="Times New Roman"/>
                <w:sz w:val="20"/>
                <w:szCs w:val="20"/>
              </w:rPr>
            </w:pPr>
          </w:p>
        </w:tc>
        <w:tc>
          <w:tcPr>
            <w:tcW w:w="50" w:type="pct"/>
            <w:shd w:val="clear" w:color="auto" w:fill="auto"/>
            <w:vAlign w:val="center"/>
          </w:tcPr>
          <w:p w14:paraId="2A73A5FE" w14:textId="77777777" w:rsidR="00FA5565" w:rsidRDefault="00FA5565">
            <w:pPr>
              <w:rPr>
                <w:rFonts w:ascii="Times New Roman" w:hAnsi="Times New Roman"/>
                <w:sz w:val="20"/>
                <w:szCs w:val="20"/>
              </w:rPr>
            </w:pPr>
          </w:p>
        </w:tc>
        <w:tc>
          <w:tcPr>
            <w:tcW w:w="50" w:type="pct"/>
            <w:shd w:val="clear" w:color="auto" w:fill="auto"/>
            <w:vAlign w:val="center"/>
          </w:tcPr>
          <w:p w14:paraId="2A73A5FF" w14:textId="77777777" w:rsidR="00FA5565" w:rsidRDefault="00FA5565">
            <w:pPr>
              <w:rPr>
                <w:rFonts w:ascii="Times New Roman" w:hAnsi="Times New Roman"/>
                <w:sz w:val="20"/>
                <w:szCs w:val="20"/>
              </w:rPr>
            </w:pPr>
          </w:p>
        </w:tc>
        <w:tc>
          <w:tcPr>
            <w:tcW w:w="50" w:type="pct"/>
            <w:shd w:val="clear" w:color="auto" w:fill="auto"/>
            <w:vAlign w:val="center"/>
          </w:tcPr>
          <w:p w14:paraId="2A73A600" w14:textId="77777777" w:rsidR="00FA5565" w:rsidRDefault="00FA5565">
            <w:pPr>
              <w:rPr>
                <w:rFonts w:ascii="Times New Roman" w:hAnsi="Times New Roman"/>
                <w:sz w:val="20"/>
                <w:szCs w:val="20"/>
              </w:rPr>
            </w:pPr>
          </w:p>
        </w:tc>
        <w:tc>
          <w:tcPr>
            <w:tcW w:w="600" w:type="pct"/>
            <w:shd w:val="clear" w:color="auto" w:fill="auto"/>
            <w:vAlign w:val="center"/>
          </w:tcPr>
          <w:p w14:paraId="2A73A601" w14:textId="77777777" w:rsidR="00FA5565" w:rsidRDefault="00FA5565">
            <w:pPr>
              <w:rPr>
                <w:rFonts w:ascii="Times New Roman" w:hAnsi="Times New Roman"/>
                <w:sz w:val="20"/>
                <w:szCs w:val="20"/>
              </w:rPr>
            </w:pPr>
          </w:p>
        </w:tc>
        <w:tc>
          <w:tcPr>
            <w:tcW w:w="50" w:type="pct"/>
            <w:shd w:val="clear" w:color="auto" w:fill="auto"/>
            <w:vAlign w:val="center"/>
          </w:tcPr>
          <w:p w14:paraId="2A73A602" w14:textId="77777777" w:rsidR="00FA5565" w:rsidRDefault="00FA5565">
            <w:pPr>
              <w:rPr>
                <w:rFonts w:ascii="Times New Roman" w:hAnsi="Times New Roman"/>
                <w:sz w:val="20"/>
                <w:szCs w:val="20"/>
              </w:rPr>
            </w:pPr>
          </w:p>
        </w:tc>
      </w:tr>
      <w:tr w:rsidR="00FA5565" w14:paraId="2A73A608" w14:textId="77777777">
        <w:tc>
          <w:tcPr>
            <w:tcW w:w="0" w:type="auto"/>
            <w:shd w:val="clear" w:color="auto" w:fill="auto"/>
            <w:tcMar>
              <w:top w:w="40" w:type="dxa"/>
              <w:left w:w="40" w:type="dxa"/>
              <w:bottom w:w="40" w:type="dxa"/>
              <w:right w:w="40" w:type="dxa"/>
            </w:tcMar>
            <w:vAlign w:val="bottom"/>
          </w:tcPr>
          <w:p w14:paraId="2A73A60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60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2A73A6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60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29, </w:t>
            </w:r>
            <w:r>
              <w:rPr>
                <w:rFonts w:ascii="Helvetica" w:eastAsia="Helvetica" w:hAnsi="Helvetica" w:cs="Helvetica"/>
                <w:b/>
                <w:bCs/>
                <w:sz w:val="16"/>
                <w:szCs w:val="16"/>
              </w:rPr>
              <w:br/>
              <w:t>2018</w:t>
            </w:r>
          </w:p>
        </w:tc>
      </w:tr>
      <w:tr w:rsidR="00FA5565" w14:paraId="2A73A60A" w14:textId="77777777">
        <w:tc>
          <w:tcPr>
            <w:tcW w:w="0" w:type="auto"/>
            <w:gridSpan w:val="8"/>
            <w:shd w:val="clear" w:color="auto" w:fill="auto"/>
            <w:tcMar>
              <w:top w:w="40" w:type="dxa"/>
              <w:left w:w="40" w:type="dxa"/>
              <w:bottom w:w="40" w:type="dxa"/>
              <w:right w:w="40" w:type="dxa"/>
            </w:tcMar>
            <w:vAlign w:val="bottom"/>
          </w:tcPr>
          <w:p w14:paraId="2A73A609" w14:textId="77777777" w:rsidR="00FA5565" w:rsidRDefault="00D804D1">
            <w:pPr>
              <w:jc w:val="center"/>
              <w:textAlignment w:val="bottom"/>
              <w:rPr>
                <w:rFonts w:ascii="Times New Roman" w:hAnsi="Times New Roman"/>
                <w:sz w:val="18"/>
                <w:szCs w:val="18"/>
              </w:rPr>
            </w:pPr>
            <w:r>
              <w:rPr>
                <w:rFonts w:ascii="Helvetica" w:eastAsia="Helvetica" w:hAnsi="Helvetica" w:cs="Helvetica"/>
                <w:b/>
                <w:bCs/>
                <w:sz w:val="18"/>
                <w:szCs w:val="18"/>
              </w:rPr>
              <w:t>ASSETS:</w:t>
            </w:r>
          </w:p>
        </w:tc>
      </w:tr>
      <w:tr w:rsidR="00FA5565" w14:paraId="2A73A60F" w14:textId="77777777">
        <w:tc>
          <w:tcPr>
            <w:tcW w:w="0" w:type="auto"/>
            <w:shd w:val="clear" w:color="auto" w:fill="EFEFEF"/>
            <w:tcMar>
              <w:top w:w="40" w:type="dxa"/>
              <w:left w:w="40" w:type="dxa"/>
              <w:bottom w:w="40" w:type="dxa"/>
              <w:right w:w="40" w:type="dxa"/>
            </w:tcMar>
          </w:tcPr>
          <w:p w14:paraId="2A73A60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Current assets:</w:t>
            </w:r>
          </w:p>
        </w:tc>
        <w:tc>
          <w:tcPr>
            <w:tcW w:w="0" w:type="auto"/>
            <w:gridSpan w:val="3"/>
            <w:shd w:val="clear" w:color="auto" w:fill="EFEFEF"/>
            <w:tcMar>
              <w:top w:w="40" w:type="dxa"/>
              <w:left w:w="40" w:type="dxa"/>
              <w:bottom w:w="40" w:type="dxa"/>
              <w:right w:w="40" w:type="dxa"/>
            </w:tcMar>
            <w:vAlign w:val="bottom"/>
          </w:tcPr>
          <w:p w14:paraId="2A73A6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6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60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618" w14:textId="77777777">
        <w:tc>
          <w:tcPr>
            <w:tcW w:w="0" w:type="auto"/>
            <w:shd w:val="clear" w:color="auto" w:fill="auto"/>
            <w:tcMar>
              <w:top w:w="40" w:type="dxa"/>
              <w:left w:w="560" w:type="dxa"/>
              <w:bottom w:w="40" w:type="dxa"/>
              <w:right w:w="40" w:type="dxa"/>
            </w:tcMar>
          </w:tcPr>
          <w:p w14:paraId="2A73A61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Cash and cash equivalents</w:t>
            </w:r>
          </w:p>
        </w:tc>
        <w:tc>
          <w:tcPr>
            <w:tcW w:w="0" w:type="auto"/>
            <w:shd w:val="clear" w:color="auto" w:fill="auto"/>
            <w:tcMar>
              <w:top w:w="40" w:type="dxa"/>
              <w:left w:w="40" w:type="dxa"/>
              <w:bottom w:w="40" w:type="dxa"/>
            </w:tcMar>
            <w:vAlign w:val="bottom"/>
          </w:tcPr>
          <w:p w14:paraId="2A73A61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61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48,844</w:t>
            </w:r>
          </w:p>
        </w:tc>
        <w:tc>
          <w:tcPr>
            <w:tcW w:w="0" w:type="auto"/>
            <w:shd w:val="clear" w:color="auto" w:fill="auto"/>
            <w:vAlign w:val="bottom"/>
          </w:tcPr>
          <w:p w14:paraId="2A73A61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1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61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61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25,913</w:t>
            </w:r>
          </w:p>
        </w:tc>
        <w:tc>
          <w:tcPr>
            <w:tcW w:w="0" w:type="auto"/>
            <w:shd w:val="clear" w:color="auto" w:fill="auto"/>
            <w:vAlign w:val="bottom"/>
          </w:tcPr>
          <w:p w14:paraId="2A73A617" w14:textId="77777777" w:rsidR="00FA5565" w:rsidRDefault="00FA5565">
            <w:pPr>
              <w:textAlignment w:val="bottom"/>
              <w:rPr>
                <w:rFonts w:ascii="Times New Roman" w:hAnsi="Times New Roman"/>
                <w:sz w:val="20"/>
                <w:szCs w:val="20"/>
              </w:rPr>
            </w:pPr>
          </w:p>
        </w:tc>
      </w:tr>
      <w:tr w:rsidR="00FA5565" w14:paraId="2A73A61F" w14:textId="77777777">
        <w:tc>
          <w:tcPr>
            <w:tcW w:w="0" w:type="auto"/>
            <w:shd w:val="clear" w:color="auto" w:fill="EFEFEF"/>
            <w:tcMar>
              <w:top w:w="40" w:type="dxa"/>
              <w:left w:w="560" w:type="dxa"/>
              <w:bottom w:w="40" w:type="dxa"/>
              <w:right w:w="40" w:type="dxa"/>
            </w:tcMar>
          </w:tcPr>
          <w:p w14:paraId="2A73A61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Marketable securities</w:t>
            </w:r>
          </w:p>
        </w:tc>
        <w:tc>
          <w:tcPr>
            <w:tcW w:w="0" w:type="auto"/>
            <w:gridSpan w:val="2"/>
            <w:shd w:val="clear" w:color="auto" w:fill="EFEFEF"/>
            <w:tcMar>
              <w:top w:w="40" w:type="dxa"/>
              <w:left w:w="40" w:type="dxa"/>
              <w:bottom w:w="40" w:type="dxa"/>
            </w:tcMar>
            <w:vAlign w:val="bottom"/>
          </w:tcPr>
          <w:p w14:paraId="2A73A61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51,713</w:t>
            </w:r>
          </w:p>
        </w:tc>
        <w:tc>
          <w:tcPr>
            <w:tcW w:w="0" w:type="auto"/>
            <w:shd w:val="clear" w:color="auto" w:fill="EFEFEF"/>
            <w:vAlign w:val="bottom"/>
          </w:tcPr>
          <w:p w14:paraId="2A73A61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61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40,388</w:t>
            </w:r>
          </w:p>
        </w:tc>
        <w:tc>
          <w:tcPr>
            <w:tcW w:w="0" w:type="auto"/>
            <w:shd w:val="clear" w:color="auto" w:fill="EFEFEF"/>
            <w:vAlign w:val="bottom"/>
          </w:tcPr>
          <w:p w14:paraId="2A73A61E" w14:textId="77777777" w:rsidR="00FA5565" w:rsidRDefault="00FA5565">
            <w:pPr>
              <w:textAlignment w:val="bottom"/>
              <w:rPr>
                <w:rFonts w:ascii="Times New Roman" w:hAnsi="Times New Roman"/>
                <w:sz w:val="20"/>
                <w:szCs w:val="20"/>
              </w:rPr>
            </w:pPr>
          </w:p>
        </w:tc>
      </w:tr>
      <w:tr w:rsidR="00FA5565" w14:paraId="2A73A626" w14:textId="77777777">
        <w:tc>
          <w:tcPr>
            <w:tcW w:w="0" w:type="auto"/>
            <w:shd w:val="clear" w:color="auto" w:fill="auto"/>
            <w:tcMar>
              <w:top w:w="40" w:type="dxa"/>
              <w:left w:w="560" w:type="dxa"/>
              <w:bottom w:w="40" w:type="dxa"/>
              <w:right w:w="40" w:type="dxa"/>
            </w:tcMar>
          </w:tcPr>
          <w:p w14:paraId="2A73A62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Accounts receivable, net</w:t>
            </w:r>
          </w:p>
        </w:tc>
        <w:tc>
          <w:tcPr>
            <w:tcW w:w="0" w:type="auto"/>
            <w:gridSpan w:val="2"/>
            <w:shd w:val="clear" w:color="auto" w:fill="auto"/>
            <w:tcMar>
              <w:top w:w="40" w:type="dxa"/>
              <w:left w:w="40" w:type="dxa"/>
              <w:bottom w:w="40" w:type="dxa"/>
            </w:tcMar>
            <w:vAlign w:val="bottom"/>
          </w:tcPr>
          <w:p w14:paraId="2A73A62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22,926</w:t>
            </w:r>
          </w:p>
        </w:tc>
        <w:tc>
          <w:tcPr>
            <w:tcW w:w="0" w:type="auto"/>
            <w:shd w:val="clear" w:color="auto" w:fill="auto"/>
            <w:vAlign w:val="bottom"/>
          </w:tcPr>
          <w:p w14:paraId="2A73A62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62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23,186</w:t>
            </w:r>
          </w:p>
        </w:tc>
        <w:tc>
          <w:tcPr>
            <w:tcW w:w="0" w:type="auto"/>
            <w:shd w:val="clear" w:color="auto" w:fill="auto"/>
            <w:vAlign w:val="bottom"/>
          </w:tcPr>
          <w:p w14:paraId="2A73A625" w14:textId="77777777" w:rsidR="00FA5565" w:rsidRDefault="00FA5565">
            <w:pPr>
              <w:textAlignment w:val="bottom"/>
              <w:rPr>
                <w:rFonts w:ascii="Times New Roman" w:hAnsi="Times New Roman"/>
                <w:sz w:val="20"/>
                <w:szCs w:val="20"/>
              </w:rPr>
            </w:pPr>
          </w:p>
        </w:tc>
      </w:tr>
      <w:tr w:rsidR="00FA5565" w14:paraId="2A73A62D" w14:textId="77777777">
        <w:tc>
          <w:tcPr>
            <w:tcW w:w="0" w:type="auto"/>
            <w:shd w:val="clear" w:color="auto" w:fill="EFEFEF"/>
            <w:tcMar>
              <w:top w:w="40" w:type="dxa"/>
              <w:left w:w="560" w:type="dxa"/>
              <w:bottom w:w="40" w:type="dxa"/>
              <w:right w:w="40" w:type="dxa"/>
            </w:tcMar>
          </w:tcPr>
          <w:p w14:paraId="2A73A62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Inventories</w:t>
            </w:r>
          </w:p>
        </w:tc>
        <w:tc>
          <w:tcPr>
            <w:tcW w:w="0" w:type="auto"/>
            <w:gridSpan w:val="2"/>
            <w:shd w:val="clear" w:color="auto" w:fill="EFEFEF"/>
            <w:tcMar>
              <w:top w:w="40" w:type="dxa"/>
              <w:left w:w="40" w:type="dxa"/>
              <w:bottom w:w="40" w:type="dxa"/>
            </w:tcMar>
            <w:vAlign w:val="bottom"/>
          </w:tcPr>
          <w:p w14:paraId="2A73A62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4,106</w:t>
            </w:r>
          </w:p>
        </w:tc>
        <w:tc>
          <w:tcPr>
            <w:tcW w:w="0" w:type="auto"/>
            <w:shd w:val="clear" w:color="auto" w:fill="EFEFEF"/>
            <w:vAlign w:val="bottom"/>
          </w:tcPr>
          <w:p w14:paraId="2A73A62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62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3,956</w:t>
            </w:r>
          </w:p>
        </w:tc>
        <w:tc>
          <w:tcPr>
            <w:tcW w:w="0" w:type="auto"/>
            <w:shd w:val="clear" w:color="auto" w:fill="EFEFEF"/>
            <w:vAlign w:val="bottom"/>
          </w:tcPr>
          <w:p w14:paraId="2A73A62C" w14:textId="77777777" w:rsidR="00FA5565" w:rsidRDefault="00FA5565">
            <w:pPr>
              <w:textAlignment w:val="bottom"/>
              <w:rPr>
                <w:rFonts w:ascii="Times New Roman" w:hAnsi="Times New Roman"/>
                <w:sz w:val="20"/>
                <w:szCs w:val="20"/>
              </w:rPr>
            </w:pPr>
          </w:p>
        </w:tc>
      </w:tr>
      <w:tr w:rsidR="00FA5565" w14:paraId="2A73A634" w14:textId="77777777">
        <w:tc>
          <w:tcPr>
            <w:tcW w:w="0" w:type="auto"/>
            <w:shd w:val="clear" w:color="auto" w:fill="auto"/>
            <w:tcMar>
              <w:top w:w="40" w:type="dxa"/>
              <w:left w:w="560" w:type="dxa"/>
              <w:bottom w:w="40" w:type="dxa"/>
              <w:right w:w="40" w:type="dxa"/>
            </w:tcMar>
          </w:tcPr>
          <w:p w14:paraId="2A73A62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Vendor non-trade receivables</w:t>
            </w:r>
          </w:p>
        </w:tc>
        <w:tc>
          <w:tcPr>
            <w:tcW w:w="0" w:type="auto"/>
            <w:gridSpan w:val="2"/>
            <w:shd w:val="clear" w:color="auto" w:fill="auto"/>
            <w:tcMar>
              <w:top w:w="40" w:type="dxa"/>
              <w:left w:w="40" w:type="dxa"/>
              <w:bottom w:w="40" w:type="dxa"/>
            </w:tcMar>
            <w:vAlign w:val="bottom"/>
          </w:tcPr>
          <w:p w14:paraId="2A73A62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22,878</w:t>
            </w:r>
          </w:p>
        </w:tc>
        <w:tc>
          <w:tcPr>
            <w:tcW w:w="0" w:type="auto"/>
            <w:shd w:val="clear" w:color="auto" w:fill="auto"/>
            <w:vAlign w:val="bottom"/>
          </w:tcPr>
          <w:p w14:paraId="2A73A63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3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63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25,809</w:t>
            </w:r>
          </w:p>
        </w:tc>
        <w:tc>
          <w:tcPr>
            <w:tcW w:w="0" w:type="auto"/>
            <w:shd w:val="clear" w:color="auto" w:fill="auto"/>
            <w:vAlign w:val="bottom"/>
          </w:tcPr>
          <w:p w14:paraId="2A73A633" w14:textId="77777777" w:rsidR="00FA5565" w:rsidRDefault="00FA5565">
            <w:pPr>
              <w:textAlignment w:val="bottom"/>
              <w:rPr>
                <w:rFonts w:ascii="Times New Roman" w:hAnsi="Times New Roman"/>
                <w:sz w:val="20"/>
                <w:szCs w:val="20"/>
              </w:rPr>
            </w:pPr>
          </w:p>
        </w:tc>
      </w:tr>
      <w:tr w:rsidR="00FA5565" w14:paraId="2A73A63B" w14:textId="77777777">
        <w:tc>
          <w:tcPr>
            <w:tcW w:w="0" w:type="auto"/>
            <w:shd w:val="clear" w:color="auto" w:fill="EFEFEF"/>
            <w:tcMar>
              <w:top w:w="40" w:type="dxa"/>
              <w:left w:w="560" w:type="dxa"/>
              <w:bottom w:w="40" w:type="dxa"/>
              <w:right w:w="40" w:type="dxa"/>
            </w:tcMar>
          </w:tcPr>
          <w:p w14:paraId="2A73A63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current assets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63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12,352</w:t>
            </w:r>
          </w:p>
        </w:tc>
        <w:tc>
          <w:tcPr>
            <w:tcW w:w="0" w:type="auto"/>
            <w:tcBorders>
              <w:bottom w:val="single" w:sz="8" w:space="0" w:color="000000"/>
            </w:tcBorders>
            <w:shd w:val="clear" w:color="auto" w:fill="EFEFEF"/>
            <w:vAlign w:val="bottom"/>
          </w:tcPr>
          <w:p w14:paraId="2A73A63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63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12,087</w:t>
            </w:r>
          </w:p>
        </w:tc>
        <w:tc>
          <w:tcPr>
            <w:tcW w:w="0" w:type="auto"/>
            <w:tcBorders>
              <w:bottom w:val="single" w:sz="8" w:space="0" w:color="000000"/>
            </w:tcBorders>
            <w:shd w:val="clear" w:color="auto" w:fill="EFEFEF"/>
            <w:vAlign w:val="bottom"/>
          </w:tcPr>
          <w:p w14:paraId="2A73A63A" w14:textId="77777777" w:rsidR="00FA5565" w:rsidRDefault="00FA5565">
            <w:pPr>
              <w:textAlignment w:val="bottom"/>
              <w:rPr>
                <w:rFonts w:ascii="Times New Roman" w:hAnsi="Times New Roman"/>
                <w:sz w:val="20"/>
                <w:szCs w:val="20"/>
              </w:rPr>
            </w:pPr>
          </w:p>
        </w:tc>
      </w:tr>
      <w:tr w:rsidR="00FA5565" w14:paraId="2A73A642" w14:textId="77777777">
        <w:tc>
          <w:tcPr>
            <w:tcW w:w="0" w:type="auto"/>
            <w:shd w:val="clear" w:color="auto" w:fill="auto"/>
            <w:tcMar>
              <w:top w:w="40" w:type="dxa"/>
              <w:left w:w="1040" w:type="dxa"/>
              <w:bottom w:w="40" w:type="dxa"/>
              <w:right w:w="40" w:type="dxa"/>
            </w:tcMar>
          </w:tcPr>
          <w:p w14:paraId="2A73A63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current assets</w:t>
            </w:r>
          </w:p>
        </w:tc>
        <w:tc>
          <w:tcPr>
            <w:tcW w:w="0" w:type="auto"/>
            <w:gridSpan w:val="2"/>
            <w:shd w:val="clear" w:color="auto" w:fill="auto"/>
            <w:tcMar>
              <w:top w:w="40" w:type="dxa"/>
              <w:left w:w="40" w:type="dxa"/>
              <w:bottom w:w="40" w:type="dxa"/>
            </w:tcMar>
            <w:vAlign w:val="bottom"/>
          </w:tcPr>
          <w:p w14:paraId="2A73A63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162,819</w:t>
            </w:r>
          </w:p>
        </w:tc>
        <w:tc>
          <w:tcPr>
            <w:tcW w:w="0" w:type="auto"/>
            <w:shd w:val="clear" w:color="auto" w:fill="auto"/>
            <w:vAlign w:val="bottom"/>
          </w:tcPr>
          <w:p w14:paraId="2A73A63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64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131,339</w:t>
            </w:r>
          </w:p>
        </w:tc>
        <w:tc>
          <w:tcPr>
            <w:tcW w:w="0" w:type="auto"/>
            <w:shd w:val="clear" w:color="auto" w:fill="auto"/>
            <w:vAlign w:val="bottom"/>
          </w:tcPr>
          <w:p w14:paraId="2A73A641" w14:textId="77777777" w:rsidR="00FA5565" w:rsidRDefault="00FA5565">
            <w:pPr>
              <w:textAlignment w:val="bottom"/>
              <w:rPr>
                <w:rFonts w:ascii="Times New Roman" w:hAnsi="Times New Roman"/>
                <w:sz w:val="20"/>
                <w:szCs w:val="20"/>
              </w:rPr>
            </w:pPr>
          </w:p>
        </w:tc>
      </w:tr>
      <w:tr w:rsidR="00FA5565" w14:paraId="2A73A647" w14:textId="77777777">
        <w:tc>
          <w:tcPr>
            <w:tcW w:w="0" w:type="auto"/>
            <w:shd w:val="clear" w:color="auto" w:fill="EFEFEF"/>
            <w:tcMar>
              <w:top w:w="40" w:type="dxa"/>
              <w:left w:w="40" w:type="dxa"/>
              <w:bottom w:w="40" w:type="dxa"/>
              <w:right w:w="40" w:type="dxa"/>
            </w:tcMar>
            <w:vAlign w:val="bottom"/>
          </w:tcPr>
          <w:p w14:paraId="2A73A6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64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6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6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64C" w14:textId="77777777">
        <w:tc>
          <w:tcPr>
            <w:tcW w:w="0" w:type="auto"/>
            <w:shd w:val="clear" w:color="auto" w:fill="auto"/>
            <w:tcMar>
              <w:top w:w="40" w:type="dxa"/>
              <w:left w:w="40" w:type="dxa"/>
              <w:bottom w:w="40" w:type="dxa"/>
              <w:right w:w="40" w:type="dxa"/>
            </w:tcMar>
          </w:tcPr>
          <w:p w14:paraId="2A73A64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Non-current assets:</w:t>
            </w:r>
          </w:p>
        </w:tc>
        <w:tc>
          <w:tcPr>
            <w:tcW w:w="0" w:type="auto"/>
            <w:gridSpan w:val="3"/>
            <w:shd w:val="clear" w:color="auto" w:fill="auto"/>
            <w:tcMar>
              <w:top w:w="40" w:type="dxa"/>
              <w:left w:w="40" w:type="dxa"/>
              <w:bottom w:w="40" w:type="dxa"/>
              <w:right w:w="40" w:type="dxa"/>
            </w:tcMar>
            <w:vAlign w:val="bottom"/>
          </w:tcPr>
          <w:p w14:paraId="2A73A6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64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6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653" w14:textId="77777777">
        <w:tc>
          <w:tcPr>
            <w:tcW w:w="0" w:type="auto"/>
            <w:shd w:val="clear" w:color="auto" w:fill="EFEFEF"/>
            <w:tcMar>
              <w:top w:w="40" w:type="dxa"/>
              <w:left w:w="560" w:type="dxa"/>
              <w:bottom w:w="40" w:type="dxa"/>
              <w:right w:w="40" w:type="dxa"/>
            </w:tcMar>
          </w:tcPr>
          <w:p w14:paraId="2A73A64D"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Marketable securities</w:t>
            </w:r>
          </w:p>
        </w:tc>
        <w:tc>
          <w:tcPr>
            <w:tcW w:w="0" w:type="auto"/>
            <w:gridSpan w:val="2"/>
            <w:shd w:val="clear" w:color="auto" w:fill="EFEFEF"/>
            <w:tcMar>
              <w:top w:w="40" w:type="dxa"/>
              <w:left w:w="40" w:type="dxa"/>
              <w:bottom w:w="40" w:type="dxa"/>
            </w:tcMar>
            <w:vAlign w:val="bottom"/>
          </w:tcPr>
          <w:p w14:paraId="2A73A64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105,341</w:t>
            </w:r>
          </w:p>
        </w:tc>
        <w:tc>
          <w:tcPr>
            <w:tcW w:w="0" w:type="auto"/>
            <w:shd w:val="clear" w:color="auto" w:fill="EFEFEF"/>
            <w:vAlign w:val="bottom"/>
          </w:tcPr>
          <w:p w14:paraId="2A73A64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5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65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170,799</w:t>
            </w:r>
          </w:p>
        </w:tc>
        <w:tc>
          <w:tcPr>
            <w:tcW w:w="0" w:type="auto"/>
            <w:shd w:val="clear" w:color="auto" w:fill="EFEFEF"/>
            <w:vAlign w:val="bottom"/>
          </w:tcPr>
          <w:p w14:paraId="2A73A652" w14:textId="77777777" w:rsidR="00FA5565" w:rsidRDefault="00FA5565">
            <w:pPr>
              <w:textAlignment w:val="bottom"/>
              <w:rPr>
                <w:rFonts w:ascii="Times New Roman" w:hAnsi="Times New Roman"/>
                <w:sz w:val="20"/>
                <w:szCs w:val="20"/>
              </w:rPr>
            </w:pPr>
          </w:p>
        </w:tc>
      </w:tr>
      <w:tr w:rsidR="00FA5565" w14:paraId="2A73A65A" w14:textId="77777777">
        <w:tc>
          <w:tcPr>
            <w:tcW w:w="0" w:type="auto"/>
            <w:shd w:val="clear" w:color="auto" w:fill="auto"/>
            <w:tcMar>
              <w:top w:w="40" w:type="dxa"/>
              <w:left w:w="560" w:type="dxa"/>
              <w:bottom w:w="40" w:type="dxa"/>
              <w:right w:w="40" w:type="dxa"/>
            </w:tcMar>
          </w:tcPr>
          <w:p w14:paraId="2A73A65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Property, plant and equipment, net</w:t>
            </w:r>
          </w:p>
        </w:tc>
        <w:tc>
          <w:tcPr>
            <w:tcW w:w="0" w:type="auto"/>
            <w:gridSpan w:val="2"/>
            <w:shd w:val="clear" w:color="auto" w:fill="auto"/>
            <w:tcMar>
              <w:top w:w="40" w:type="dxa"/>
              <w:left w:w="40" w:type="dxa"/>
              <w:bottom w:w="40" w:type="dxa"/>
            </w:tcMar>
            <w:vAlign w:val="bottom"/>
          </w:tcPr>
          <w:p w14:paraId="2A73A65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37,378</w:t>
            </w:r>
          </w:p>
        </w:tc>
        <w:tc>
          <w:tcPr>
            <w:tcW w:w="0" w:type="auto"/>
            <w:shd w:val="clear" w:color="auto" w:fill="auto"/>
            <w:vAlign w:val="bottom"/>
          </w:tcPr>
          <w:p w14:paraId="2A73A65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65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41,304</w:t>
            </w:r>
          </w:p>
        </w:tc>
        <w:tc>
          <w:tcPr>
            <w:tcW w:w="0" w:type="auto"/>
            <w:shd w:val="clear" w:color="auto" w:fill="auto"/>
            <w:vAlign w:val="bottom"/>
          </w:tcPr>
          <w:p w14:paraId="2A73A659" w14:textId="77777777" w:rsidR="00FA5565" w:rsidRDefault="00FA5565">
            <w:pPr>
              <w:textAlignment w:val="bottom"/>
              <w:rPr>
                <w:rFonts w:ascii="Times New Roman" w:hAnsi="Times New Roman"/>
                <w:sz w:val="20"/>
                <w:szCs w:val="20"/>
              </w:rPr>
            </w:pPr>
          </w:p>
        </w:tc>
      </w:tr>
      <w:tr w:rsidR="00FA5565" w14:paraId="2A73A661" w14:textId="77777777">
        <w:tc>
          <w:tcPr>
            <w:tcW w:w="0" w:type="auto"/>
            <w:shd w:val="clear" w:color="auto" w:fill="EFEFEF"/>
            <w:tcMar>
              <w:top w:w="40" w:type="dxa"/>
              <w:left w:w="560" w:type="dxa"/>
              <w:bottom w:w="40" w:type="dxa"/>
              <w:right w:w="40" w:type="dxa"/>
            </w:tcMar>
          </w:tcPr>
          <w:p w14:paraId="2A73A65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non-current assets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65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32,978</w:t>
            </w:r>
          </w:p>
        </w:tc>
        <w:tc>
          <w:tcPr>
            <w:tcW w:w="0" w:type="auto"/>
            <w:tcBorders>
              <w:bottom w:val="single" w:sz="8" w:space="0" w:color="000000"/>
            </w:tcBorders>
            <w:shd w:val="clear" w:color="auto" w:fill="EFEFEF"/>
            <w:vAlign w:val="bottom"/>
          </w:tcPr>
          <w:p w14:paraId="2A73A65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65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22,283</w:t>
            </w:r>
          </w:p>
        </w:tc>
        <w:tc>
          <w:tcPr>
            <w:tcW w:w="0" w:type="auto"/>
            <w:tcBorders>
              <w:bottom w:val="single" w:sz="8" w:space="0" w:color="000000"/>
            </w:tcBorders>
            <w:shd w:val="clear" w:color="auto" w:fill="EFEFEF"/>
            <w:vAlign w:val="bottom"/>
          </w:tcPr>
          <w:p w14:paraId="2A73A660" w14:textId="77777777" w:rsidR="00FA5565" w:rsidRDefault="00FA5565">
            <w:pPr>
              <w:textAlignment w:val="bottom"/>
              <w:rPr>
                <w:rFonts w:ascii="Times New Roman" w:hAnsi="Times New Roman"/>
                <w:sz w:val="20"/>
                <w:szCs w:val="20"/>
              </w:rPr>
            </w:pPr>
          </w:p>
        </w:tc>
      </w:tr>
      <w:tr w:rsidR="00FA5565" w14:paraId="2A73A668" w14:textId="77777777">
        <w:tc>
          <w:tcPr>
            <w:tcW w:w="0" w:type="auto"/>
            <w:shd w:val="clear" w:color="auto" w:fill="auto"/>
            <w:tcMar>
              <w:top w:w="40" w:type="dxa"/>
              <w:left w:w="1040" w:type="dxa"/>
              <w:bottom w:w="40" w:type="dxa"/>
              <w:right w:w="40" w:type="dxa"/>
            </w:tcMar>
          </w:tcPr>
          <w:p w14:paraId="2A73A66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non-current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2A73A66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175,697</w:t>
            </w:r>
          </w:p>
        </w:tc>
        <w:tc>
          <w:tcPr>
            <w:tcW w:w="0" w:type="auto"/>
            <w:tcBorders>
              <w:bottom w:val="single" w:sz="8" w:space="0" w:color="000000"/>
            </w:tcBorders>
            <w:shd w:val="clear" w:color="auto" w:fill="auto"/>
            <w:vAlign w:val="bottom"/>
          </w:tcPr>
          <w:p w14:paraId="2A73A66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6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66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234,386</w:t>
            </w:r>
          </w:p>
        </w:tc>
        <w:tc>
          <w:tcPr>
            <w:tcW w:w="0" w:type="auto"/>
            <w:tcBorders>
              <w:bottom w:val="single" w:sz="8" w:space="0" w:color="000000"/>
            </w:tcBorders>
            <w:shd w:val="clear" w:color="auto" w:fill="auto"/>
            <w:vAlign w:val="bottom"/>
          </w:tcPr>
          <w:p w14:paraId="2A73A667" w14:textId="77777777" w:rsidR="00FA5565" w:rsidRDefault="00FA5565">
            <w:pPr>
              <w:textAlignment w:val="bottom"/>
              <w:rPr>
                <w:rFonts w:ascii="Times New Roman" w:hAnsi="Times New Roman"/>
                <w:sz w:val="20"/>
                <w:szCs w:val="20"/>
              </w:rPr>
            </w:pPr>
          </w:p>
        </w:tc>
      </w:tr>
      <w:tr w:rsidR="00FA5565" w14:paraId="2A73A671" w14:textId="77777777">
        <w:tc>
          <w:tcPr>
            <w:tcW w:w="0" w:type="auto"/>
            <w:shd w:val="clear" w:color="auto" w:fill="EFEFEF"/>
            <w:tcMar>
              <w:top w:w="40" w:type="dxa"/>
              <w:left w:w="1520" w:type="dxa"/>
              <w:bottom w:w="40" w:type="dxa"/>
              <w:right w:w="40" w:type="dxa"/>
            </w:tcMar>
          </w:tcPr>
          <w:p w14:paraId="2A73A66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assets</w:t>
            </w:r>
          </w:p>
        </w:tc>
        <w:tc>
          <w:tcPr>
            <w:tcW w:w="0" w:type="auto"/>
            <w:tcBorders>
              <w:bottom w:val="double" w:sz="6" w:space="0" w:color="000000"/>
            </w:tcBorders>
            <w:shd w:val="clear" w:color="auto" w:fill="EFEFEF"/>
            <w:tcMar>
              <w:top w:w="40" w:type="dxa"/>
              <w:left w:w="40" w:type="dxa"/>
              <w:bottom w:w="40" w:type="dxa"/>
            </w:tcMar>
            <w:vAlign w:val="bottom"/>
          </w:tcPr>
          <w:p w14:paraId="2A73A66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66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338,516</w:t>
            </w:r>
          </w:p>
        </w:tc>
        <w:tc>
          <w:tcPr>
            <w:tcW w:w="0" w:type="auto"/>
            <w:tcBorders>
              <w:bottom w:val="double" w:sz="6" w:space="0" w:color="000000"/>
            </w:tcBorders>
            <w:shd w:val="clear" w:color="auto" w:fill="EFEFEF"/>
            <w:vAlign w:val="bottom"/>
          </w:tcPr>
          <w:p w14:paraId="2A73A66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66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66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365,725</w:t>
            </w:r>
          </w:p>
        </w:tc>
        <w:tc>
          <w:tcPr>
            <w:tcW w:w="0" w:type="auto"/>
            <w:tcBorders>
              <w:bottom w:val="double" w:sz="6" w:space="0" w:color="000000"/>
            </w:tcBorders>
            <w:shd w:val="clear" w:color="auto" w:fill="EFEFEF"/>
            <w:vAlign w:val="bottom"/>
          </w:tcPr>
          <w:p w14:paraId="2A73A670" w14:textId="77777777" w:rsidR="00FA5565" w:rsidRDefault="00FA5565">
            <w:pPr>
              <w:textAlignment w:val="bottom"/>
              <w:rPr>
                <w:rFonts w:ascii="Times New Roman" w:hAnsi="Times New Roman"/>
                <w:sz w:val="20"/>
                <w:szCs w:val="20"/>
              </w:rPr>
            </w:pPr>
          </w:p>
        </w:tc>
      </w:tr>
      <w:tr w:rsidR="00FA5565" w14:paraId="2A73A676" w14:textId="77777777">
        <w:tc>
          <w:tcPr>
            <w:tcW w:w="0" w:type="auto"/>
            <w:shd w:val="clear" w:color="auto" w:fill="auto"/>
            <w:tcMar>
              <w:top w:w="40" w:type="dxa"/>
              <w:left w:w="40" w:type="dxa"/>
              <w:bottom w:w="40" w:type="dxa"/>
              <w:right w:w="40" w:type="dxa"/>
            </w:tcMar>
            <w:vAlign w:val="bottom"/>
          </w:tcPr>
          <w:p w14:paraId="2A73A67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67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6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67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678" w14:textId="77777777">
        <w:tc>
          <w:tcPr>
            <w:tcW w:w="0" w:type="auto"/>
            <w:gridSpan w:val="8"/>
            <w:shd w:val="clear" w:color="auto" w:fill="EFEFEF"/>
            <w:tcMar>
              <w:top w:w="40" w:type="dxa"/>
              <w:left w:w="40" w:type="dxa"/>
              <w:bottom w:w="40" w:type="dxa"/>
              <w:right w:w="40" w:type="dxa"/>
            </w:tcMar>
            <w:vAlign w:val="bottom"/>
          </w:tcPr>
          <w:p w14:paraId="2A73A677" w14:textId="77777777" w:rsidR="00FA5565" w:rsidRDefault="00D804D1">
            <w:pPr>
              <w:jc w:val="center"/>
              <w:textAlignment w:val="bottom"/>
              <w:rPr>
                <w:rFonts w:ascii="Times New Roman" w:hAnsi="Times New Roman"/>
                <w:sz w:val="18"/>
                <w:szCs w:val="18"/>
              </w:rPr>
            </w:pPr>
            <w:r>
              <w:rPr>
                <w:rFonts w:ascii="Helvetica" w:eastAsia="Helvetica" w:hAnsi="Helvetica" w:cs="Helvetica"/>
                <w:b/>
                <w:bCs/>
                <w:sz w:val="18"/>
                <w:szCs w:val="18"/>
              </w:rPr>
              <w:t>LIABILITIES AND SHAREHOLDERS’ EQUITY:</w:t>
            </w:r>
          </w:p>
        </w:tc>
      </w:tr>
      <w:tr w:rsidR="00FA5565" w14:paraId="2A73A67D" w14:textId="77777777">
        <w:tc>
          <w:tcPr>
            <w:tcW w:w="0" w:type="auto"/>
            <w:shd w:val="clear" w:color="auto" w:fill="auto"/>
            <w:tcMar>
              <w:top w:w="40" w:type="dxa"/>
              <w:left w:w="40" w:type="dxa"/>
              <w:bottom w:w="40" w:type="dxa"/>
              <w:right w:w="40" w:type="dxa"/>
            </w:tcMar>
          </w:tcPr>
          <w:p w14:paraId="2A73A67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Current liabilities:</w:t>
            </w:r>
          </w:p>
        </w:tc>
        <w:tc>
          <w:tcPr>
            <w:tcW w:w="0" w:type="auto"/>
            <w:gridSpan w:val="3"/>
            <w:shd w:val="clear" w:color="auto" w:fill="auto"/>
            <w:tcMar>
              <w:top w:w="40" w:type="dxa"/>
              <w:left w:w="40" w:type="dxa"/>
              <w:bottom w:w="40" w:type="dxa"/>
              <w:right w:w="40" w:type="dxa"/>
            </w:tcMar>
            <w:vAlign w:val="bottom"/>
          </w:tcPr>
          <w:p w14:paraId="2A73A67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67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67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686" w14:textId="77777777">
        <w:tc>
          <w:tcPr>
            <w:tcW w:w="0" w:type="auto"/>
            <w:shd w:val="clear" w:color="auto" w:fill="EFEFEF"/>
            <w:tcMar>
              <w:top w:w="40" w:type="dxa"/>
              <w:left w:w="560" w:type="dxa"/>
              <w:bottom w:w="40" w:type="dxa"/>
              <w:right w:w="40" w:type="dxa"/>
            </w:tcMar>
          </w:tcPr>
          <w:p w14:paraId="2A73A67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Accounts payable</w:t>
            </w:r>
          </w:p>
        </w:tc>
        <w:tc>
          <w:tcPr>
            <w:tcW w:w="0" w:type="auto"/>
            <w:shd w:val="clear" w:color="auto" w:fill="EFEFEF"/>
            <w:tcMar>
              <w:top w:w="40" w:type="dxa"/>
              <w:left w:w="40" w:type="dxa"/>
              <w:bottom w:w="40" w:type="dxa"/>
            </w:tcMar>
            <w:vAlign w:val="bottom"/>
          </w:tcPr>
          <w:p w14:paraId="2A73A67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68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46,236</w:t>
            </w:r>
          </w:p>
        </w:tc>
        <w:tc>
          <w:tcPr>
            <w:tcW w:w="0" w:type="auto"/>
            <w:shd w:val="clear" w:color="auto" w:fill="EFEFEF"/>
            <w:vAlign w:val="bottom"/>
          </w:tcPr>
          <w:p w14:paraId="2A73A68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8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68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68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55,888</w:t>
            </w:r>
          </w:p>
        </w:tc>
        <w:tc>
          <w:tcPr>
            <w:tcW w:w="0" w:type="auto"/>
            <w:shd w:val="clear" w:color="auto" w:fill="EFEFEF"/>
            <w:vAlign w:val="bottom"/>
          </w:tcPr>
          <w:p w14:paraId="2A73A685" w14:textId="77777777" w:rsidR="00FA5565" w:rsidRDefault="00FA5565">
            <w:pPr>
              <w:textAlignment w:val="bottom"/>
              <w:rPr>
                <w:rFonts w:ascii="Times New Roman" w:hAnsi="Times New Roman"/>
                <w:sz w:val="20"/>
                <w:szCs w:val="20"/>
              </w:rPr>
            </w:pPr>
          </w:p>
        </w:tc>
      </w:tr>
      <w:tr w:rsidR="00FA5565" w14:paraId="2A73A68D" w14:textId="77777777">
        <w:tc>
          <w:tcPr>
            <w:tcW w:w="0" w:type="auto"/>
            <w:shd w:val="clear" w:color="auto" w:fill="auto"/>
            <w:tcMar>
              <w:top w:w="40" w:type="dxa"/>
              <w:left w:w="560" w:type="dxa"/>
              <w:bottom w:w="40" w:type="dxa"/>
              <w:right w:w="40" w:type="dxa"/>
            </w:tcMar>
          </w:tcPr>
          <w:p w14:paraId="2A73A68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current liabilities</w:t>
            </w:r>
          </w:p>
        </w:tc>
        <w:tc>
          <w:tcPr>
            <w:tcW w:w="0" w:type="auto"/>
            <w:gridSpan w:val="2"/>
            <w:shd w:val="clear" w:color="auto" w:fill="auto"/>
            <w:tcMar>
              <w:top w:w="40" w:type="dxa"/>
              <w:left w:w="40" w:type="dxa"/>
              <w:bottom w:w="40" w:type="dxa"/>
            </w:tcMar>
            <w:vAlign w:val="bottom"/>
          </w:tcPr>
          <w:p w14:paraId="2A73A68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37,720</w:t>
            </w:r>
          </w:p>
        </w:tc>
        <w:tc>
          <w:tcPr>
            <w:tcW w:w="0" w:type="auto"/>
            <w:shd w:val="clear" w:color="auto" w:fill="auto"/>
            <w:vAlign w:val="bottom"/>
          </w:tcPr>
          <w:p w14:paraId="2A73A68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8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68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33,327</w:t>
            </w:r>
          </w:p>
        </w:tc>
        <w:tc>
          <w:tcPr>
            <w:tcW w:w="0" w:type="auto"/>
            <w:shd w:val="clear" w:color="auto" w:fill="auto"/>
            <w:vAlign w:val="bottom"/>
          </w:tcPr>
          <w:p w14:paraId="2A73A68C" w14:textId="77777777" w:rsidR="00FA5565" w:rsidRDefault="00FA5565">
            <w:pPr>
              <w:textAlignment w:val="bottom"/>
              <w:rPr>
                <w:rFonts w:ascii="Times New Roman" w:hAnsi="Times New Roman"/>
                <w:sz w:val="20"/>
                <w:szCs w:val="20"/>
              </w:rPr>
            </w:pPr>
          </w:p>
        </w:tc>
      </w:tr>
      <w:tr w:rsidR="00FA5565" w14:paraId="2A73A694" w14:textId="77777777">
        <w:tc>
          <w:tcPr>
            <w:tcW w:w="0" w:type="auto"/>
            <w:shd w:val="clear" w:color="auto" w:fill="EFEFEF"/>
            <w:tcMar>
              <w:top w:w="40" w:type="dxa"/>
              <w:left w:w="560" w:type="dxa"/>
              <w:bottom w:w="40" w:type="dxa"/>
              <w:right w:w="40" w:type="dxa"/>
            </w:tcMar>
          </w:tcPr>
          <w:p w14:paraId="2A73A68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Deferred revenue</w:t>
            </w:r>
          </w:p>
        </w:tc>
        <w:tc>
          <w:tcPr>
            <w:tcW w:w="0" w:type="auto"/>
            <w:gridSpan w:val="2"/>
            <w:shd w:val="clear" w:color="auto" w:fill="EFEFEF"/>
            <w:tcMar>
              <w:top w:w="40" w:type="dxa"/>
              <w:left w:w="40" w:type="dxa"/>
              <w:bottom w:w="40" w:type="dxa"/>
            </w:tcMar>
            <w:vAlign w:val="bottom"/>
          </w:tcPr>
          <w:p w14:paraId="2A73A68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5,522</w:t>
            </w:r>
          </w:p>
        </w:tc>
        <w:tc>
          <w:tcPr>
            <w:tcW w:w="0" w:type="auto"/>
            <w:shd w:val="clear" w:color="auto" w:fill="EFEFEF"/>
            <w:vAlign w:val="bottom"/>
          </w:tcPr>
          <w:p w14:paraId="2A73A69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69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5,966</w:t>
            </w:r>
          </w:p>
        </w:tc>
        <w:tc>
          <w:tcPr>
            <w:tcW w:w="0" w:type="auto"/>
            <w:shd w:val="clear" w:color="auto" w:fill="EFEFEF"/>
            <w:vAlign w:val="bottom"/>
          </w:tcPr>
          <w:p w14:paraId="2A73A693" w14:textId="77777777" w:rsidR="00FA5565" w:rsidRDefault="00FA5565">
            <w:pPr>
              <w:textAlignment w:val="bottom"/>
              <w:rPr>
                <w:rFonts w:ascii="Times New Roman" w:hAnsi="Times New Roman"/>
                <w:sz w:val="20"/>
                <w:szCs w:val="20"/>
              </w:rPr>
            </w:pPr>
          </w:p>
        </w:tc>
      </w:tr>
      <w:tr w:rsidR="00FA5565" w14:paraId="2A73A69B" w14:textId="77777777">
        <w:tc>
          <w:tcPr>
            <w:tcW w:w="0" w:type="auto"/>
            <w:shd w:val="clear" w:color="auto" w:fill="auto"/>
            <w:tcMar>
              <w:top w:w="40" w:type="dxa"/>
              <w:left w:w="560" w:type="dxa"/>
              <w:bottom w:w="40" w:type="dxa"/>
              <w:right w:w="40" w:type="dxa"/>
            </w:tcMar>
          </w:tcPr>
          <w:p w14:paraId="2A73A69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Commercial paper</w:t>
            </w:r>
          </w:p>
        </w:tc>
        <w:tc>
          <w:tcPr>
            <w:tcW w:w="0" w:type="auto"/>
            <w:gridSpan w:val="2"/>
            <w:shd w:val="clear" w:color="auto" w:fill="auto"/>
            <w:tcMar>
              <w:top w:w="40" w:type="dxa"/>
              <w:left w:w="40" w:type="dxa"/>
              <w:bottom w:w="40" w:type="dxa"/>
            </w:tcMar>
            <w:vAlign w:val="bottom"/>
          </w:tcPr>
          <w:p w14:paraId="2A73A69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5,980</w:t>
            </w:r>
          </w:p>
        </w:tc>
        <w:tc>
          <w:tcPr>
            <w:tcW w:w="0" w:type="auto"/>
            <w:shd w:val="clear" w:color="auto" w:fill="auto"/>
            <w:vAlign w:val="bottom"/>
          </w:tcPr>
          <w:p w14:paraId="2A73A69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9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69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11,964</w:t>
            </w:r>
          </w:p>
        </w:tc>
        <w:tc>
          <w:tcPr>
            <w:tcW w:w="0" w:type="auto"/>
            <w:shd w:val="clear" w:color="auto" w:fill="auto"/>
            <w:vAlign w:val="bottom"/>
          </w:tcPr>
          <w:p w14:paraId="2A73A69A" w14:textId="77777777" w:rsidR="00FA5565" w:rsidRDefault="00FA5565">
            <w:pPr>
              <w:textAlignment w:val="bottom"/>
              <w:rPr>
                <w:rFonts w:ascii="Times New Roman" w:hAnsi="Times New Roman"/>
                <w:sz w:val="20"/>
                <w:szCs w:val="20"/>
              </w:rPr>
            </w:pPr>
          </w:p>
        </w:tc>
      </w:tr>
      <w:tr w:rsidR="00FA5565" w14:paraId="2A73A6A2" w14:textId="77777777">
        <w:tc>
          <w:tcPr>
            <w:tcW w:w="0" w:type="auto"/>
            <w:shd w:val="clear" w:color="auto" w:fill="EFEFEF"/>
            <w:tcMar>
              <w:top w:w="40" w:type="dxa"/>
              <w:left w:w="560" w:type="dxa"/>
              <w:bottom w:w="40" w:type="dxa"/>
              <w:right w:w="40" w:type="dxa"/>
            </w:tcMar>
          </w:tcPr>
          <w:p w14:paraId="2A73A69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Term debt</w:t>
            </w:r>
          </w:p>
        </w:tc>
        <w:tc>
          <w:tcPr>
            <w:tcW w:w="0" w:type="auto"/>
            <w:gridSpan w:val="2"/>
            <w:shd w:val="clear" w:color="auto" w:fill="EFEFEF"/>
            <w:tcMar>
              <w:top w:w="40" w:type="dxa"/>
              <w:left w:w="40" w:type="dxa"/>
              <w:bottom w:w="40" w:type="dxa"/>
            </w:tcMar>
            <w:vAlign w:val="bottom"/>
          </w:tcPr>
          <w:p w14:paraId="2A73A69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10,260</w:t>
            </w:r>
          </w:p>
        </w:tc>
        <w:tc>
          <w:tcPr>
            <w:tcW w:w="0" w:type="auto"/>
            <w:shd w:val="clear" w:color="auto" w:fill="EFEFEF"/>
            <w:vAlign w:val="bottom"/>
          </w:tcPr>
          <w:p w14:paraId="2A73A69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9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6A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8,784</w:t>
            </w:r>
          </w:p>
        </w:tc>
        <w:tc>
          <w:tcPr>
            <w:tcW w:w="0" w:type="auto"/>
            <w:shd w:val="clear" w:color="auto" w:fill="EFEFEF"/>
            <w:vAlign w:val="bottom"/>
          </w:tcPr>
          <w:p w14:paraId="2A73A6A1" w14:textId="77777777" w:rsidR="00FA5565" w:rsidRDefault="00FA5565">
            <w:pPr>
              <w:textAlignment w:val="bottom"/>
              <w:rPr>
                <w:rFonts w:ascii="Times New Roman" w:hAnsi="Times New Roman"/>
                <w:sz w:val="20"/>
                <w:szCs w:val="20"/>
              </w:rPr>
            </w:pPr>
          </w:p>
        </w:tc>
      </w:tr>
      <w:tr w:rsidR="00FA5565" w14:paraId="2A73A6A9" w14:textId="77777777">
        <w:tc>
          <w:tcPr>
            <w:tcW w:w="0" w:type="auto"/>
            <w:shd w:val="clear" w:color="auto" w:fill="auto"/>
            <w:tcMar>
              <w:top w:w="40" w:type="dxa"/>
              <w:left w:w="1040" w:type="dxa"/>
              <w:bottom w:w="40" w:type="dxa"/>
              <w:right w:w="40" w:type="dxa"/>
            </w:tcMar>
          </w:tcPr>
          <w:p w14:paraId="2A73A6A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current liabilities</w:t>
            </w:r>
          </w:p>
        </w:tc>
        <w:tc>
          <w:tcPr>
            <w:tcW w:w="0" w:type="auto"/>
            <w:gridSpan w:val="2"/>
            <w:tcBorders>
              <w:top w:val="single" w:sz="8" w:space="0" w:color="000000"/>
            </w:tcBorders>
            <w:shd w:val="clear" w:color="auto" w:fill="auto"/>
            <w:tcMar>
              <w:top w:w="40" w:type="dxa"/>
              <w:left w:w="40" w:type="dxa"/>
              <w:bottom w:w="40" w:type="dxa"/>
            </w:tcMar>
            <w:vAlign w:val="bottom"/>
          </w:tcPr>
          <w:p w14:paraId="2A73A6A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105,718</w:t>
            </w:r>
          </w:p>
        </w:tc>
        <w:tc>
          <w:tcPr>
            <w:tcW w:w="0" w:type="auto"/>
            <w:tcBorders>
              <w:top w:val="single" w:sz="8" w:space="0" w:color="000000"/>
            </w:tcBorders>
            <w:shd w:val="clear" w:color="auto" w:fill="auto"/>
            <w:vAlign w:val="bottom"/>
          </w:tcPr>
          <w:p w14:paraId="2A73A6A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A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2A73A6A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115,929</w:t>
            </w:r>
          </w:p>
        </w:tc>
        <w:tc>
          <w:tcPr>
            <w:tcW w:w="0" w:type="auto"/>
            <w:tcBorders>
              <w:top w:val="single" w:sz="8" w:space="0" w:color="000000"/>
            </w:tcBorders>
            <w:shd w:val="clear" w:color="auto" w:fill="auto"/>
            <w:vAlign w:val="bottom"/>
          </w:tcPr>
          <w:p w14:paraId="2A73A6A8" w14:textId="77777777" w:rsidR="00FA5565" w:rsidRDefault="00FA5565">
            <w:pPr>
              <w:textAlignment w:val="bottom"/>
              <w:rPr>
                <w:rFonts w:ascii="Times New Roman" w:hAnsi="Times New Roman"/>
                <w:sz w:val="20"/>
                <w:szCs w:val="20"/>
              </w:rPr>
            </w:pPr>
          </w:p>
        </w:tc>
      </w:tr>
      <w:tr w:rsidR="00FA5565" w14:paraId="2A73A6AE" w14:textId="77777777">
        <w:tc>
          <w:tcPr>
            <w:tcW w:w="0" w:type="auto"/>
            <w:shd w:val="clear" w:color="auto" w:fill="EFEFEF"/>
            <w:tcMar>
              <w:top w:w="40" w:type="dxa"/>
              <w:left w:w="40" w:type="dxa"/>
              <w:bottom w:w="40" w:type="dxa"/>
              <w:right w:w="40" w:type="dxa"/>
            </w:tcMar>
            <w:vAlign w:val="bottom"/>
          </w:tcPr>
          <w:p w14:paraId="2A73A6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6A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6A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6A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6B3" w14:textId="77777777">
        <w:tc>
          <w:tcPr>
            <w:tcW w:w="0" w:type="auto"/>
            <w:shd w:val="clear" w:color="auto" w:fill="auto"/>
            <w:tcMar>
              <w:top w:w="40" w:type="dxa"/>
              <w:left w:w="40" w:type="dxa"/>
              <w:bottom w:w="40" w:type="dxa"/>
              <w:right w:w="40" w:type="dxa"/>
            </w:tcMar>
          </w:tcPr>
          <w:p w14:paraId="2A73A6A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Non-current liabilities:</w:t>
            </w:r>
          </w:p>
        </w:tc>
        <w:tc>
          <w:tcPr>
            <w:tcW w:w="0" w:type="auto"/>
            <w:gridSpan w:val="3"/>
            <w:shd w:val="clear" w:color="auto" w:fill="auto"/>
            <w:tcMar>
              <w:top w:w="40" w:type="dxa"/>
              <w:left w:w="40" w:type="dxa"/>
              <w:bottom w:w="40" w:type="dxa"/>
              <w:right w:w="40" w:type="dxa"/>
            </w:tcMar>
            <w:vAlign w:val="bottom"/>
          </w:tcPr>
          <w:p w14:paraId="2A73A6B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6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6B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6BA" w14:textId="77777777">
        <w:tc>
          <w:tcPr>
            <w:tcW w:w="0" w:type="auto"/>
            <w:shd w:val="clear" w:color="auto" w:fill="EFEFEF"/>
            <w:tcMar>
              <w:top w:w="40" w:type="dxa"/>
              <w:left w:w="560" w:type="dxa"/>
              <w:bottom w:w="40" w:type="dxa"/>
              <w:right w:w="40" w:type="dxa"/>
            </w:tcMar>
          </w:tcPr>
          <w:p w14:paraId="2A73A6B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Term debt</w:t>
            </w:r>
          </w:p>
        </w:tc>
        <w:tc>
          <w:tcPr>
            <w:tcW w:w="0" w:type="auto"/>
            <w:gridSpan w:val="2"/>
            <w:shd w:val="clear" w:color="auto" w:fill="EFEFEF"/>
            <w:tcMar>
              <w:top w:w="40" w:type="dxa"/>
              <w:left w:w="40" w:type="dxa"/>
              <w:bottom w:w="40" w:type="dxa"/>
            </w:tcMar>
            <w:vAlign w:val="bottom"/>
          </w:tcPr>
          <w:p w14:paraId="2A73A6B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91,807</w:t>
            </w:r>
          </w:p>
        </w:tc>
        <w:tc>
          <w:tcPr>
            <w:tcW w:w="0" w:type="auto"/>
            <w:shd w:val="clear" w:color="auto" w:fill="EFEFEF"/>
            <w:vAlign w:val="bottom"/>
          </w:tcPr>
          <w:p w14:paraId="2A73A6B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B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6B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93,735</w:t>
            </w:r>
          </w:p>
        </w:tc>
        <w:tc>
          <w:tcPr>
            <w:tcW w:w="0" w:type="auto"/>
            <w:shd w:val="clear" w:color="auto" w:fill="EFEFEF"/>
            <w:vAlign w:val="bottom"/>
          </w:tcPr>
          <w:p w14:paraId="2A73A6B9" w14:textId="77777777" w:rsidR="00FA5565" w:rsidRDefault="00FA5565">
            <w:pPr>
              <w:textAlignment w:val="bottom"/>
              <w:rPr>
                <w:rFonts w:ascii="Times New Roman" w:hAnsi="Times New Roman"/>
                <w:sz w:val="20"/>
                <w:szCs w:val="20"/>
              </w:rPr>
            </w:pPr>
          </w:p>
        </w:tc>
      </w:tr>
      <w:tr w:rsidR="00FA5565" w14:paraId="2A73A6C1" w14:textId="77777777">
        <w:tc>
          <w:tcPr>
            <w:tcW w:w="0" w:type="auto"/>
            <w:shd w:val="clear" w:color="auto" w:fill="auto"/>
            <w:tcMar>
              <w:top w:w="40" w:type="dxa"/>
              <w:left w:w="560" w:type="dxa"/>
              <w:bottom w:w="40" w:type="dxa"/>
              <w:right w:w="40" w:type="dxa"/>
            </w:tcMar>
          </w:tcPr>
          <w:p w14:paraId="2A73A6B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non-current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2A73A6B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50,503</w:t>
            </w:r>
          </w:p>
        </w:tc>
        <w:tc>
          <w:tcPr>
            <w:tcW w:w="0" w:type="auto"/>
            <w:tcBorders>
              <w:bottom w:val="single" w:sz="8" w:space="0" w:color="000000"/>
            </w:tcBorders>
            <w:shd w:val="clear" w:color="auto" w:fill="auto"/>
            <w:vAlign w:val="bottom"/>
          </w:tcPr>
          <w:p w14:paraId="2A73A6B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6B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48,914</w:t>
            </w:r>
          </w:p>
        </w:tc>
        <w:tc>
          <w:tcPr>
            <w:tcW w:w="0" w:type="auto"/>
            <w:tcBorders>
              <w:bottom w:val="single" w:sz="8" w:space="0" w:color="000000"/>
            </w:tcBorders>
            <w:shd w:val="clear" w:color="auto" w:fill="auto"/>
            <w:vAlign w:val="bottom"/>
          </w:tcPr>
          <w:p w14:paraId="2A73A6C0" w14:textId="77777777" w:rsidR="00FA5565" w:rsidRDefault="00FA5565">
            <w:pPr>
              <w:textAlignment w:val="bottom"/>
              <w:rPr>
                <w:rFonts w:ascii="Times New Roman" w:hAnsi="Times New Roman"/>
                <w:sz w:val="20"/>
                <w:szCs w:val="20"/>
              </w:rPr>
            </w:pPr>
          </w:p>
        </w:tc>
      </w:tr>
      <w:tr w:rsidR="00FA5565" w14:paraId="2A73A6C8" w14:textId="77777777">
        <w:tc>
          <w:tcPr>
            <w:tcW w:w="0" w:type="auto"/>
            <w:shd w:val="clear" w:color="auto" w:fill="EFEFEF"/>
            <w:tcMar>
              <w:top w:w="40" w:type="dxa"/>
              <w:left w:w="1040" w:type="dxa"/>
              <w:bottom w:w="40" w:type="dxa"/>
              <w:right w:w="40" w:type="dxa"/>
            </w:tcMar>
          </w:tcPr>
          <w:p w14:paraId="2A73A6C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non-current liabilities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6C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142,310</w:t>
            </w:r>
          </w:p>
        </w:tc>
        <w:tc>
          <w:tcPr>
            <w:tcW w:w="0" w:type="auto"/>
            <w:tcBorders>
              <w:bottom w:val="single" w:sz="8" w:space="0" w:color="000000"/>
            </w:tcBorders>
            <w:shd w:val="clear" w:color="auto" w:fill="EFEFEF"/>
            <w:vAlign w:val="bottom"/>
          </w:tcPr>
          <w:p w14:paraId="2A73A6C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6C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142,649</w:t>
            </w:r>
          </w:p>
        </w:tc>
        <w:tc>
          <w:tcPr>
            <w:tcW w:w="0" w:type="auto"/>
            <w:tcBorders>
              <w:bottom w:val="single" w:sz="8" w:space="0" w:color="000000"/>
            </w:tcBorders>
            <w:shd w:val="clear" w:color="auto" w:fill="EFEFEF"/>
            <w:vAlign w:val="bottom"/>
          </w:tcPr>
          <w:p w14:paraId="2A73A6C7" w14:textId="77777777" w:rsidR="00FA5565" w:rsidRDefault="00FA5565">
            <w:pPr>
              <w:textAlignment w:val="bottom"/>
              <w:rPr>
                <w:rFonts w:ascii="Times New Roman" w:hAnsi="Times New Roman"/>
                <w:sz w:val="20"/>
                <w:szCs w:val="20"/>
              </w:rPr>
            </w:pPr>
          </w:p>
        </w:tc>
      </w:tr>
      <w:tr w:rsidR="00FA5565" w14:paraId="2A73A6CF" w14:textId="77777777">
        <w:tc>
          <w:tcPr>
            <w:tcW w:w="0" w:type="auto"/>
            <w:shd w:val="clear" w:color="auto" w:fill="auto"/>
            <w:tcMar>
              <w:top w:w="40" w:type="dxa"/>
              <w:left w:w="1520" w:type="dxa"/>
              <w:bottom w:w="40" w:type="dxa"/>
              <w:right w:w="40" w:type="dxa"/>
            </w:tcMar>
          </w:tcPr>
          <w:p w14:paraId="2A73A6C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2A73A6C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248,028</w:t>
            </w:r>
          </w:p>
        </w:tc>
        <w:tc>
          <w:tcPr>
            <w:tcW w:w="0" w:type="auto"/>
            <w:tcBorders>
              <w:bottom w:val="single" w:sz="8" w:space="0" w:color="000000"/>
            </w:tcBorders>
            <w:shd w:val="clear" w:color="auto" w:fill="auto"/>
            <w:vAlign w:val="bottom"/>
          </w:tcPr>
          <w:p w14:paraId="2A73A6C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C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6C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258,578</w:t>
            </w:r>
          </w:p>
        </w:tc>
        <w:tc>
          <w:tcPr>
            <w:tcW w:w="0" w:type="auto"/>
            <w:tcBorders>
              <w:bottom w:val="single" w:sz="8" w:space="0" w:color="000000"/>
            </w:tcBorders>
            <w:shd w:val="clear" w:color="auto" w:fill="auto"/>
            <w:vAlign w:val="bottom"/>
          </w:tcPr>
          <w:p w14:paraId="2A73A6CE" w14:textId="77777777" w:rsidR="00FA5565" w:rsidRDefault="00FA5565">
            <w:pPr>
              <w:textAlignment w:val="bottom"/>
              <w:rPr>
                <w:rFonts w:ascii="Times New Roman" w:hAnsi="Times New Roman"/>
                <w:sz w:val="20"/>
                <w:szCs w:val="20"/>
              </w:rPr>
            </w:pPr>
          </w:p>
        </w:tc>
      </w:tr>
      <w:tr w:rsidR="00FA5565" w14:paraId="2A73A6D4" w14:textId="77777777">
        <w:tc>
          <w:tcPr>
            <w:tcW w:w="0" w:type="auto"/>
            <w:shd w:val="clear" w:color="auto" w:fill="EFEFEF"/>
            <w:tcMar>
              <w:top w:w="40" w:type="dxa"/>
              <w:left w:w="40" w:type="dxa"/>
              <w:bottom w:w="40" w:type="dxa"/>
              <w:right w:w="40" w:type="dxa"/>
            </w:tcMar>
            <w:vAlign w:val="bottom"/>
          </w:tcPr>
          <w:p w14:paraId="2A73A6D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6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6D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6D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6D9" w14:textId="77777777">
        <w:tc>
          <w:tcPr>
            <w:tcW w:w="0" w:type="auto"/>
            <w:shd w:val="clear" w:color="auto" w:fill="auto"/>
            <w:tcMar>
              <w:top w:w="40" w:type="dxa"/>
              <w:left w:w="40" w:type="dxa"/>
              <w:bottom w:w="40" w:type="dxa"/>
              <w:right w:w="40" w:type="dxa"/>
            </w:tcMar>
          </w:tcPr>
          <w:p w14:paraId="2A73A6D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Commitments and contingencies</w:t>
            </w:r>
          </w:p>
        </w:tc>
        <w:tc>
          <w:tcPr>
            <w:tcW w:w="0" w:type="auto"/>
            <w:gridSpan w:val="3"/>
            <w:shd w:val="clear" w:color="auto" w:fill="auto"/>
            <w:tcMar>
              <w:top w:w="40" w:type="dxa"/>
              <w:left w:w="40" w:type="dxa"/>
              <w:bottom w:w="40" w:type="dxa"/>
              <w:right w:w="40" w:type="dxa"/>
            </w:tcMar>
            <w:vAlign w:val="bottom"/>
          </w:tcPr>
          <w:p w14:paraId="2A73A6D6" w14:textId="77777777" w:rsidR="00FA5565" w:rsidRDefault="00FA5565">
            <w:pPr>
              <w:textAlignment w:val="bottom"/>
              <w:rPr>
                <w:rFonts w:ascii="Times New Roman" w:hAnsi="Times New Roman"/>
                <w:sz w:val="18"/>
                <w:szCs w:val="18"/>
              </w:rPr>
            </w:pPr>
          </w:p>
        </w:tc>
        <w:tc>
          <w:tcPr>
            <w:tcW w:w="0" w:type="auto"/>
            <w:shd w:val="clear" w:color="auto" w:fill="auto"/>
            <w:tcMar>
              <w:top w:w="40" w:type="dxa"/>
              <w:left w:w="40" w:type="dxa"/>
              <w:bottom w:w="40" w:type="dxa"/>
              <w:right w:w="40" w:type="dxa"/>
            </w:tcMar>
            <w:vAlign w:val="bottom"/>
          </w:tcPr>
          <w:p w14:paraId="2A73A6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6D8" w14:textId="77777777" w:rsidR="00FA5565" w:rsidRDefault="00FA5565">
            <w:pPr>
              <w:textAlignment w:val="bottom"/>
              <w:rPr>
                <w:rFonts w:ascii="Times New Roman" w:hAnsi="Times New Roman"/>
                <w:sz w:val="18"/>
                <w:szCs w:val="18"/>
              </w:rPr>
            </w:pPr>
          </w:p>
        </w:tc>
      </w:tr>
      <w:tr w:rsidR="00FA5565" w14:paraId="2A73A6DE" w14:textId="77777777">
        <w:tc>
          <w:tcPr>
            <w:tcW w:w="0" w:type="auto"/>
            <w:shd w:val="clear" w:color="auto" w:fill="EFEFEF"/>
            <w:tcMar>
              <w:top w:w="40" w:type="dxa"/>
              <w:left w:w="40" w:type="dxa"/>
              <w:bottom w:w="40" w:type="dxa"/>
              <w:right w:w="40" w:type="dxa"/>
            </w:tcMar>
            <w:vAlign w:val="bottom"/>
          </w:tcPr>
          <w:p w14:paraId="2A73A6D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6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6D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6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6E3" w14:textId="77777777">
        <w:tc>
          <w:tcPr>
            <w:tcW w:w="0" w:type="auto"/>
            <w:shd w:val="clear" w:color="auto" w:fill="auto"/>
            <w:tcMar>
              <w:top w:w="40" w:type="dxa"/>
              <w:left w:w="40" w:type="dxa"/>
              <w:bottom w:w="40" w:type="dxa"/>
              <w:right w:w="40" w:type="dxa"/>
            </w:tcMar>
          </w:tcPr>
          <w:p w14:paraId="2A73A6D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Shareholders’ equity:</w:t>
            </w:r>
          </w:p>
        </w:tc>
        <w:tc>
          <w:tcPr>
            <w:tcW w:w="0" w:type="auto"/>
            <w:gridSpan w:val="3"/>
            <w:shd w:val="clear" w:color="auto" w:fill="auto"/>
            <w:tcMar>
              <w:top w:w="40" w:type="dxa"/>
              <w:left w:w="40" w:type="dxa"/>
              <w:bottom w:w="40" w:type="dxa"/>
              <w:right w:w="40" w:type="dxa"/>
            </w:tcMar>
            <w:vAlign w:val="bottom"/>
          </w:tcPr>
          <w:p w14:paraId="2A73A6E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6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6E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6EA" w14:textId="77777777">
        <w:tc>
          <w:tcPr>
            <w:tcW w:w="0" w:type="auto"/>
            <w:shd w:val="clear" w:color="auto" w:fill="EFEFEF"/>
            <w:tcMar>
              <w:top w:w="40" w:type="dxa"/>
              <w:left w:w="560" w:type="dxa"/>
              <w:bottom w:w="40" w:type="dxa"/>
              <w:right w:w="40" w:type="dxa"/>
            </w:tcMar>
          </w:tcPr>
          <w:p w14:paraId="2A73A6E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Common stock and additional paid-in capital, $0.00001 par value: 12,600,000 shares authorized; 4,443,236 and 4,754,986 shares issued and </w:t>
            </w:r>
            <w:r>
              <w:rPr>
                <w:rFonts w:ascii="Helvetica" w:eastAsia="Helvetica" w:hAnsi="Helvetica" w:cs="Helvetica"/>
                <w:sz w:val="18"/>
                <w:szCs w:val="18"/>
              </w:rPr>
              <w:t>outstanding, respectively</w:t>
            </w:r>
          </w:p>
        </w:tc>
        <w:tc>
          <w:tcPr>
            <w:tcW w:w="0" w:type="auto"/>
            <w:gridSpan w:val="2"/>
            <w:shd w:val="clear" w:color="auto" w:fill="EFEFEF"/>
            <w:tcMar>
              <w:top w:w="40" w:type="dxa"/>
              <w:left w:w="40" w:type="dxa"/>
              <w:bottom w:w="40" w:type="dxa"/>
            </w:tcMar>
            <w:vAlign w:val="bottom"/>
          </w:tcPr>
          <w:p w14:paraId="2A73A6E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45,174</w:t>
            </w:r>
          </w:p>
        </w:tc>
        <w:tc>
          <w:tcPr>
            <w:tcW w:w="0" w:type="auto"/>
            <w:shd w:val="clear" w:color="auto" w:fill="EFEFEF"/>
            <w:vAlign w:val="bottom"/>
          </w:tcPr>
          <w:p w14:paraId="2A73A6E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6E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6E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40,201</w:t>
            </w:r>
          </w:p>
        </w:tc>
        <w:tc>
          <w:tcPr>
            <w:tcW w:w="0" w:type="auto"/>
            <w:shd w:val="clear" w:color="auto" w:fill="EFEFEF"/>
            <w:vAlign w:val="bottom"/>
          </w:tcPr>
          <w:p w14:paraId="2A73A6E9" w14:textId="77777777" w:rsidR="00FA5565" w:rsidRDefault="00FA5565">
            <w:pPr>
              <w:textAlignment w:val="bottom"/>
              <w:rPr>
                <w:rFonts w:ascii="Times New Roman" w:hAnsi="Times New Roman"/>
                <w:sz w:val="20"/>
                <w:szCs w:val="20"/>
              </w:rPr>
            </w:pPr>
          </w:p>
        </w:tc>
      </w:tr>
      <w:tr w:rsidR="00FA5565" w14:paraId="2A73A6F1" w14:textId="77777777">
        <w:tc>
          <w:tcPr>
            <w:tcW w:w="0" w:type="auto"/>
            <w:shd w:val="clear" w:color="auto" w:fill="auto"/>
            <w:tcMar>
              <w:top w:w="40" w:type="dxa"/>
              <w:left w:w="560" w:type="dxa"/>
              <w:bottom w:w="40" w:type="dxa"/>
              <w:right w:w="40" w:type="dxa"/>
            </w:tcMar>
          </w:tcPr>
          <w:p w14:paraId="2A73A6E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Retained earnings</w:t>
            </w:r>
          </w:p>
        </w:tc>
        <w:tc>
          <w:tcPr>
            <w:tcW w:w="0" w:type="auto"/>
            <w:gridSpan w:val="2"/>
            <w:shd w:val="clear" w:color="auto" w:fill="auto"/>
            <w:tcMar>
              <w:top w:w="40" w:type="dxa"/>
              <w:left w:w="40" w:type="dxa"/>
              <w:bottom w:w="40" w:type="dxa"/>
            </w:tcMar>
            <w:vAlign w:val="bottom"/>
          </w:tcPr>
          <w:p w14:paraId="2A73A6E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45,898</w:t>
            </w:r>
          </w:p>
        </w:tc>
        <w:tc>
          <w:tcPr>
            <w:tcW w:w="0" w:type="auto"/>
            <w:shd w:val="clear" w:color="auto" w:fill="auto"/>
            <w:vAlign w:val="bottom"/>
          </w:tcPr>
          <w:p w14:paraId="2A73A6E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E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6E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70,400</w:t>
            </w:r>
          </w:p>
        </w:tc>
        <w:tc>
          <w:tcPr>
            <w:tcW w:w="0" w:type="auto"/>
            <w:shd w:val="clear" w:color="auto" w:fill="auto"/>
            <w:vAlign w:val="bottom"/>
          </w:tcPr>
          <w:p w14:paraId="2A73A6F0" w14:textId="77777777" w:rsidR="00FA5565" w:rsidRDefault="00FA5565">
            <w:pPr>
              <w:textAlignment w:val="bottom"/>
              <w:rPr>
                <w:rFonts w:ascii="Times New Roman" w:hAnsi="Times New Roman"/>
                <w:sz w:val="20"/>
                <w:szCs w:val="20"/>
              </w:rPr>
            </w:pPr>
          </w:p>
        </w:tc>
      </w:tr>
      <w:tr w:rsidR="00FA5565" w14:paraId="2A73A6F8" w14:textId="77777777">
        <w:tc>
          <w:tcPr>
            <w:tcW w:w="0" w:type="auto"/>
            <w:shd w:val="clear" w:color="auto" w:fill="EFEFEF"/>
            <w:tcMar>
              <w:top w:w="40" w:type="dxa"/>
              <w:left w:w="560" w:type="dxa"/>
              <w:bottom w:w="40" w:type="dxa"/>
              <w:right w:w="40" w:type="dxa"/>
            </w:tcMar>
          </w:tcPr>
          <w:p w14:paraId="2A73A6F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Accumulated other comprehensive income/(loss)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6F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(584</w:t>
            </w:r>
          </w:p>
        </w:tc>
        <w:tc>
          <w:tcPr>
            <w:tcW w:w="0" w:type="auto"/>
            <w:tcBorders>
              <w:bottom w:val="single" w:sz="8" w:space="0" w:color="000000"/>
            </w:tcBorders>
            <w:shd w:val="clear" w:color="auto" w:fill="EFEFEF"/>
            <w:tcMar>
              <w:top w:w="40" w:type="dxa"/>
              <w:bottom w:w="40" w:type="dxa"/>
              <w:right w:w="40" w:type="dxa"/>
            </w:tcMar>
            <w:vAlign w:val="bottom"/>
          </w:tcPr>
          <w:p w14:paraId="2A73A6F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6F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6F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(3,454</w:t>
            </w:r>
          </w:p>
        </w:tc>
        <w:tc>
          <w:tcPr>
            <w:tcW w:w="0" w:type="auto"/>
            <w:tcBorders>
              <w:bottom w:val="single" w:sz="8" w:space="0" w:color="000000"/>
            </w:tcBorders>
            <w:shd w:val="clear" w:color="auto" w:fill="EFEFEF"/>
            <w:tcMar>
              <w:top w:w="40" w:type="dxa"/>
              <w:bottom w:w="40" w:type="dxa"/>
              <w:right w:w="40" w:type="dxa"/>
            </w:tcMar>
            <w:vAlign w:val="bottom"/>
          </w:tcPr>
          <w:p w14:paraId="2A73A6F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6FF" w14:textId="77777777">
        <w:tc>
          <w:tcPr>
            <w:tcW w:w="0" w:type="auto"/>
            <w:shd w:val="clear" w:color="auto" w:fill="auto"/>
            <w:tcMar>
              <w:top w:w="40" w:type="dxa"/>
              <w:left w:w="1040" w:type="dxa"/>
              <w:bottom w:w="40" w:type="dxa"/>
              <w:right w:w="40" w:type="dxa"/>
            </w:tcMar>
          </w:tcPr>
          <w:p w14:paraId="2A73A6F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shareholders’ equity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6F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90,488</w:t>
            </w:r>
          </w:p>
        </w:tc>
        <w:tc>
          <w:tcPr>
            <w:tcW w:w="0" w:type="auto"/>
            <w:tcBorders>
              <w:top w:val="single" w:sz="8" w:space="0" w:color="000000"/>
              <w:bottom w:val="single" w:sz="8" w:space="0" w:color="000000"/>
            </w:tcBorders>
            <w:shd w:val="clear" w:color="auto" w:fill="auto"/>
            <w:vAlign w:val="bottom"/>
          </w:tcPr>
          <w:p w14:paraId="2A73A6F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6F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6F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107,147</w:t>
            </w:r>
          </w:p>
        </w:tc>
        <w:tc>
          <w:tcPr>
            <w:tcW w:w="0" w:type="auto"/>
            <w:tcBorders>
              <w:top w:val="single" w:sz="8" w:space="0" w:color="000000"/>
              <w:bottom w:val="single" w:sz="8" w:space="0" w:color="000000"/>
            </w:tcBorders>
            <w:shd w:val="clear" w:color="auto" w:fill="auto"/>
            <w:vAlign w:val="bottom"/>
          </w:tcPr>
          <w:p w14:paraId="2A73A6FE" w14:textId="77777777" w:rsidR="00FA5565" w:rsidRDefault="00FA5565">
            <w:pPr>
              <w:textAlignment w:val="bottom"/>
              <w:rPr>
                <w:rFonts w:ascii="Times New Roman" w:hAnsi="Times New Roman"/>
                <w:sz w:val="20"/>
                <w:szCs w:val="20"/>
              </w:rPr>
            </w:pPr>
          </w:p>
        </w:tc>
      </w:tr>
      <w:tr w:rsidR="00FA5565" w14:paraId="2A73A708" w14:textId="77777777">
        <w:tc>
          <w:tcPr>
            <w:tcW w:w="0" w:type="auto"/>
            <w:shd w:val="clear" w:color="auto" w:fill="EFEFEF"/>
            <w:tcMar>
              <w:top w:w="40" w:type="dxa"/>
              <w:left w:w="1520" w:type="dxa"/>
              <w:bottom w:w="40" w:type="dxa"/>
              <w:right w:w="40" w:type="dxa"/>
            </w:tcMar>
          </w:tcPr>
          <w:p w14:paraId="2A73A70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liabilities and shareholders’ equity</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A70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A70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338,516</w:t>
            </w:r>
          </w:p>
        </w:tc>
        <w:tc>
          <w:tcPr>
            <w:tcW w:w="0" w:type="auto"/>
            <w:tcBorders>
              <w:top w:val="single" w:sz="8" w:space="0" w:color="000000"/>
              <w:bottom w:val="double" w:sz="6" w:space="0" w:color="000000"/>
            </w:tcBorders>
            <w:shd w:val="clear" w:color="auto" w:fill="EFEFEF"/>
            <w:vAlign w:val="bottom"/>
          </w:tcPr>
          <w:p w14:paraId="2A73A70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704" w14:textId="77777777" w:rsidR="00FA5565" w:rsidRDefault="00FA5565">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A70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A70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365,725</w:t>
            </w:r>
          </w:p>
        </w:tc>
        <w:tc>
          <w:tcPr>
            <w:tcW w:w="0" w:type="auto"/>
            <w:tcBorders>
              <w:top w:val="single" w:sz="8" w:space="0" w:color="000000"/>
              <w:bottom w:val="double" w:sz="6" w:space="0" w:color="000000"/>
            </w:tcBorders>
            <w:shd w:val="clear" w:color="auto" w:fill="EFEFEF"/>
            <w:vAlign w:val="bottom"/>
          </w:tcPr>
          <w:p w14:paraId="2A73A707" w14:textId="77777777" w:rsidR="00FA5565" w:rsidRDefault="00FA5565">
            <w:pPr>
              <w:textAlignment w:val="bottom"/>
              <w:rPr>
                <w:rFonts w:ascii="Times New Roman" w:hAnsi="Times New Roman"/>
                <w:sz w:val="20"/>
                <w:szCs w:val="20"/>
              </w:rPr>
            </w:pPr>
          </w:p>
        </w:tc>
      </w:tr>
    </w:tbl>
    <w:p w14:paraId="2A73A709"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See accompanying Notes to Consolidated Financial Statements.</w:t>
      </w:r>
    </w:p>
    <w:p w14:paraId="2A73A70A" w14:textId="77777777" w:rsidR="00FA5565" w:rsidRDefault="00FA5565">
      <w:pPr>
        <w:rPr>
          <w:rFonts w:ascii="Times New Roman" w:hAnsi="Times New Roman"/>
          <w:sz w:val="20"/>
          <w:szCs w:val="20"/>
        </w:rPr>
      </w:pPr>
    </w:p>
    <w:p w14:paraId="2A73A70B"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31</w:t>
      </w:r>
    </w:p>
    <w:p w14:paraId="2A73A70C" w14:textId="77777777" w:rsidR="00FA5565" w:rsidRDefault="00D804D1">
      <w:r>
        <w:rPr>
          <w:rFonts w:ascii="Times New Roman" w:hAnsi="Times New Roman"/>
          <w:sz w:val="16"/>
          <w:szCs w:val="16"/>
        </w:rPr>
        <w:pict w14:anchorId="2A73C0BB">
          <v:rect id="_x0000_i1057" style="width:415.3pt;height:1.5pt" o:hralign="center" o:hrstd="t" o:hr="t" fillcolor="#a0a0a0" stroked="f"/>
        </w:pict>
      </w:r>
    </w:p>
    <w:p w14:paraId="2A73A70D" w14:textId="77777777" w:rsidR="00FA5565" w:rsidRDefault="00FA5565">
      <w:pPr>
        <w:rPr>
          <w:rFonts w:ascii="Times New Roman" w:hAnsi="Times New Roman"/>
          <w:sz w:val="20"/>
          <w:szCs w:val="20"/>
        </w:rPr>
      </w:pPr>
    </w:p>
    <w:p w14:paraId="2A73A70E"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2A73A70F"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CONSOLIDATED STATEMENTS OF SHAREHOLDERS’ EQUITY</w:t>
      </w:r>
    </w:p>
    <w:p w14:paraId="2A73A710"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(In millions, except per share amounts)</w:t>
      </w:r>
    </w:p>
    <w:p w14:paraId="2A73A711" w14:textId="77777777" w:rsidR="00FA5565" w:rsidRDefault="00FA5565">
      <w:pPr>
        <w:spacing w:line="288" w:lineRule="auto"/>
        <w:jc w:val="both"/>
        <w:rPr>
          <w:rFonts w:ascii="Times New Roman" w:hAnsi="Times New Roman"/>
        </w:rPr>
      </w:pPr>
    </w:p>
    <w:tbl>
      <w:tblPr>
        <w:tblW w:w="5000" w:type="pct"/>
        <w:tblCellMar>
          <w:left w:w="0" w:type="dxa"/>
          <w:right w:w="0" w:type="dxa"/>
        </w:tblCellMar>
        <w:tblLook w:val="04A0" w:firstRow="1" w:lastRow="0" w:firstColumn="1" w:lastColumn="0" w:noHBand="0" w:noVBand="1"/>
      </w:tblPr>
      <w:tblGrid>
        <w:gridCol w:w="4341"/>
        <w:gridCol w:w="142"/>
        <w:gridCol w:w="993"/>
        <w:gridCol w:w="100"/>
        <w:gridCol w:w="130"/>
        <w:gridCol w:w="142"/>
        <w:gridCol w:w="993"/>
        <w:gridCol w:w="100"/>
        <w:gridCol w:w="130"/>
        <w:gridCol w:w="142"/>
        <w:gridCol w:w="993"/>
        <w:gridCol w:w="100"/>
      </w:tblGrid>
      <w:tr w:rsidR="00FA5565" w14:paraId="2A73A713" w14:textId="77777777">
        <w:tc>
          <w:tcPr>
            <w:tcW w:w="0" w:type="auto"/>
            <w:gridSpan w:val="12"/>
            <w:shd w:val="clear" w:color="auto" w:fill="auto"/>
            <w:vAlign w:val="center"/>
          </w:tcPr>
          <w:p w14:paraId="2A73A712" w14:textId="77777777" w:rsidR="00FA5565" w:rsidRDefault="00FA5565">
            <w:pPr>
              <w:rPr>
                <w:rFonts w:ascii="Times New Roman" w:hAnsi="Times New Roman"/>
                <w:sz w:val="20"/>
                <w:szCs w:val="20"/>
              </w:rPr>
            </w:pPr>
          </w:p>
        </w:tc>
      </w:tr>
      <w:tr w:rsidR="00FA5565" w14:paraId="2A73A720" w14:textId="77777777">
        <w:tc>
          <w:tcPr>
            <w:tcW w:w="2950" w:type="pct"/>
            <w:shd w:val="clear" w:color="auto" w:fill="auto"/>
            <w:vAlign w:val="center"/>
          </w:tcPr>
          <w:p w14:paraId="2A73A714" w14:textId="77777777" w:rsidR="00FA5565" w:rsidRDefault="00FA5565">
            <w:pPr>
              <w:rPr>
                <w:rFonts w:ascii="Times New Roman" w:hAnsi="Times New Roman"/>
                <w:sz w:val="20"/>
                <w:szCs w:val="20"/>
              </w:rPr>
            </w:pPr>
          </w:p>
        </w:tc>
        <w:tc>
          <w:tcPr>
            <w:tcW w:w="50" w:type="pct"/>
            <w:shd w:val="clear" w:color="auto" w:fill="auto"/>
            <w:vAlign w:val="center"/>
          </w:tcPr>
          <w:p w14:paraId="2A73A715" w14:textId="77777777" w:rsidR="00FA5565" w:rsidRDefault="00FA5565">
            <w:pPr>
              <w:rPr>
                <w:rFonts w:ascii="Times New Roman" w:hAnsi="Times New Roman"/>
                <w:sz w:val="20"/>
                <w:szCs w:val="20"/>
              </w:rPr>
            </w:pPr>
          </w:p>
        </w:tc>
        <w:tc>
          <w:tcPr>
            <w:tcW w:w="550" w:type="pct"/>
            <w:shd w:val="clear" w:color="auto" w:fill="auto"/>
            <w:vAlign w:val="center"/>
          </w:tcPr>
          <w:p w14:paraId="2A73A716" w14:textId="77777777" w:rsidR="00FA5565" w:rsidRDefault="00FA5565">
            <w:pPr>
              <w:rPr>
                <w:rFonts w:ascii="Times New Roman" w:hAnsi="Times New Roman"/>
                <w:sz w:val="20"/>
                <w:szCs w:val="20"/>
              </w:rPr>
            </w:pPr>
          </w:p>
        </w:tc>
        <w:tc>
          <w:tcPr>
            <w:tcW w:w="50" w:type="pct"/>
            <w:shd w:val="clear" w:color="auto" w:fill="auto"/>
            <w:vAlign w:val="center"/>
          </w:tcPr>
          <w:p w14:paraId="2A73A717" w14:textId="77777777" w:rsidR="00FA5565" w:rsidRDefault="00FA5565">
            <w:pPr>
              <w:rPr>
                <w:rFonts w:ascii="Times New Roman" w:hAnsi="Times New Roman"/>
                <w:sz w:val="20"/>
                <w:szCs w:val="20"/>
              </w:rPr>
            </w:pPr>
          </w:p>
        </w:tc>
        <w:tc>
          <w:tcPr>
            <w:tcW w:w="50" w:type="pct"/>
            <w:shd w:val="clear" w:color="auto" w:fill="auto"/>
            <w:vAlign w:val="center"/>
          </w:tcPr>
          <w:p w14:paraId="2A73A718" w14:textId="77777777" w:rsidR="00FA5565" w:rsidRDefault="00FA5565">
            <w:pPr>
              <w:rPr>
                <w:rFonts w:ascii="Times New Roman" w:hAnsi="Times New Roman"/>
                <w:sz w:val="20"/>
                <w:szCs w:val="20"/>
              </w:rPr>
            </w:pPr>
          </w:p>
        </w:tc>
        <w:tc>
          <w:tcPr>
            <w:tcW w:w="50" w:type="pct"/>
            <w:shd w:val="clear" w:color="auto" w:fill="auto"/>
            <w:vAlign w:val="center"/>
          </w:tcPr>
          <w:p w14:paraId="2A73A719" w14:textId="77777777" w:rsidR="00FA5565" w:rsidRDefault="00FA5565">
            <w:pPr>
              <w:rPr>
                <w:rFonts w:ascii="Times New Roman" w:hAnsi="Times New Roman"/>
                <w:sz w:val="20"/>
                <w:szCs w:val="20"/>
              </w:rPr>
            </w:pPr>
          </w:p>
        </w:tc>
        <w:tc>
          <w:tcPr>
            <w:tcW w:w="550" w:type="pct"/>
            <w:shd w:val="clear" w:color="auto" w:fill="auto"/>
            <w:vAlign w:val="center"/>
          </w:tcPr>
          <w:p w14:paraId="2A73A71A" w14:textId="77777777" w:rsidR="00FA5565" w:rsidRDefault="00FA5565">
            <w:pPr>
              <w:rPr>
                <w:rFonts w:ascii="Times New Roman" w:hAnsi="Times New Roman"/>
                <w:sz w:val="20"/>
                <w:szCs w:val="20"/>
              </w:rPr>
            </w:pPr>
          </w:p>
        </w:tc>
        <w:tc>
          <w:tcPr>
            <w:tcW w:w="50" w:type="pct"/>
            <w:shd w:val="clear" w:color="auto" w:fill="auto"/>
            <w:vAlign w:val="center"/>
          </w:tcPr>
          <w:p w14:paraId="2A73A71B" w14:textId="77777777" w:rsidR="00FA5565" w:rsidRDefault="00FA5565">
            <w:pPr>
              <w:rPr>
                <w:rFonts w:ascii="Times New Roman" w:hAnsi="Times New Roman"/>
                <w:sz w:val="20"/>
                <w:szCs w:val="20"/>
              </w:rPr>
            </w:pPr>
          </w:p>
        </w:tc>
        <w:tc>
          <w:tcPr>
            <w:tcW w:w="50" w:type="pct"/>
            <w:shd w:val="clear" w:color="auto" w:fill="auto"/>
            <w:vAlign w:val="center"/>
          </w:tcPr>
          <w:p w14:paraId="2A73A71C" w14:textId="77777777" w:rsidR="00FA5565" w:rsidRDefault="00FA5565">
            <w:pPr>
              <w:rPr>
                <w:rFonts w:ascii="Times New Roman" w:hAnsi="Times New Roman"/>
                <w:sz w:val="20"/>
                <w:szCs w:val="20"/>
              </w:rPr>
            </w:pPr>
          </w:p>
        </w:tc>
        <w:tc>
          <w:tcPr>
            <w:tcW w:w="50" w:type="pct"/>
            <w:shd w:val="clear" w:color="auto" w:fill="auto"/>
            <w:vAlign w:val="center"/>
          </w:tcPr>
          <w:p w14:paraId="2A73A71D" w14:textId="77777777" w:rsidR="00FA5565" w:rsidRDefault="00FA5565">
            <w:pPr>
              <w:rPr>
                <w:rFonts w:ascii="Times New Roman" w:hAnsi="Times New Roman"/>
                <w:sz w:val="20"/>
                <w:szCs w:val="20"/>
              </w:rPr>
            </w:pPr>
          </w:p>
        </w:tc>
        <w:tc>
          <w:tcPr>
            <w:tcW w:w="550" w:type="pct"/>
            <w:shd w:val="clear" w:color="auto" w:fill="auto"/>
            <w:vAlign w:val="center"/>
          </w:tcPr>
          <w:p w14:paraId="2A73A71E" w14:textId="77777777" w:rsidR="00FA5565" w:rsidRDefault="00FA5565">
            <w:pPr>
              <w:rPr>
                <w:rFonts w:ascii="Times New Roman" w:hAnsi="Times New Roman"/>
                <w:sz w:val="20"/>
                <w:szCs w:val="20"/>
              </w:rPr>
            </w:pPr>
          </w:p>
        </w:tc>
        <w:tc>
          <w:tcPr>
            <w:tcW w:w="50" w:type="pct"/>
            <w:shd w:val="clear" w:color="auto" w:fill="auto"/>
            <w:vAlign w:val="center"/>
          </w:tcPr>
          <w:p w14:paraId="2A73A71F" w14:textId="77777777" w:rsidR="00FA5565" w:rsidRDefault="00FA5565">
            <w:pPr>
              <w:rPr>
                <w:rFonts w:ascii="Times New Roman" w:hAnsi="Times New Roman"/>
                <w:sz w:val="20"/>
                <w:szCs w:val="20"/>
              </w:rPr>
            </w:pPr>
          </w:p>
        </w:tc>
      </w:tr>
      <w:tr w:rsidR="00FA5565" w14:paraId="2A73A723" w14:textId="77777777">
        <w:tc>
          <w:tcPr>
            <w:tcW w:w="0" w:type="auto"/>
            <w:shd w:val="clear" w:color="auto" w:fill="auto"/>
            <w:tcMar>
              <w:top w:w="40" w:type="dxa"/>
              <w:left w:w="40" w:type="dxa"/>
              <w:bottom w:w="40" w:type="dxa"/>
              <w:right w:w="40" w:type="dxa"/>
            </w:tcMar>
            <w:vAlign w:val="bottom"/>
          </w:tcPr>
          <w:p w14:paraId="2A73A7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2A73A72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Years ended</w:t>
            </w:r>
          </w:p>
        </w:tc>
      </w:tr>
      <w:tr w:rsidR="00FA5565" w14:paraId="2A73A72A" w14:textId="77777777">
        <w:tc>
          <w:tcPr>
            <w:tcW w:w="0" w:type="auto"/>
            <w:shd w:val="clear" w:color="auto" w:fill="auto"/>
            <w:tcMar>
              <w:top w:w="40" w:type="dxa"/>
              <w:left w:w="40" w:type="dxa"/>
              <w:bottom w:w="40" w:type="dxa"/>
              <w:right w:w="40" w:type="dxa"/>
            </w:tcMar>
            <w:vAlign w:val="bottom"/>
          </w:tcPr>
          <w:p w14:paraId="2A73A7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A72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28, </w:t>
            </w:r>
            <w:r>
              <w:rPr>
                <w:rFonts w:ascii="Helvetica" w:eastAsia="Helvetica" w:hAnsi="Helvetica" w:cs="Helvetica"/>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2A73A72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A72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29, </w:t>
            </w:r>
            <w:r>
              <w:rPr>
                <w:rFonts w:ascii="Helvetica" w:eastAsia="Helvetica" w:hAnsi="Helvetica" w:cs="Helvetica"/>
                <w:b/>
                <w:bCs/>
                <w:sz w:val="16"/>
                <w:szCs w:val="16"/>
              </w:rPr>
              <w:br/>
              <w:t>2018</w:t>
            </w:r>
          </w:p>
        </w:tc>
        <w:tc>
          <w:tcPr>
            <w:tcW w:w="0" w:type="auto"/>
            <w:shd w:val="clear" w:color="auto" w:fill="auto"/>
            <w:tcMar>
              <w:top w:w="40" w:type="dxa"/>
              <w:left w:w="40" w:type="dxa"/>
              <w:bottom w:w="40" w:type="dxa"/>
              <w:right w:w="40" w:type="dxa"/>
            </w:tcMar>
            <w:vAlign w:val="bottom"/>
          </w:tcPr>
          <w:p w14:paraId="2A73A72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A72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30, </w:t>
            </w:r>
            <w:r>
              <w:rPr>
                <w:rFonts w:ascii="Helvetica" w:eastAsia="Helvetica" w:hAnsi="Helvetica" w:cs="Helvetica"/>
                <w:b/>
                <w:bCs/>
                <w:sz w:val="16"/>
                <w:szCs w:val="16"/>
              </w:rPr>
              <w:br/>
              <w:t>2017</w:t>
            </w:r>
          </w:p>
        </w:tc>
      </w:tr>
      <w:tr w:rsidR="00FA5565" w14:paraId="2A73A737" w14:textId="77777777">
        <w:tc>
          <w:tcPr>
            <w:tcW w:w="0" w:type="auto"/>
            <w:shd w:val="clear" w:color="auto" w:fill="auto"/>
            <w:tcMar>
              <w:top w:w="40" w:type="dxa"/>
              <w:left w:w="40" w:type="dxa"/>
              <w:bottom w:w="40" w:type="dxa"/>
              <w:right w:w="40" w:type="dxa"/>
            </w:tcMar>
            <w:vAlign w:val="bottom"/>
          </w:tcPr>
          <w:p w14:paraId="2A73A72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Total shareholders’ equity, beginning balances</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2A73A72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2A73A72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107,147</w:t>
            </w:r>
          </w:p>
        </w:tc>
        <w:tc>
          <w:tcPr>
            <w:tcW w:w="0" w:type="auto"/>
            <w:tcBorders>
              <w:top w:val="single" w:sz="8" w:space="0" w:color="000000"/>
              <w:bottom w:val="single" w:sz="8" w:space="0" w:color="000000"/>
            </w:tcBorders>
            <w:shd w:val="clear" w:color="auto" w:fill="auto"/>
            <w:vAlign w:val="bottom"/>
          </w:tcPr>
          <w:p w14:paraId="2A73A72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2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2A73A73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2A73A73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134,047</w:t>
            </w:r>
          </w:p>
        </w:tc>
        <w:tc>
          <w:tcPr>
            <w:tcW w:w="0" w:type="auto"/>
            <w:tcBorders>
              <w:top w:val="single" w:sz="8" w:space="0" w:color="000000"/>
              <w:bottom w:val="single" w:sz="8" w:space="0" w:color="000000"/>
            </w:tcBorders>
            <w:shd w:val="clear" w:color="auto" w:fill="auto"/>
            <w:vAlign w:val="bottom"/>
          </w:tcPr>
          <w:p w14:paraId="2A73A73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3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2A73A73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2A73A73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128,249</w:t>
            </w:r>
          </w:p>
        </w:tc>
        <w:tc>
          <w:tcPr>
            <w:tcW w:w="0" w:type="auto"/>
            <w:tcBorders>
              <w:top w:val="single" w:sz="8" w:space="0" w:color="000000"/>
              <w:bottom w:val="single" w:sz="8" w:space="0" w:color="000000"/>
            </w:tcBorders>
            <w:shd w:val="clear" w:color="auto" w:fill="auto"/>
            <w:vAlign w:val="bottom"/>
          </w:tcPr>
          <w:p w14:paraId="2A73A736" w14:textId="77777777" w:rsidR="00FA5565" w:rsidRDefault="00FA5565">
            <w:pPr>
              <w:textAlignment w:val="bottom"/>
              <w:rPr>
                <w:rFonts w:ascii="Times New Roman" w:hAnsi="Times New Roman"/>
                <w:sz w:val="20"/>
                <w:szCs w:val="20"/>
              </w:rPr>
            </w:pPr>
          </w:p>
        </w:tc>
      </w:tr>
      <w:tr w:rsidR="00FA5565" w14:paraId="2A73A73E" w14:textId="77777777">
        <w:tc>
          <w:tcPr>
            <w:tcW w:w="0" w:type="auto"/>
            <w:shd w:val="clear" w:color="auto" w:fill="EFEFEF"/>
            <w:tcMar>
              <w:top w:w="40" w:type="dxa"/>
              <w:left w:w="40" w:type="dxa"/>
              <w:bottom w:w="40" w:type="dxa"/>
              <w:right w:w="40" w:type="dxa"/>
            </w:tcMar>
            <w:vAlign w:val="bottom"/>
          </w:tcPr>
          <w:p w14:paraId="2A73A7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7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7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7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7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73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745" w14:textId="77777777">
        <w:tc>
          <w:tcPr>
            <w:tcW w:w="0" w:type="auto"/>
            <w:shd w:val="clear" w:color="auto" w:fill="auto"/>
            <w:tcMar>
              <w:top w:w="40" w:type="dxa"/>
              <w:left w:w="40" w:type="dxa"/>
              <w:bottom w:w="40" w:type="dxa"/>
              <w:right w:w="40" w:type="dxa"/>
            </w:tcMar>
            <w:vAlign w:val="bottom"/>
          </w:tcPr>
          <w:p w14:paraId="2A73A73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Common stock and additional paid-in capital:</w:t>
            </w:r>
          </w:p>
        </w:tc>
        <w:tc>
          <w:tcPr>
            <w:tcW w:w="0" w:type="auto"/>
            <w:gridSpan w:val="3"/>
            <w:shd w:val="clear" w:color="auto" w:fill="auto"/>
            <w:tcMar>
              <w:top w:w="40" w:type="dxa"/>
              <w:left w:w="40" w:type="dxa"/>
              <w:bottom w:w="40" w:type="dxa"/>
              <w:right w:w="40" w:type="dxa"/>
            </w:tcMar>
            <w:vAlign w:val="bottom"/>
          </w:tcPr>
          <w:p w14:paraId="2A73A74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74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74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7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74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74F" w14:textId="77777777">
        <w:tc>
          <w:tcPr>
            <w:tcW w:w="0" w:type="auto"/>
            <w:shd w:val="clear" w:color="auto" w:fill="EFEFEF"/>
            <w:tcMar>
              <w:top w:w="40" w:type="dxa"/>
              <w:left w:w="560" w:type="dxa"/>
              <w:bottom w:w="40" w:type="dxa"/>
              <w:right w:w="40" w:type="dxa"/>
            </w:tcMar>
            <w:vAlign w:val="bottom"/>
          </w:tcPr>
          <w:p w14:paraId="2A73A74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Beginning balances</w:t>
            </w:r>
          </w:p>
        </w:tc>
        <w:tc>
          <w:tcPr>
            <w:tcW w:w="0" w:type="auto"/>
            <w:gridSpan w:val="2"/>
            <w:shd w:val="clear" w:color="auto" w:fill="EFEFEF"/>
            <w:tcMar>
              <w:top w:w="40" w:type="dxa"/>
              <w:left w:w="40" w:type="dxa"/>
              <w:bottom w:w="40" w:type="dxa"/>
            </w:tcMar>
            <w:vAlign w:val="bottom"/>
          </w:tcPr>
          <w:p w14:paraId="2A73A74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40,201</w:t>
            </w:r>
          </w:p>
        </w:tc>
        <w:tc>
          <w:tcPr>
            <w:tcW w:w="0" w:type="auto"/>
            <w:shd w:val="clear" w:color="auto" w:fill="EFEFEF"/>
            <w:vAlign w:val="bottom"/>
          </w:tcPr>
          <w:p w14:paraId="2A73A74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7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4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35,867</w:t>
            </w:r>
          </w:p>
        </w:tc>
        <w:tc>
          <w:tcPr>
            <w:tcW w:w="0" w:type="auto"/>
            <w:shd w:val="clear" w:color="auto" w:fill="EFEFEF"/>
            <w:vAlign w:val="bottom"/>
          </w:tcPr>
          <w:p w14:paraId="2A73A74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74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4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31,251</w:t>
            </w:r>
          </w:p>
        </w:tc>
        <w:tc>
          <w:tcPr>
            <w:tcW w:w="0" w:type="auto"/>
            <w:shd w:val="clear" w:color="auto" w:fill="EFEFEF"/>
            <w:vAlign w:val="bottom"/>
          </w:tcPr>
          <w:p w14:paraId="2A73A74E" w14:textId="77777777" w:rsidR="00FA5565" w:rsidRDefault="00FA5565">
            <w:pPr>
              <w:textAlignment w:val="bottom"/>
              <w:rPr>
                <w:rFonts w:ascii="Times New Roman" w:hAnsi="Times New Roman"/>
                <w:sz w:val="20"/>
                <w:szCs w:val="20"/>
              </w:rPr>
            </w:pPr>
          </w:p>
        </w:tc>
      </w:tr>
      <w:tr w:rsidR="00FA5565" w14:paraId="2A73A759" w14:textId="77777777">
        <w:tc>
          <w:tcPr>
            <w:tcW w:w="0" w:type="auto"/>
            <w:shd w:val="clear" w:color="auto" w:fill="auto"/>
            <w:tcMar>
              <w:top w:w="40" w:type="dxa"/>
              <w:left w:w="1040" w:type="dxa"/>
              <w:bottom w:w="40" w:type="dxa"/>
              <w:right w:w="40" w:type="dxa"/>
            </w:tcMar>
            <w:vAlign w:val="bottom"/>
          </w:tcPr>
          <w:p w14:paraId="2A73A750"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Common stock issued</w:t>
            </w:r>
          </w:p>
        </w:tc>
        <w:tc>
          <w:tcPr>
            <w:tcW w:w="0" w:type="auto"/>
            <w:gridSpan w:val="2"/>
            <w:shd w:val="clear" w:color="auto" w:fill="auto"/>
            <w:tcMar>
              <w:top w:w="40" w:type="dxa"/>
              <w:left w:w="40" w:type="dxa"/>
              <w:bottom w:w="40" w:type="dxa"/>
            </w:tcMar>
            <w:vAlign w:val="bottom"/>
          </w:tcPr>
          <w:p w14:paraId="2A73A75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781</w:t>
            </w:r>
          </w:p>
        </w:tc>
        <w:tc>
          <w:tcPr>
            <w:tcW w:w="0" w:type="auto"/>
            <w:shd w:val="clear" w:color="auto" w:fill="auto"/>
            <w:vAlign w:val="bottom"/>
          </w:tcPr>
          <w:p w14:paraId="2A73A75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5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5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669</w:t>
            </w:r>
          </w:p>
        </w:tc>
        <w:tc>
          <w:tcPr>
            <w:tcW w:w="0" w:type="auto"/>
            <w:shd w:val="clear" w:color="auto" w:fill="auto"/>
            <w:vAlign w:val="bottom"/>
          </w:tcPr>
          <w:p w14:paraId="2A73A75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5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555</w:t>
            </w:r>
          </w:p>
        </w:tc>
        <w:tc>
          <w:tcPr>
            <w:tcW w:w="0" w:type="auto"/>
            <w:shd w:val="clear" w:color="auto" w:fill="auto"/>
            <w:vAlign w:val="bottom"/>
          </w:tcPr>
          <w:p w14:paraId="2A73A758" w14:textId="77777777" w:rsidR="00FA5565" w:rsidRDefault="00FA5565">
            <w:pPr>
              <w:textAlignment w:val="bottom"/>
              <w:rPr>
                <w:rFonts w:ascii="Times New Roman" w:hAnsi="Times New Roman"/>
                <w:sz w:val="20"/>
                <w:szCs w:val="20"/>
              </w:rPr>
            </w:pPr>
          </w:p>
        </w:tc>
      </w:tr>
      <w:tr w:rsidR="00FA5565" w14:paraId="2A73A763" w14:textId="77777777">
        <w:tc>
          <w:tcPr>
            <w:tcW w:w="0" w:type="auto"/>
            <w:shd w:val="clear" w:color="auto" w:fill="EFEFEF"/>
            <w:tcMar>
              <w:top w:w="40" w:type="dxa"/>
              <w:left w:w="1040" w:type="dxa"/>
              <w:bottom w:w="40" w:type="dxa"/>
              <w:right w:w="40" w:type="dxa"/>
            </w:tcMar>
            <w:vAlign w:val="bottom"/>
          </w:tcPr>
          <w:p w14:paraId="2A73A75A"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Common stock withheld related to net share settlement of equity awards</w:t>
            </w:r>
          </w:p>
        </w:tc>
        <w:tc>
          <w:tcPr>
            <w:tcW w:w="0" w:type="auto"/>
            <w:gridSpan w:val="2"/>
            <w:shd w:val="clear" w:color="auto" w:fill="EFEFEF"/>
            <w:tcMar>
              <w:top w:w="40" w:type="dxa"/>
              <w:left w:w="40" w:type="dxa"/>
              <w:bottom w:w="40" w:type="dxa"/>
            </w:tcMar>
            <w:vAlign w:val="bottom"/>
          </w:tcPr>
          <w:p w14:paraId="2A73A75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(2,002</w:t>
            </w:r>
          </w:p>
        </w:tc>
        <w:tc>
          <w:tcPr>
            <w:tcW w:w="0" w:type="auto"/>
            <w:shd w:val="clear" w:color="auto" w:fill="EFEFEF"/>
            <w:tcMar>
              <w:top w:w="40" w:type="dxa"/>
              <w:bottom w:w="40" w:type="dxa"/>
              <w:right w:w="40" w:type="dxa"/>
            </w:tcMar>
            <w:vAlign w:val="bottom"/>
          </w:tcPr>
          <w:p w14:paraId="2A73A75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7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5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(1,778</w:t>
            </w:r>
          </w:p>
        </w:tc>
        <w:tc>
          <w:tcPr>
            <w:tcW w:w="0" w:type="auto"/>
            <w:shd w:val="clear" w:color="auto" w:fill="EFEFEF"/>
            <w:tcMar>
              <w:top w:w="40" w:type="dxa"/>
              <w:bottom w:w="40" w:type="dxa"/>
              <w:right w:w="40" w:type="dxa"/>
            </w:tcMar>
            <w:vAlign w:val="bottom"/>
          </w:tcPr>
          <w:p w14:paraId="2A73A75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7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6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(1,468</w:t>
            </w:r>
          </w:p>
        </w:tc>
        <w:tc>
          <w:tcPr>
            <w:tcW w:w="0" w:type="auto"/>
            <w:shd w:val="clear" w:color="auto" w:fill="EFEFEF"/>
            <w:tcMar>
              <w:top w:w="40" w:type="dxa"/>
              <w:bottom w:w="40" w:type="dxa"/>
              <w:right w:w="40" w:type="dxa"/>
            </w:tcMar>
            <w:vAlign w:val="bottom"/>
          </w:tcPr>
          <w:p w14:paraId="2A73A76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76D" w14:textId="77777777">
        <w:tc>
          <w:tcPr>
            <w:tcW w:w="0" w:type="auto"/>
            <w:shd w:val="clear" w:color="auto" w:fill="auto"/>
            <w:tcMar>
              <w:top w:w="40" w:type="dxa"/>
              <w:left w:w="1040" w:type="dxa"/>
              <w:bottom w:w="40" w:type="dxa"/>
              <w:right w:w="40" w:type="dxa"/>
            </w:tcMar>
            <w:vAlign w:val="bottom"/>
          </w:tcPr>
          <w:p w14:paraId="2A73A76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Share-based compensation</w:t>
            </w:r>
          </w:p>
        </w:tc>
        <w:tc>
          <w:tcPr>
            <w:tcW w:w="0" w:type="auto"/>
            <w:gridSpan w:val="2"/>
            <w:shd w:val="clear" w:color="auto" w:fill="auto"/>
            <w:tcMar>
              <w:top w:w="40" w:type="dxa"/>
              <w:left w:w="40" w:type="dxa"/>
              <w:bottom w:w="40" w:type="dxa"/>
            </w:tcMar>
            <w:vAlign w:val="bottom"/>
          </w:tcPr>
          <w:p w14:paraId="2A73A76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6,194</w:t>
            </w:r>
          </w:p>
        </w:tc>
        <w:tc>
          <w:tcPr>
            <w:tcW w:w="0" w:type="auto"/>
            <w:shd w:val="clear" w:color="auto" w:fill="auto"/>
            <w:vAlign w:val="bottom"/>
          </w:tcPr>
          <w:p w14:paraId="2A73A76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6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5,443</w:t>
            </w:r>
          </w:p>
        </w:tc>
        <w:tc>
          <w:tcPr>
            <w:tcW w:w="0" w:type="auto"/>
            <w:shd w:val="clear" w:color="auto" w:fill="auto"/>
            <w:vAlign w:val="bottom"/>
          </w:tcPr>
          <w:p w14:paraId="2A73A76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6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4,909</w:t>
            </w:r>
          </w:p>
        </w:tc>
        <w:tc>
          <w:tcPr>
            <w:tcW w:w="0" w:type="auto"/>
            <w:shd w:val="clear" w:color="auto" w:fill="auto"/>
            <w:vAlign w:val="bottom"/>
          </w:tcPr>
          <w:p w14:paraId="2A73A76C" w14:textId="77777777" w:rsidR="00FA5565" w:rsidRDefault="00FA5565">
            <w:pPr>
              <w:textAlignment w:val="bottom"/>
              <w:rPr>
                <w:rFonts w:ascii="Times New Roman" w:hAnsi="Times New Roman"/>
                <w:sz w:val="20"/>
                <w:szCs w:val="20"/>
              </w:rPr>
            </w:pPr>
          </w:p>
        </w:tc>
      </w:tr>
      <w:tr w:rsidR="00FA5565" w14:paraId="2A73A777" w14:textId="77777777">
        <w:tc>
          <w:tcPr>
            <w:tcW w:w="0" w:type="auto"/>
            <w:shd w:val="clear" w:color="auto" w:fill="EFEFEF"/>
            <w:tcMar>
              <w:top w:w="40" w:type="dxa"/>
              <w:left w:w="1040" w:type="dxa"/>
              <w:bottom w:w="40" w:type="dxa"/>
              <w:right w:w="40" w:type="dxa"/>
            </w:tcMar>
            <w:vAlign w:val="bottom"/>
          </w:tcPr>
          <w:p w14:paraId="2A73A76E"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 xml:space="preserve">Tax benefit from equity awards, </w:t>
            </w:r>
            <w:r>
              <w:rPr>
                <w:rFonts w:ascii="Helvetica" w:eastAsia="Helvetica" w:hAnsi="Helvetica" w:cs="Helvetica"/>
                <w:sz w:val="18"/>
                <w:szCs w:val="18"/>
              </w:rPr>
              <w:t>including transfer pricing adjustments</w:t>
            </w:r>
          </w:p>
        </w:tc>
        <w:tc>
          <w:tcPr>
            <w:tcW w:w="0" w:type="auto"/>
            <w:gridSpan w:val="2"/>
            <w:shd w:val="clear" w:color="auto" w:fill="EFEFEF"/>
            <w:tcMar>
              <w:top w:w="40" w:type="dxa"/>
              <w:left w:w="40" w:type="dxa"/>
              <w:bottom w:w="40" w:type="dxa"/>
            </w:tcMar>
            <w:vAlign w:val="bottom"/>
          </w:tcPr>
          <w:p w14:paraId="2A73A76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2A73A77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77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7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2A73A77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7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7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620</w:t>
            </w:r>
          </w:p>
        </w:tc>
        <w:tc>
          <w:tcPr>
            <w:tcW w:w="0" w:type="auto"/>
            <w:shd w:val="clear" w:color="auto" w:fill="EFEFEF"/>
            <w:vAlign w:val="bottom"/>
          </w:tcPr>
          <w:p w14:paraId="2A73A776" w14:textId="77777777" w:rsidR="00FA5565" w:rsidRDefault="00FA5565">
            <w:pPr>
              <w:textAlignment w:val="bottom"/>
              <w:rPr>
                <w:rFonts w:ascii="Times New Roman" w:hAnsi="Times New Roman"/>
                <w:sz w:val="20"/>
                <w:szCs w:val="20"/>
              </w:rPr>
            </w:pPr>
          </w:p>
        </w:tc>
      </w:tr>
      <w:tr w:rsidR="00FA5565" w14:paraId="2A73A781" w14:textId="77777777">
        <w:tc>
          <w:tcPr>
            <w:tcW w:w="0" w:type="auto"/>
            <w:shd w:val="clear" w:color="auto" w:fill="auto"/>
            <w:tcMar>
              <w:top w:w="40" w:type="dxa"/>
              <w:left w:w="560" w:type="dxa"/>
              <w:bottom w:w="40" w:type="dxa"/>
              <w:right w:w="40" w:type="dxa"/>
            </w:tcMar>
            <w:vAlign w:val="bottom"/>
          </w:tcPr>
          <w:p w14:paraId="2A73A77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Ending balances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77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45,174</w:t>
            </w:r>
          </w:p>
        </w:tc>
        <w:tc>
          <w:tcPr>
            <w:tcW w:w="0" w:type="auto"/>
            <w:tcBorders>
              <w:top w:val="single" w:sz="8" w:space="0" w:color="000000"/>
              <w:bottom w:val="single" w:sz="8" w:space="0" w:color="000000"/>
            </w:tcBorders>
            <w:shd w:val="clear" w:color="auto" w:fill="auto"/>
            <w:vAlign w:val="bottom"/>
          </w:tcPr>
          <w:p w14:paraId="2A73A77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7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77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40,201</w:t>
            </w:r>
          </w:p>
        </w:tc>
        <w:tc>
          <w:tcPr>
            <w:tcW w:w="0" w:type="auto"/>
            <w:tcBorders>
              <w:top w:val="single" w:sz="8" w:space="0" w:color="000000"/>
              <w:bottom w:val="single" w:sz="8" w:space="0" w:color="000000"/>
            </w:tcBorders>
            <w:shd w:val="clear" w:color="auto" w:fill="auto"/>
            <w:vAlign w:val="bottom"/>
          </w:tcPr>
          <w:p w14:paraId="2A73A77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7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77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35,867</w:t>
            </w:r>
          </w:p>
        </w:tc>
        <w:tc>
          <w:tcPr>
            <w:tcW w:w="0" w:type="auto"/>
            <w:tcBorders>
              <w:top w:val="single" w:sz="8" w:space="0" w:color="000000"/>
              <w:bottom w:val="single" w:sz="8" w:space="0" w:color="000000"/>
            </w:tcBorders>
            <w:shd w:val="clear" w:color="auto" w:fill="auto"/>
            <w:vAlign w:val="bottom"/>
          </w:tcPr>
          <w:p w14:paraId="2A73A780" w14:textId="77777777" w:rsidR="00FA5565" w:rsidRDefault="00FA5565">
            <w:pPr>
              <w:textAlignment w:val="bottom"/>
              <w:rPr>
                <w:rFonts w:ascii="Times New Roman" w:hAnsi="Times New Roman"/>
                <w:sz w:val="20"/>
                <w:szCs w:val="20"/>
              </w:rPr>
            </w:pPr>
          </w:p>
        </w:tc>
      </w:tr>
      <w:tr w:rsidR="00FA5565" w14:paraId="2A73A788" w14:textId="77777777">
        <w:tc>
          <w:tcPr>
            <w:tcW w:w="0" w:type="auto"/>
            <w:shd w:val="clear" w:color="auto" w:fill="EFEFEF"/>
            <w:tcMar>
              <w:top w:w="40" w:type="dxa"/>
              <w:left w:w="40" w:type="dxa"/>
              <w:bottom w:w="40" w:type="dxa"/>
              <w:right w:w="40" w:type="dxa"/>
            </w:tcMar>
            <w:vAlign w:val="bottom"/>
          </w:tcPr>
          <w:p w14:paraId="2A73A78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78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78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7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78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78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78F" w14:textId="77777777">
        <w:tc>
          <w:tcPr>
            <w:tcW w:w="0" w:type="auto"/>
            <w:shd w:val="clear" w:color="auto" w:fill="auto"/>
            <w:tcMar>
              <w:top w:w="40" w:type="dxa"/>
              <w:left w:w="40" w:type="dxa"/>
              <w:bottom w:w="40" w:type="dxa"/>
              <w:right w:w="40" w:type="dxa"/>
            </w:tcMar>
            <w:vAlign w:val="bottom"/>
          </w:tcPr>
          <w:p w14:paraId="2A73A78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Retained earnings:</w:t>
            </w:r>
          </w:p>
        </w:tc>
        <w:tc>
          <w:tcPr>
            <w:tcW w:w="0" w:type="auto"/>
            <w:gridSpan w:val="3"/>
            <w:shd w:val="clear" w:color="auto" w:fill="auto"/>
            <w:tcMar>
              <w:top w:w="40" w:type="dxa"/>
              <w:left w:w="40" w:type="dxa"/>
              <w:bottom w:w="40" w:type="dxa"/>
              <w:right w:w="40" w:type="dxa"/>
            </w:tcMar>
            <w:vAlign w:val="bottom"/>
          </w:tcPr>
          <w:p w14:paraId="2A73A78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7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7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7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78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799" w14:textId="77777777">
        <w:tc>
          <w:tcPr>
            <w:tcW w:w="0" w:type="auto"/>
            <w:shd w:val="clear" w:color="auto" w:fill="EFEFEF"/>
            <w:tcMar>
              <w:top w:w="40" w:type="dxa"/>
              <w:left w:w="560" w:type="dxa"/>
              <w:bottom w:w="40" w:type="dxa"/>
              <w:right w:w="40" w:type="dxa"/>
            </w:tcMar>
            <w:vAlign w:val="bottom"/>
          </w:tcPr>
          <w:p w14:paraId="2A73A79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Beginning balances</w:t>
            </w:r>
          </w:p>
        </w:tc>
        <w:tc>
          <w:tcPr>
            <w:tcW w:w="0" w:type="auto"/>
            <w:gridSpan w:val="2"/>
            <w:shd w:val="clear" w:color="auto" w:fill="EFEFEF"/>
            <w:tcMar>
              <w:top w:w="40" w:type="dxa"/>
              <w:left w:w="40" w:type="dxa"/>
              <w:bottom w:w="40" w:type="dxa"/>
            </w:tcMar>
            <w:vAlign w:val="bottom"/>
          </w:tcPr>
          <w:p w14:paraId="2A73A79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70,400</w:t>
            </w:r>
          </w:p>
        </w:tc>
        <w:tc>
          <w:tcPr>
            <w:tcW w:w="0" w:type="auto"/>
            <w:shd w:val="clear" w:color="auto" w:fill="EFEFEF"/>
            <w:vAlign w:val="bottom"/>
          </w:tcPr>
          <w:p w14:paraId="2A73A79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79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9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98,330</w:t>
            </w:r>
          </w:p>
        </w:tc>
        <w:tc>
          <w:tcPr>
            <w:tcW w:w="0" w:type="auto"/>
            <w:shd w:val="clear" w:color="auto" w:fill="EFEFEF"/>
            <w:vAlign w:val="bottom"/>
          </w:tcPr>
          <w:p w14:paraId="2A73A79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79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9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96,364</w:t>
            </w:r>
          </w:p>
        </w:tc>
        <w:tc>
          <w:tcPr>
            <w:tcW w:w="0" w:type="auto"/>
            <w:shd w:val="clear" w:color="auto" w:fill="EFEFEF"/>
            <w:vAlign w:val="bottom"/>
          </w:tcPr>
          <w:p w14:paraId="2A73A798" w14:textId="77777777" w:rsidR="00FA5565" w:rsidRDefault="00FA5565">
            <w:pPr>
              <w:textAlignment w:val="bottom"/>
              <w:rPr>
                <w:rFonts w:ascii="Times New Roman" w:hAnsi="Times New Roman"/>
                <w:sz w:val="20"/>
                <w:szCs w:val="20"/>
              </w:rPr>
            </w:pPr>
          </w:p>
        </w:tc>
      </w:tr>
      <w:tr w:rsidR="00FA5565" w14:paraId="2A73A7A3" w14:textId="77777777">
        <w:tc>
          <w:tcPr>
            <w:tcW w:w="0" w:type="auto"/>
            <w:shd w:val="clear" w:color="auto" w:fill="auto"/>
            <w:tcMar>
              <w:top w:w="40" w:type="dxa"/>
              <w:left w:w="1040" w:type="dxa"/>
              <w:bottom w:w="40" w:type="dxa"/>
              <w:right w:w="40" w:type="dxa"/>
            </w:tcMar>
            <w:vAlign w:val="bottom"/>
          </w:tcPr>
          <w:p w14:paraId="2A73A79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Net income</w:t>
            </w:r>
          </w:p>
        </w:tc>
        <w:tc>
          <w:tcPr>
            <w:tcW w:w="0" w:type="auto"/>
            <w:gridSpan w:val="2"/>
            <w:shd w:val="clear" w:color="auto" w:fill="auto"/>
            <w:tcMar>
              <w:top w:w="40" w:type="dxa"/>
              <w:left w:w="40" w:type="dxa"/>
              <w:bottom w:w="40" w:type="dxa"/>
            </w:tcMar>
            <w:vAlign w:val="bottom"/>
          </w:tcPr>
          <w:p w14:paraId="2A73A79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55,256</w:t>
            </w:r>
          </w:p>
        </w:tc>
        <w:tc>
          <w:tcPr>
            <w:tcW w:w="0" w:type="auto"/>
            <w:shd w:val="clear" w:color="auto" w:fill="auto"/>
            <w:vAlign w:val="bottom"/>
          </w:tcPr>
          <w:p w14:paraId="2A73A79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9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9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59,531</w:t>
            </w:r>
          </w:p>
        </w:tc>
        <w:tc>
          <w:tcPr>
            <w:tcW w:w="0" w:type="auto"/>
            <w:shd w:val="clear" w:color="auto" w:fill="auto"/>
            <w:vAlign w:val="bottom"/>
          </w:tcPr>
          <w:p w14:paraId="2A73A79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A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A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48,351</w:t>
            </w:r>
          </w:p>
        </w:tc>
        <w:tc>
          <w:tcPr>
            <w:tcW w:w="0" w:type="auto"/>
            <w:shd w:val="clear" w:color="auto" w:fill="auto"/>
            <w:vAlign w:val="bottom"/>
          </w:tcPr>
          <w:p w14:paraId="2A73A7A2" w14:textId="77777777" w:rsidR="00FA5565" w:rsidRDefault="00FA5565">
            <w:pPr>
              <w:textAlignment w:val="bottom"/>
              <w:rPr>
                <w:rFonts w:ascii="Times New Roman" w:hAnsi="Times New Roman"/>
                <w:sz w:val="20"/>
                <w:szCs w:val="20"/>
              </w:rPr>
            </w:pPr>
          </w:p>
        </w:tc>
      </w:tr>
      <w:tr w:rsidR="00FA5565" w14:paraId="2A73A7AD" w14:textId="77777777">
        <w:tc>
          <w:tcPr>
            <w:tcW w:w="0" w:type="auto"/>
            <w:shd w:val="clear" w:color="auto" w:fill="EFEFEF"/>
            <w:tcMar>
              <w:top w:w="40" w:type="dxa"/>
              <w:left w:w="1040" w:type="dxa"/>
              <w:bottom w:w="40" w:type="dxa"/>
              <w:right w:w="40" w:type="dxa"/>
            </w:tcMar>
            <w:vAlign w:val="bottom"/>
          </w:tcPr>
          <w:p w14:paraId="2A73A7A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xml:space="preserve">Dividends and </w:t>
            </w:r>
            <w:r>
              <w:rPr>
                <w:rFonts w:ascii="Helvetica" w:eastAsia="Helvetica" w:hAnsi="Helvetica" w:cs="Helvetica"/>
                <w:sz w:val="18"/>
                <w:szCs w:val="18"/>
              </w:rPr>
              <w:t>dividend equivalents declared</w:t>
            </w:r>
          </w:p>
        </w:tc>
        <w:tc>
          <w:tcPr>
            <w:tcW w:w="0" w:type="auto"/>
            <w:gridSpan w:val="2"/>
            <w:shd w:val="clear" w:color="auto" w:fill="EFEFEF"/>
            <w:tcMar>
              <w:top w:w="40" w:type="dxa"/>
              <w:left w:w="40" w:type="dxa"/>
              <w:bottom w:w="40" w:type="dxa"/>
            </w:tcMar>
            <w:vAlign w:val="bottom"/>
          </w:tcPr>
          <w:p w14:paraId="2A73A7A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(14,129</w:t>
            </w:r>
          </w:p>
        </w:tc>
        <w:tc>
          <w:tcPr>
            <w:tcW w:w="0" w:type="auto"/>
            <w:shd w:val="clear" w:color="auto" w:fill="EFEFEF"/>
            <w:tcMar>
              <w:top w:w="40" w:type="dxa"/>
              <w:bottom w:w="40" w:type="dxa"/>
              <w:right w:w="40" w:type="dxa"/>
            </w:tcMar>
            <w:vAlign w:val="bottom"/>
          </w:tcPr>
          <w:p w14:paraId="2A73A7A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7A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A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(13,735</w:t>
            </w:r>
          </w:p>
        </w:tc>
        <w:tc>
          <w:tcPr>
            <w:tcW w:w="0" w:type="auto"/>
            <w:shd w:val="clear" w:color="auto" w:fill="EFEFEF"/>
            <w:tcMar>
              <w:top w:w="40" w:type="dxa"/>
              <w:bottom w:w="40" w:type="dxa"/>
              <w:right w:w="40" w:type="dxa"/>
            </w:tcMar>
            <w:vAlign w:val="bottom"/>
          </w:tcPr>
          <w:p w14:paraId="2A73A7A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7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A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(12,803</w:t>
            </w:r>
          </w:p>
        </w:tc>
        <w:tc>
          <w:tcPr>
            <w:tcW w:w="0" w:type="auto"/>
            <w:shd w:val="clear" w:color="auto" w:fill="EFEFEF"/>
            <w:tcMar>
              <w:top w:w="40" w:type="dxa"/>
              <w:bottom w:w="40" w:type="dxa"/>
              <w:right w:w="40" w:type="dxa"/>
            </w:tcMar>
            <w:vAlign w:val="bottom"/>
          </w:tcPr>
          <w:p w14:paraId="2A73A7A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7B7" w14:textId="77777777">
        <w:tc>
          <w:tcPr>
            <w:tcW w:w="0" w:type="auto"/>
            <w:shd w:val="clear" w:color="auto" w:fill="auto"/>
            <w:tcMar>
              <w:top w:w="40" w:type="dxa"/>
              <w:left w:w="1040" w:type="dxa"/>
              <w:bottom w:w="40" w:type="dxa"/>
              <w:right w:w="40" w:type="dxa"/>
            </w:tcMar>
            <w:vAlign w:val="bottom"/>
          </w:tcPr>
          <w:p w14:paraId="2A73A7AE"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Common stock withheld related to net share settlement of equity awards</w:t>
            </w:r>
          </w:p>
        </w:tc>
        <w:tc>
          <w:tcPr>
            <w:tcW w:w="0" w:type="auto"/>
            <w:gridSpan w:val="2"/>
            <w:shd w:val="clear" w:color="auto" w:fill="auto"/>
            <w:tcMar>
              <w:top w:w="40" w:type="dxa"/>
              <w:left w:w="40" w:type="dxa"/>
              <w:bottom w:w="40" w:type="dxa"/>
            </w:tcMar>
            <w:vAlign w:val="bottom"/>
          </w:tcPr>
          <w:p w14:paraId="2A73A7A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(1,029</w:t>
            </w:r>
          </w:p>
        </w:tc>
        <w:tc>
          <w:tcPr>
            <w:tcW w:w="0" w:type="auto"/>
            <w:shd w:val="clear" w:color="auto" w:fill="auto"/>
            <w:tcMar>
              <w:top w:w="40" w:type="dxa"/>
              <w:bottom w:w="40" w:type="dxa"/>
              <w:right w:w="40" w:type="dxa"/>
            </w:tcMar>
            <w:vAlign w:val="bottom"/>
          </w:tcPr>
          <w:p w14:paraId="2A73A7B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7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B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(948</w:t>
            </w:r>
          </w:p>
        </w:tc>
        <w:tc>
          <w:tcPr>
            <w:tcW w:w="0" w:type="auto"/>
            <w:shd w:val="clear" w:color="auto" w:fill="auto"/>
            <w:tcMar>
              <w:top w:w="40" w:type="dxa"/>
              <w:bottom w:w="40" w:type="dxa"/>
              <w:right w:w="40" w:type="dxa"/>
            </w:tcMar>
            <w:vAlign w:val="bottom"/>
          </w:tcPr>
          <w:p w14:paraId="2A73A7B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7B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B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(581</w:t>
            </w:r>
          </w:p>
        </w:tc>
        <w:tc>
          <w:tcPr>
            <w:tcW w:w="0" w:type="auto"/>
            <w:shd w:val="clear" w:color="auto" w:fill="auto"/>
            <w:tcMar>
              <w:top w:w="40" w:type="dxa"/>
              <w:bottom w:w="40" w:type="dxa"/>
              <w:right w:w="40" w:type="dxa"/>
            </w:tcMar>
            <w:vAlign w:val="bottom"/>
          </w:tcPr>
          <w:p w14:paraId="2A73A7B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7C1" w14:textId="77777777">
        <w:tc>
          <w:tcPr>
            <w:tcW w:w="0" w:type="auto"/>
            <w:shd w:val="clear" w:color="auto" w:fill="EFEFEF"/>
            <w:tcMar>
              <w:top w:w="40" w:type="dxa"/>
              <w:left w:w="1040" w:type="dxa"/>
              <w:bottom w:w="40" w:type="dxa"/>
              <w:right w:w="40" w:type="dxa"/>
            </w:tcMar>
            <w:vAlign w:val="bottom"/>
          </w:tcPr>
          <w:p w14:paraId="2A73A7B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Common stock repurchased</w:t>
            </w:r>
          </w:p>
        </w:tc>
        <w:tc>
          <w:tcPr>
            <w:tcW w:w="0" w:type="auto"/>
            <w:gridSpan w:val="2"/>
            <w:shd w:val="clear" w:color="auto" w:fill="EFEFEF"/>
            <w:tcMar>
              <w:top w:w="40" w:type="dxa"/>
              <w:left w:w="40" w:type="dxa"/>
              <w:bottom w:w="40" w:type="dxa"/>
            </w:tcMar>
            <w:vAlign w:val="bottom"/>
          </w:tcPr>
          <w:p w14:paraId="2A73A7B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(67,101</w:t>
            </w:r>
          </w:p>
        </w:tc>
        <w:tc>
          <w:tcPr>
            <w:tcW w:w="0" w:type="auto"/>
            <w:shd w:val="clear" w:color="auto" w:fill="EFEFEF"/>
            <w:tcMar>
              <w:top w:w="40" w:type="dxa"/>
              <w:bottom w:w="40" w:type="dxa"/>
              <w:right w:w="40" w:type="dxa"/>
            </w:tcMar>
            <w:vAlign w:val="bottom"/>
          </w:tcPr>
          <w:p w14:paraId="2A73A7B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7B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B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(73,056</w:t>
            </w:r>
          </w:p>
        </w:tc>
        <w:tc>
          <w:tcPr>
            <w:tcW w:w="0" w:type="auto"/>
            <w:shd w:val="clear" w:color="auto" w:fill="EFEFEF"/>
            <w:tcMar>
              <w:top w:w="40" w:type="dxa"/>
              <w:bottom w:w="40" w:type="dxa"/>
              <w:right w:w="40" w:type="dxa"/>
            </w:tcMar>
            <w:vAlign w:val="bottom"/>
          </w:tcPr>
          <w:p w14:paraId="2A73A7B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7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B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(33,001</w:t>
            </w:r>
          </w:p>
        </w:tc>
        <w:tc>
          <w:tcPr>
            <w:tcW w:w="0" w:type="auto"/>
            <w:shd w:val="clear" w:color="auto" w:fill="EFEFEF"/>
            <w:tcMar>
              <w:top w:w="40" w:type="dxa"/>
              <w:bottom w:w="40" w:type="dxa"/>
              <w:right w:w="40" w:type="dxa"/>
            </w:tcMar>
            <w:vAlign w:val="bottom"/>
          </w:tcPr>
          <w:p w14:paraId="2A73A7C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7CB" w14:textId="77777777">
        <w:tc>
          <w:tcPr>
            <w:tcW w:w="0" w:type="auto"/>
            <w:shd w:val="clear" w:color="auto" w:fill="auto"/>
            <w:tcMar>
              <w:top w:w="40" w:type="dxa"/>
              <w:left w:w="1040" w:type="dxa"/>
              <w:bottom w:w="40" w:type="dxa"/>
              <w:right w:w="40" w:type="dxa"/>
            </w:tcMar>
            <w:vAlign w:val="bottom"/>
          </w:tcPr>
          <w:p w14:paraId="2A73A7C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xml:space="preserve">Cumulative effects of </w:t>
            </w:r>
            <w:r>
              <w:rPr>
                <w:rFonts w:ascii="Helvetica" w:eastAsia="Helvetica" w:hAnsi="Helvetica" w:cs="Helvetica"/>
                <w:sz w:val="18"/>
                <w:szCs w:val="18"/>
              </w:rPr>
              <w:t>changes in accounting principles</w:t>
            </w:r>
          </w:p>
        </w:tc>
        <w:tc>
          <w:tcPr>
            <w:tcW w:w="0" w:type="auto"/>
            <w:gridSpan w:val="2"/>
            <w:shd w:val="clear" w:color="auto" w:fill="auto"/>
            <w:tcMar>
              <w:top w:w="40" w:type="dxa"/>
              <w:left w:w="40" w:type="dxa"/>
              <w:bottom w:w="40" w:type="dxa"/>
            </w:tcMar>
            <w:vAlign w:val="bottom"/>
          </w:tcPr>
          <w:p w14:paraId="2A73A7C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2,501</w:t>
            </w:r>
          </w:p>
        </w:tc>
        <w:tc>
          <w:tcPr>
            <w:tcW w:w="0" w:type="auto"/>
            <w:shd w:val="clear" w:color="auto" w:fill="auto"/>
            <w:vAlign w:val="bottom"/>
          </w:tcPr>
          <w:p w14:paraId="2A73A7C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C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278</w:t>
            </w:r>
          </w:p>
        </w:tc>
        <w:tc>
          <w:tcPr>
            <w:tcW w:w="0" w:type="auto"/>
            <w:shd w:val="clear" w:color="auto" w:fill="auto"/>
            <w:vAlign w:val="bottom"/>
          </w:tcPr>
          <w:p w14:paraId="2A73A7C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C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2A73A7CA" w14:textId="77777777" w:rsidR="00FA5565" w:rsidRDefault="00FA5565">
            <w:pPr>
              <w:textAlignment w:val="bottom"/>
              <w:rPr>
                <w:rFonts w:ascii="Times New Roman" w:hAnsi="Times New Roman"/>
                <w:sz w:val="20"/>
                <w:szCs w:val="20"/>
              </w:rPr>
            </w:pPr>
          </w:p>
        </w:tc>
      </w:tr>
      <w:tr w:rsidR="00FA5565" w14:paraId="2A73A7D5" w14:textId="77777777">
        <w:tc>
          <w:tcPr>
            <w:tcW w:w="0" w:type="auto"/>
            <w:shd w:val="clear" w:color="auto" w:fill="EFEFEF"/>
            <w:tcMar>
              <w:top w:w="40" w:type="dxa"/>
              <w:left w:w="560" w:type="dxa"/>
              <w:bottom w:w="40" w:type="dxa"/>
              <w:right w:w="40" w:type="dxa"/>
            </w:tcMar>
            <w:vAlign w:val="bottom"/>
          </w:tcPr>
          <w:p w14:paraId="2A73A7C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Ending balances</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7C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45,898</w:t>
            </w:r>
          </w:p>
        </w:tc>
        <w:tc>
          <w:tcPr>
            <w:tcW w:w="0" w:type="auto"/>
            <w:tcBorders>
              <w:top w:val="single" w:sz="8" w:space="0" w:color="000000"/>
              <w:bottom w:val="single" w:sz="8" w:space="0" w:color="000000"/>
            </w:tcBorders>
            <w:shd w:val="clear" w:color="auto" w:fill="EFEFEF"/>
            <w:vAlign w:val="bottom"/>
          </w:tcPr>
          <w:p w14:paraId="2A73A7C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7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7D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70,400</w:t>
            </w:r>
          </w:p>
        </w:tc>
        <w:tc>
          <w:tcPr>
            <w:tcW w:w="0" w:type="auto"/>
            <w:tcBorders>
              <w:top w:val="single" w:sz="8" w:space="0" w:color="000000"/>
              <w:bottom w:val="single" w:sz="8" w:space="0" w:color="000000"/>
            </w:tcBorders>
            <w:shd w:val="clear" w:color="auto" w:fill="EFEFEF"/>
            <w:vAlign w:val="bottom"/>
          </w:tcPr>
          <w:p w14:paraId="2A73A7D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7D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7D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98,330</w:t>
            </w:r>
          </w:p>
        </w:tc>
        <w:tc>
          <w:tcPr>
            <w:tcW w:w="0" w:type="auto"/>
            <w:tcBorders>
              <w:top w:val="single" w:sz="8" w:space="0" w:color="000000"/>
              <w:bottom w:val="single" w:sz="8" w:space="0" w:color="000000"/>
            </w:tcBorders>
            <w:shd w:val="clear" w:color="auto" w:fill="EFEFEF"/>
            <w:vAlign w:val="bottom"/>
          </w:tcPr>
          <w:p w14:paraId="2A73A7D4" w14:textId="77777777" w:rsidR="00FA5565" w:rsidRDefault="00FA5565">
            <w:pPr>
              <w:textAlignment w:val="bottom"/>
              <w:rPr>
                <w:rFonts w:ascii="Times New Roman" w:hAnsi="Times New Roman"/>
                <w:sz w:val="20"/>
                <w:szCs w:val="20"/>
              </w:rPr>
            </w:pPr>
          </w:p>
        </w:tc>
      </w:tr>
      <w:tr w:rsidR="00FA5565" w14:paraId="2A73A7DC" w14:textId="77777777">
        <w:tc>
          <w:tcPr>
            <w:tcW w:w="0" w:type="auto"/>
            <w:shd w:val="clear" w:color="auto" w:fill="auto"/>
            <w:tcMar>
              <w:top w:w="40" w:type="dxa"/>
              <w:left w:w="40" w:type="dxa"/>
              <w:bottom w:w="40" w:type="dxa"/>
              <w:right w:w="40" w:type="dxa"/>
            </w:tcMar>
            <w:vAlign w:val="bottom"/>
          </w:tcPr>
          <w:p w14:paraId="2A73A7D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7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7D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7D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7D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7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7E3" w14:textId="77777777">
        <w:tc>
          <w:tcPr>
            <w:tcW w:w="0" w:type="auto"/>
            <w:shd w:val="clear" w:color="auto" w:fill="EFEFEF"/>
            <w:tcMar>
              <w:top w:w="40" w:type="dxa"/>
              <w:left w:w="40" w:type="dxa"/>
              <w:bottom w:w="40" w:type="dxa"/>
              <w:right w:w="40" w:type="dxa"/>
            </w:tcMar>
            <w:vAlign w:val="bottom"/>
          </w:tcPr>
          <w:p w14:paraId="2A73A7D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Accumulated other comprehensive income/(loss):</w:t>
            </w:r>
          </w:p>
        </w:tc>
        <w:tc>
          <w:tcPr>
            <w:tcW w:w="0" w:type="auto"/>
            <w:gridSpan w:val="3"/>
            <w:shd w:val="clear" w:color="auto" w:fill="EFEFEF"/>
            <w:tcMar>
              <w:top w:w="40" w:type="dxa"/>
              <w:left w:w="40" w:type="dxa"/>
              <w:bottom w:w="40" w:type="dxa"/>
              <w:right w:w="40" w:type="dxa"/>
            </w:tcMar>
            <w:vAlign w:val="bottom"/>
          </w:tcPr>
          <w:p w14:paraId="2A73A7D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7D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7E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7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7E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7ED" w14:textId="77777777">
        <w:tc>
          <w:tcPr>
            <w:tcW w:w="0" w:type="auto"/>
            <w:shd w:val="clear" w:color="auto" w:fill="auto"/>
            <w:tcMar>
              <w:top w:w="40" w:type="dxa"/>
              <w:left w:w="560" w:type="dxa"/>
              <w:bottom w:w="40" w:type="dxa"/>
              <w:right w:w="40" w:type="dxa"/>
            </w:tcMar>
            <w:vAlign w:val="bottom"/>
          </w:tcPr>
          <w:p w14:paraId="2A73A7E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Beginning balances</w:t>
            </w:r>
          </w:p>
        </w:tc>
        <w:tc>
          <w:tcPr>
            <w:tcW w:w="0" w:type="auto"/>
            <w:gridSpan w:val="2"/>
            <w:shd w:val="clear" w:color="auto" w:fill="auto"/>
            <w:tcMar>
              <w:top w:w="40" w:type="dxa"/>
              <w:left w:w="40" w:type="dxa"/>
              <w:bottom w:w="40" w:type="dxa"/>
            </w:tcMar>
            <w:vAlign w:val="bottom"/>
          </w:tcPr>
          <w:p w14:paraId="2A73A7E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(3,454</w:t>
            </w:r>
          </w:p>
        </w:tc>
        <w:tc>
          <w:tcPr>
            <w:tcW w:w="0" w:type="auto"/>
            <w:shd w:val="clear" w:color="auto" w:fill="auto"/>
            <w:tcMar>
              <w:top w:w="40" w:type="dxa"/>
              <w:bottom w:w="40" w:type="dxa"/>
              <w:right w:w="40" w:type="dxa"/>
            </w:tcMar>
            <w:vAlign w:val="bottom"/>
          </w:tcPr>
          <w:p w14:paraId="2A73A7E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7E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E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(150</w:t>
            </w:r>
          </w:p>
        </w:tc>
        <w:tc>
          <w:tcPr>
            <w:tcW w:w="0" w:type="auto"/>
            <w:shd w:val="clear" w:color="auto" w:fill="auto"/>
            <w:tcMar>
              <w:top w:w="40" w:type="dxa"/>
              <w:bottom w:w="40" w:type="dxa"/>
              <w:right w:w="40" w:type="dxa"/>
            </w:tcMar>
            <w:vAlign w:val="bottom"/>
          </w:tcPr>
          <w:p w14:paraId="2A73A7E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7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E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634</w:t>
            </w:r>
          </w:p>
        </w:tc>
        <w:tc>
          <w:tcPr>
            <w:tcW w:w="0" w:type="auto"/>
            <w:shd w:val="clear" w:color="auto" w:fill="auto"/>
            <w:vAlign w:val="bottom"/>
          </w:tcPr>
          <w:p w14:paraId="2A73A7EC" w14:textId="77777777" w:rsidR="00FA5565" w:rsidRDefault="00FA5565">
            <w:pPr>
              <w:textAlignment w:val="bottom"/>
              <w:rPr>
                <w:rFonts w:ascii="Times New Roman" w:hAnsi="Times New Roman"/>
                <w:sz w:val="20"/>
                <w:szCs w:val="20"/>
              </w:rPr>
            </w:pPr>
          </w:p>
        </w:tc>
      </w:tr>
      <w:tr w:rsidR="00FA5565" w14:paraId="2A73A7F7" w14:textId="77777777">
        <w:tc>
          <w:tcPr>
            <w:tcW w:w="0" w:type="auto"/>
            <w:shd w:val="clear" w:color="auto" w:fill="EFEFEF"/>
            <w:tcMar>
              <w:top w:w="40" w:type="dxa"/>
              <w:left w:w="1040" w:type="dxa"/>
              <w:bottom w:w="40" w:type="dxa"/>
              <w:right w:w="40" w:type="dxa"/>
            </w:tcMar>
            <w:vAlign w:val="bottom"/>
          </w:tcPr>
          <w:p w14:paraId="2A73A7E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 xml:space="preserve">Other comprehensive </w:t>
            </w:r>
            <w:r>
              <w:rPr>
                <w:rFonts w:ascii="Helvetica" w:eastAsia="Helvetica" w:hAnsi="Helvetica" w:cs="Helvetica"/>
                <w:sz w:val="18"/>
                <w:szCs w:val="18"/>
              </w:rPr>
              <w:t>income/(loss)</w:t>
            </w:r>
          </w:p>
        </w:tc>
        <w:tc>
          <w:tcPr>
            <w:tcW w:w="0" w:type="auto"/>
            <w:gridSpan w:val="2"/>
            <w:shd w:val="clear" w:color="auto" w:fill="EFEFEF"/>
            <w:tcMar>
              <w:top w:w="40" w:type="dxa"/>
              <w:left w:w="40" w:type="dxa"/>
              <w:bottom w:w="40" w:type="dxa"/>
            </w:tcMar>
            <w:vAlign w:val="bottom"/>
          </w:tcPr>
          <w:p w14:paraId="2A73A7E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2,781</w:t>
            </w:r>
          </w:p>
        </w:tc>
        <w:tc>
          <w:tcPr>
            <w:tcW w:w="0" w:type="auto"/>
            <w:shd w:val="clear" w:color="auto" w:fill="EFEFEF"/>
            <w:vAlign w:val="bottom"/>
          </w:tcPr>
          <w:p w14:paraId="2A73A7F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7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F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(3,026</w:t>
            </w:r>
          </w:p>
        </w:tc>
        <w:tc>
          <w:tcPr>
            <w:tcW w:w="0" w:type="auto"/>
            <w:shd w:val="clear" w:color="auto" w:fill="EFEFEF"/>
            <w:tcMar>
              <w:top w:w="40" w:type="dxa"/>
              <w:bottom w:w="40" w:type="dxa"/>
              <w:right w:w="40" w:type="dxa"/>
            </w:tcMar>
            <w:vAlign w:val="bottom"/>
          </w:tcPr>
          <w:p w14:paraId="2A73A7F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7F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7F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(784</w:t>
            </w:r>
          </w:p>
        </w:tc>
        <w:tc>
          <w:tcPr>
            <w:tcW w:w="0" w:type="auto"/>
            <w:shd w:val="clear" w:color="auto" w:fill="EFEFEF"/>
            <w:tcMar>
              <w:top w:w="40" w:type="dxa"/>
              <w:bottom w:w="40" w:type="dxa"/>
              <w:right w:w="40" w:type="dxa"/>
            </w:tcMar>
            <w:vAlign w:val="bottom"/>
          </w:tcPr>
          <w:p w14:paraId="2A73A7F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801" w14:textId="77777777">
        <w:tc>
          <w:tcPr>
            <w:tcW w:w="0" w:type="auto"/>
            <w:shd w:val="clear" w:color="auto" w:fill="auto"/>
            <w:tcMar>
              <w:top w:w="40" w:type="dxa"/>
              <w:left w:w="1040" w:type="dxa"/>
              <w:bottom w:w="40" w:type="dxa"/>
              <w:right w:w="40" w:type="dxa"/>
            </w:tcMar>
            <w:vAlign w:val="bottom"/>
          </w:tcPr>
          <w:p w14:paraId="2A73A7F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Cumulative effects of changes in accounting principles</w:t>
            </w:r>
          </w:p>
        </w:tc>
        <w:tc>
          <w:tcPr>
            <w:tcW w:w="0" w:type="auto"/>
            <w:gridSpan w:val="2"/>
            <w:shd w:val="clear" w:color="auto" w:fill="auto"/>
            <w:tcMar>
              <w:top w:w="40" w:type="dxa"/>
              <w:left w:w="40" w:type="dxa"/>
              <w:bottom w:w="40" w:type="dxa"/>
            </w:tcMar>
            <w:vAlign w:val="bottom"/>
          </w:tcPr>
          <w:p w14:paraId="2A73A7F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89</w:t>
            </w:r>
          </w:p>
        </w:tc>
        <w:tc>
          <w:tcPr>
            <w:tcW w:w="0" w:type="auto"/>
            <w:shd w:val="clear" w:color="auto" w:fill="auto"/>
            <w:vAlign w:val="bottom"/>
          </w:tcPr>
          <w:p w14:paraId="2A73A7F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7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F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(278</w:t>
            </w:r>
          </w:p>
        </w:tc>
        <w:tc>
          <w:tcPr>
            <w:tcW w:w="0" w:type="auto"/>
            <w:shd w:val="clear" w:color="auto" w:fill="auto"/>
            <w:tcMar>
              <w:top w:w="40" w:type="dxa"/>
              <w:bottom w:w="40" w:type="dxa"/>
              <w:right w:w="40" w:type="dxa"/>
            </w:tcMar>
            <w:vAlign w:val="bottom"/>
          </w:tcPr>
          <w:p w14:paraId="2A73A7F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A7F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7F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2A73A800" w14:textId="77777777" w:rsidR="00FA5565" w:rsidRDefault="00FA5565">
            <w:pPr>
              <w:textAlignment w:val="bottom"/>
              <w:rPr>
                <w:rFonts w:ascii="Times New Roman" w:hAnsi="Times New Roman"/>
                <w:sz w:val="20"/>
                <w:szCs w:val="20"/>
              </w:rPr>
            </w:pPr>
          </w:p>
        </w:tc>
      </w:tr>
      <w:tr w:rsidR="00FA5565" w14:paraId="2A73A80B" w14:textId="77777777">
        <w:tc>
          <w:tcPr>
            <w:tcW w:w="0" w:type="auto"/>
            <w:shd w:val="clear" w:color="auto" w:fill="EFEFEF"/>
            <w:tcMar>
              <w:top w:w="40" w:type="dxa"/>
              <w:left w:w="560" w:type="dxa"/>
              <w:bottom w:w="40" w:type="dxa"/>
              <w:right w:w="40" w:type="dxa"/>
            </w:tcMar>
            <w:vAlign w:val="bottom"/>
          </w:tcPr>
          <w:p w14:paraId="2A73A80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Ending balances</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80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(584</w:t>
            </w:r>
          </w:p>
        </w:tc>
        <w:tc>
          <w:tcPr>
            <w:tcW w:w="0" w:type="auto"/>
            <w:tcBorders>
              <w:top w:val="single" w:sz="8" w:space="0" w:color="000000"/>
              <w:bottom w:val="single" w:sz="8" w:space="0" w:color="000000"/>
            </w:tcBorders>
            <w:shd w:val="clear" w:color="auto" w:fill="EFEFEF"/>
            <w:tcMar>
              <w:top w:w="40" w:type="dxa"/>
              <w:bottom w:w="40" w:type="dxa"/>
              <w:right w:w="40" w:type="dxa"/>
            </w:tcMar>
            <w:vAlign w:val="bottom"/>
          </w:tcPr>
          <w:p w14:paraId="2A73A80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80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80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(3,454</w:t>
            </w:r>
          </w:p>
        </w:tc>
        <w:tc>
          <w:tcPr>
            <w:tcW w:w="0" w:type="auto"/>
            <w:tcBorders>
              <w:top w:val="single" w:sz="8" w:space="0" w:color="000000"/>
              <w:bottom w:val="single" w:sz="8" w:space="0" w:color="000000"/>
            </w:tcBorders>
            <w:shd w:val="clear" w:color="auto" w:fill="EFEFEF"/>
            <w:tcMar>
              <w:top w:w="40" w:type="dxa"/>
              <w:bottom w:w="40" w:type="dxa"/>
              <w:right w:w="40" w:type="dxa"/>
            </w:tcMar>
            <w:vAlign w:val="bottom"/>
          </w:tcPr>
          <w:p w14:paraId="2A73A80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8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80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(150</w:t>
            </w:r>
          </w:p>
        </w:tc>
        <w:tc>
          <w:tcPr>
            <w:tcW w:w="0" w:type="auto"/>
            <w:tcBorders>
              <w:top w:val="single" w:sz="8" w:space="0" w:color="000000"/>
              <w:bottom w:val="single" w:sz="8" w:space="0" w:color="000000"/>
            </w:tcBorders>
            <w:shd w:val="clear" w:color="auto" w:fill="EFEFEF"/>
            <w:tcMar>
              <w:top w:w="40" w:type="dxa"/>
              <w:bottom w:w="40" w:type="dxa"/>
              <w:right w:w="40" w:type="dxa"/>
            </w:tcMar>
            <w:vAlign w:val="bottom"/>
          </w:tcPr>
          <w:p w14:paraId="2A73A80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A812" w14:textId="77777777">
        <w:tc>
          <w:tcPr>
            <w:tcW w:w="0" w:type="auto"/>
            <w:shd w:val="clear" w:color="auto" w:fill="auto"/>
            <w:tcMar>
              <w:top w:w="40" w:type="dxa"/>
              <w:left w:w="40" w:type="dxa"/>
              <w:bottom w:w="40" w:type="dxa"/>
              <w:right w:w="40" w:type="dxa"/>
            </w:tcMar>
            <w:vAlign w:val="bottom"/>
          </w:tcPr>
          <w:p w14:paraId="2A73A8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8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80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80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8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81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81F" w14:textId="77777777">
        <w:tc>
          <w:tcPr>
            <w:tcW w:w="0" w:type="auto"/>
            <w:shd w:val="clear" w:color="auto" w:fill="EFEFEF"/>
            <w:tcMar>
              <w:top w:w="40" w:type="dxa"/>
              <w:left w:w="40" w:type="dxa"/>
              <w:bottom w:w="40" w:type="dxa"/>
              <w:right w:w="40" w:type="dxa"/>
            </w:tcMar>
            <w:vAlign w:val="bottom"/>
          </w:tcPr>
          <w:p w14:paraId="2A73A81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Total shareholders’ equity, ending balances</w:t>
            </w:r>
          </w:p>
        </w:tc>
        <w:tc>
          <w:tcPr>
            <w:tcW w:w="0" w:type="auto"/>
            <w:tcBorders>
              <w:bottom w:val="double" w:sz="6" w:space="0" w:color="000000"/>
            </w:tcBorders>
            <w:shd w:val="clear" w:color="auto" w:fill="EFEFEF"/>
            <w:tcMar>
              <w:top w:w="40" w:type="dxa"/>
              <w:left w:w="40" w:type="dxa"/>
              <w:bottom w:w="40" w:type="dxa"/>
            </w:tcMar>
            <w:vAlign w:val="bottom"/>
          </w:tcPr>
          <w:p w14:paraId="2A73A81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81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90,488</w:t>
            </w:r>
          </w:p>
        </w:tc>
        <w:tc>
          <w:tcPr>
            <w:tcW w:w="0" w:type="auto"/>
            <w:tcBorders>
              <w:bottom w:val="double" w:sz="6" w:space="0" w:color="000000"/>
            </w:tcBorders>
            <w:shd w:val="clear" w:color="auto" w:fill="EFEFEF"/>
            <w:vAlign w:val="bottom"/>
          </w:tcPr>
          <w:p w14:paraId="2A73A81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81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81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81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107,147</w:t>
            </w:r>
          </w:p>
        </w:tc>
        <w:tc>
          <w:tcPr>
            <w:tcW w:w="0" w:type="auto"/>
            <w:tcBorders>
              <w:bottom w:val="double" w:sz="6" w:space="0" w:color="000000"/>
            </w:tcBorders>
            <w:shd w:val="clear" w:color="auto" w:fill="EFEFEF"/>
            <w:vAlign w:val="bottom"/>
          </w:tcPr>
          <w:p w14:paraId="2A73A81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81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81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81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134,047</w:t>
            </w:r>
          </w:p>
        </w:tc>
        <w:tc>
          <w:tcPr>
            <w:tcW w:w="0" w:type="auto"/>
            <w:tcBorders>
              <w:bottom w:val="double" w:sz="6" w:space="0" w:color="000000"/>
            </w:tcBorders>
            <w:shd w:val="clear" w:color="auto" w:fill="EFEFEF"/>
            <w:vAlign w:val="bottom"/>
          </w:tcPr>
          <w:p w14:paraId="2A73A81E" w14:textId="77777777" w:rsidR="00FA5565" w:rsidRDefault="00FA5565">
            <w:pPr>
              <w:textAlignment w:val="bottom"/>
              <w:rPr>
                <w:rFonts w:ascii="Times New Roman" w:hAnsi="Times New Roman"/>
                <w:sz w:val="20"/>
                <w:szCs w:val="20"/>
              </w:rPr>
            </w:pPr>
          </w:p>
        </w:tc>
      </w:tr>
      <w:tr w:rsidR="00FA5565" w14:paraId="2A73A826" w14:textId="77777777">
        <w:tc>
          <w:tcPr>
            <w:tcW w:w="0" w:type="auto"/>
            <w:shd w:val="clear" w:color="auto" w:fill="auto"/>
            <w:tcMar>
              <w:top w:w="40" w:type="dxa"/>
              <w:left w:w="40" w:type="dxa"/>
              <w:bottom w:w="40" w:type="dxa"/>
              <w:right w:w="40" w:type="dxa"/>
            </w:tcMar>
            <w:vAlign w:val="bottom"/>
          </w:tcPr>
          <w:p w14:paraId="2A73A8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2A73A8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82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2A73A8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8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2A73A82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833" w14:textId="77777777">
        <w:tc>
          <w:tcPr>
            <w:tcW w:w="0" w:type="auto"/>
            <w:shd w:val="clear" w:color="auto" w:fill="EFEFEF"/>
            <w:tcMar>
              <w:top w:w="40" w:type="dxa"/>
              <w:left w:w="40" w:type="dxa"/>
              <w:bottom w:w="40" w:type="dxa"/>
              <w:right w:w="40" w:type="dxa"/>
            </w:tcMar>
            <w:vAlign w:val="bottom"/>
          </w:tcPr>
          <w:p w14:paraId="2A73A82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Dividends and dividend equivalents declared per share or RSU</w:t>
            </w:r>
          </w:p>
        </w:tc>
        <w:tc>
          <w:tcPr>
            <w:tcW w:w="0" w:type="auto"/>
            <w:shd w:val="clear" w:color="auto" w:fill="EFEFEF"/>
            <w:tcMar>
              <w:top w:w="40" w:type="dxa"/>
              <w:left w:w="40" w:type="dxa"/>
              <w:bottom w:w="40" w:type="dxa"/>
            </w:tcMar>
            <w:vAlign w:val="bottom"/>
          </w:tcPr>
          <w:p w14:paraId="2A73A82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82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3.00</w:t>
            </w:r>
          </w:p>
        </w:tc>
        <w:tc>
          <w:tcPr>
            <w:tcW w:w="0" w:type="auto"/>
            <w:shd w:val="clear" w:color="auto" w:fill="EFEFEF"/>
            <w:vAlign w:val="bottom"/>
          </w:tcPr>
          <w:p w14:paraId="2A73A82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82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82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82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2.72</w:t>
            </w:r>
          </w:p>
        </w:tc>
        <w:tc>
          <w:tcPr>
            <w:tcW w:w="0" w:type="auto"/>
            <w:shd w:val="clear" w:color="auto" w:fill="EFEFEF"/>
            <w:vAlign w:val="bottom"/>
          </w:tcPr>
          <w:p w14:paraId="2A73A82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82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83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83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2.40</w:t>
            </w:r>
          </w:p>
        </w:tc>
        <w:tc>
          <w:tcPr>
            <w:tcW w:w="0" w:type="auto"/>
            <w:shd w:val="clear" w:color="auto" w:fill="EFEFEF"/>
            <w:vAlign w:val="bottom"/>
          </w:tcPr>
          <w:p w14:paraId="2A73A832" w14:textId="77777777" w:rsidR="00FA5565" w:rsidRDefault="00FA5565">
            <w:pPr>
              <w:textAlignment w:val="bottom"/>
              <w:rPr>
                <w:rFonts w:ascii="Times New Roman" w:hAnsi="Times New Roman"/>
                <w:sz w:val="20"/>
                <w:szCs w:val="20"/>
              </w:rPr>
            </w:pPr>
          </w:p>
        </w:tc>
      </w:tr>
    </w:tbl>
    <w:p w14:paraId="2A73A834"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See accompanying Notes to Consolidated Financial Statements.</w:t>
      </w:r>
    </w:p>
    <w:p w14:paraId="2A73A835" w14:textId="77777777" w:rsidR="00FA5565" w:rsidRDefault="00FA5565">
      <w:pPr>
        <w:rPr>
          <w:rFonts w:ascii="Times New Roman" w:hAnsi="Times New Roman"/>
          <w:sz w:val="20"/>
          <w:szCs w:val="20"/>
        </w:rPr>
      </w:pPr>
    </w:p>
    <w:p w14:paraId="2A73A836"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32</w:t>
      </w:r>
    </w:p>
    <w:p w14:paraId="2A73A837" w14:textId="77777777" w:rsidR="00FA5565" w:rsidRDefault="00D804D1">
      <w:r>
        <w:rPr>
          <w:rFonts w:ascii="Times New Roman" w:hAnsi="Times New Roman"/>
          <w:sz w:val="16"/>
          <w:szCs w:val="16"/>
        </w:rPr>
        <w:pict w14:anchorId="2A73C0BC">
          <v:rect id="_x0000_i1058" style="width:415.3pt;height:1.5pt" o:hralign="center" o:hrstd="t" o:hr="t" fillcolor="#a0a0a0" stroked="f"/>
        </w:pict>
      </w:r>
    </w:p>
    <w:p w14:paraId="2A73A838" w14:textId="77777777" w:rsidR="00FA5565" w:rsidRDefault="00FA5565">
      <w:pPr>
        <w:rPr>
          <w:rFonts w:ascii="Times New Roman" w:hAnsi="Times New Roman"/>
          <w:sz w:val="20"/>
          <w:szCs w:val="20"/>
        </w:rPr>
      </w:pPr>
    </w:p>
    <w:p w14:paraId="2A73A839"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2A73A83A"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 xml:space="preserve">CONSOLIDATED STATEMENTS OF </w:t>
      </w:r>
      <w:r>
        <w:rPr>
          <w:rFonts w:ascii="Helvetica" w:eastAsia="Helvetica" w:hAnsi="Helvetica" w:cs="Helvetica"/>
          <w:b/>
          <w:bCs/>
          <w:sz w:val="18"/>
          <w:szCs w:val="18"/>
        </w:rPr>
        <w:t>CASH FLOWS</w:t>
      </w:r>
    </w:p>
    <w:p w14:paraId="2A73A83B"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sz w:val="18"/>
          <w:szCs w:val="18"/>
        </w:rPr>
        <w:t>(In millions)</w:t>
      </w:r>
    </w:p>
    <w:tbl>
      <w:tblPr>
        <w:tblW w:w="5000" w:type="pct"/>
        <w:tblCellMar>
          <w:left w:w="0" w:type="dxa"/>
          <w:right w:w="0" w:type="dxa"/>
        </w:tblCellMar>
        <w:tblLook w:val="04A0" w:firstRow="1" w:lastRow="0" w:firstColumn="1" w:lastColumn="0" w:noHBand="0" w:noVBand="1"/>
      </w:tblPr>
      <w:tblGrid>
        <w:gridCol w:w="4368"/>
        <w:gridCol w:w="136"/>
        <w:gridCol w:w="993"/>
        <w:gridCol w:w="97"/>
        <w:gridCol w:w="130"/>
        <w:gridCol w:w="136"/>
        <w:gridCol w:w="993"/>
        <w:gridCol w:w="97"/>
        <w:gridCol w:w="130"/>
        <w:gridCol w:w="136"/>
        <w:gridCol w:w="993"/>
        <w:gridCol w:w="97"/>
      </w:tblGrid>
      <w:tr w:rsidR="00FA5565" w14:paraId="2A73A83D" w14:textId="77777777">
        <w:tc>
          <w:tcPr>
            <w:tcW w:w="0" w:type="auto"/>
            <w:gridSpan w:val="12"/>
            <w:shd w:val="clear" w:color="auto" w:fill="auto"/>
            <w:vAlign w:val="center"/>
          </w:tcPr>
          <w:p w14:paraId="2A73A83C" w14:textId="77777777" w:rsidR="00FA5565" w:rsidRDefault="00FA5565">
            <w:pPr>
              <w:rPr>
                <w:rFonts w:ascii="Times New Roman" w:hAnsi="Times New Roman"/>
                <w:sz w:val="20"/>
                <w:szCs w:val="20"/>
              </w:rPr>
            </w:pPr>
          </w:p>
        </w:tc>
      </w:tr>
      <w:tr w:rsidR="00FA5565" w14:paraId="2A73A84A" w14:textId="77777777">
        <w:tc>
          <w:tcPr>
            <w:tcW w:w="2950" w:type="pct"/>
            <w:shd w:val="clear" w:color="auto" w:fill="auto"/>
            <w:vAlign w:val="center"/>
          </w:tcPr>
          <w:p w14:paraId="2A73A83E" w14:textId="77777777" w:rsidR="00FA5565" w:rsidRDefault="00FA5565">
            <w:pPr>
              <w:rPr>
                <w:rFonts w:ascii="Times New Roman" w:hAnsi="Times New Roman"/>
                <w:sz w:val="20"/>
                <w:szCs w:val="20"/>
              </w:rPr>
            </w:pPr>
          </w:p>
        </w:tc>
        <w:tc>
          <w:tcPr>
            <w:tcW w:w="50" w:type="pct"/>
            <w:shd w:val="clear" w:color="auto" w:fill="auto"/>
            <w:vAlign w:val="center"/>
          </w:tcPr>
          <w:p w14:paraId="2A73A83F" w14:textId="77777777" w:rsidR="00FA5565" w:rsidRDefault="00FA5565">
            <w:pPr>
              <w:rPr>
                <w:rFonts w:ascii="Times New Roman" w:hAnsi="Times New Roman"/>
                <w:sz w:val="20"/>
                <w:szCs w:val="20"/>
              </w:rPr>
            </w:pPr>
          </w:p>
        </w:tc>
        <w:tc>
          <w:tcPr>
            <w:tcW w:w="550" w:type="pct"/>
            <w:shd w:val="clear" w:color="auto" w:fill="auto"/>
            <w:vAlign w:val="center"/>
          </w:tcPr>
          <w:p w14:paraId="2A73A840" w14:textId="77777777" w:rsidR="00FA5565" w:rsidRDefault="00FA5565">
            <w:pPr>
              <w:rPr>
                <w:rFonts w:ascii="Times New Roman" w:hAnsi="Times New Roman"/>
                <w:sz w:val="20"/>
                <w:szCs w:val="20"/>
              </w:rPr>
            </w:pPr>
          </w:p>
        </w:tc>
        <w:tc>
          <w:tcPr>
            <w:tcW w:w="50" w:type="pct"/>
            <w:shd w:val="clear" w:color="auto" w:fill="auto"/>
            <w:vAlign w:val="center"/>
          </w:tcPr>
          <w:p w14:paraId="2A73A841" w14:textId="77777777" w:rsidR="00FA5565" w:rsidRDefault="00FA5565">
            <w:pPr>
              <w:rPr>
                <w:rFonts w:ascii="Times New Roman" w:hAnsi="Times New Roman"/>
                <w:sz w:val="20"/>
                <w:szCs w:val="20"/>
              </w:rPr>
            </w:pPr>
          </w:p>
        </w:tc>
        <w:tc>
          <w:tcPr>
            <w:tcW w:w="50" w:type="pct"/>
            <w:shd w:val="clear" w:color="auto" w:fill="auto"/>
            <w:vAlign w:val="center"/>
          </w:tcPr>
          <w:p w14:paraId="2A73A842" w14:textId="77777777" w:rsidR="00FA5565" w:rsidRDefault="00FA5565">
            <w:pPr>
              <w:rPr>
                <w:rFonts w:ascii="Times New Roman" w:hAnsi="Times New Roman"/>
                <w:sz w:val="20"/>
                <w:szCs w:val="20"/>
              </w:rPr>
            </w:pPr>
          </w:p>
        </w:tc>
        <w:tc>
          <w:tcPr>
            <w:tcW w:w="50" w:type="pct"/>
            <w:shd w:val="clear" w:color="auto" w:fill="auto"/>
            <w:vAlign w:val="center"/>
          </w:tcPr>
          <w:p w14:paraId="2A73A843" w14:textId="77777777" w:rsidR="00FA5565" w:rsidRDefault="00FA5565">
            <w:pPr>
              <w:rPr>
                <w:rFonts w:ascii="Times New Roman" w:hAnsi="Times New Roman"/>
                <w:sz w:val="20"/>
                <w:szCs w:val="20"/>
              </w:rPr>
            </w:pPr>
          </w:p>
        </w:tc>
        <w:tc>
          <w:tcPr>
            <w:tcW w:w="550" w:type="pct"/>
            <w:shd w:val="clear" w:color="auto" w:fill="auto"/>
            <w:vAlign w:val="center"/>
          </w:tcPr>
          <w:p w14:paraId="2A73A844" w14:textId="77777777" w:rsidR="00FA5565" w:rsidRDefault="00FA5565">
            <w:pPr>
              <w:rPr>
                <w:rFonts w:ascii="Times New Roman" w:hAnsi="Times New Roman"/>
                <w:sz w:val="20"/>
                <w:szCs w:val="20"/>
              </w:rPr>
            </w:pPr>
          </w:p>
        </w:tc>
        <w:tc>
          <w:tcPr>
            <w:tcW w:w="50" w:type="pct"/>
            <w:shd w:val="clear" w:color="auto" w:fill="auto"/>
            <w:vAlign w:val="center"/>
          </w:tcPr>
          <w:p w14:paraId="2A73A845" w14:textId="77777777" w:rsidR="00FA5565" w:rsidRDefault="00FA5565">
            <w:pPr>
              <w:rPr>
                <w:rFonts w:ascii="Times New Roman" w:hAnsi="Times New Roman"/>
                <w:sz w:val="20"/>
                <w:szCs w:val="20"/>
              </w:rPr>
            </w:pPr>
          </w:p>
        </w:tc>
        <w:tc>
          <w:tcPr>
            <w:tcW w:w="50" w:type="pct"/>
            <w:shd w:val="clear" w:color="auto" w:fill="auto"/>
            <w:vAlign w:val="center"/>
          </w:tcPr>
          <w:p w14:paraId="2A73A846" w14:textId="77777777" w:rsidR="00FA5565" w:rsidRDefault="00FA5565">
            <w:pPr>
              <w:rPr>
                <w:rFonts w:ascii="Times New Roman" w:hAnsi="Times New Roman"/>
                <w:sz w:val="20"/>
                <w:szCs w:val="20"/>
              </w:rPr>
            </w:pPr>
          </w:p>
        </w:tc>
        <w:tc>
          <w:tcPr>
            <w:tcW w:w="50" w:type="pct"/>
            <w:shd w:val="clear" w:color="auto" w:fill="auto"/>
            <w:vAlign w:val="center"/>
          </w:tcPr>
          <w:p w14:paraId="2A73A847" w14:textId="77777777" w:rsidR="00FA5565" w:rsidRDefault="00FA5565">
            <w:pPr>
              <w:rPr>
                <w:rFonts w:ascii="Times New Roman" w:hAnsi="Times New Roman"/>
                <w:sz w:val="20"/>
                <w:szCs w:val="20"/>
              </w:rPr>
            </w:pPr>
          </w:p>
        </w:tc>
        <w:tc>
          <w:tcPr>
            <w:tcW w:w="550" w:type="pct"/>
            <w:shd w:val="clear" w:color="auto" w:fill="auto"/>
            <w:vAlign w:val="center"/>
          </w:tcPr>
          <w:p w14:paraId="2A73A848" w14:textId="77777777" w:rsidR="00FA5565" w:rsidRDefault="00FA5565">
            <w:pPr>
              <w:rPr>
                <w:rFonts w:ascii="Times New Roman" w:hAnsi="Times New Roman"/>
                <w:sz w:val="20"/>
                <w:szCs w:val="20"/>
              </w:rPr>
            </w:pPr>
          </w:p>
        </w:tc>
        <w:tc>
          <w:tcPr>
            <w:tcW w:w="50" w:type="pct"/>
            <w:shd w:val="clear" w:color="auto" w:fill="auto"/>
            <w:vAlign w:val="center"/>
          </w:tcPr>
          <w:p w14:paraId="2A73A849" w14:textId="77777777" w:rsidR="00FA5565" w:rsidRDefault="00FA5565">
            <w:pPr>
              <w:rPr>
                <w:rFonts w:ascii="Times New Roman" w:hAnsi="Times New Roman"/>
                <w:sz w:val="20"/>
                <w:szCs w:val="20"/>
              </w:rPr>
            </w:pPr>
          </w:p>
        </w:tc>
      </w:tr>
      <w:tr w:rsidR="00FA5565" w14:paraId="2A73A84D" w14:textId="77777777">
        <w:tc>
          <w:tcPr>
            <w:tcW w:w="0" w:type="auto"/>
            <w:shd w:val="clear" w:color="auto" w:fill="auto"/>
            <w:tcMar>
              <w:top w:w="40" w:type="dxa"/>
              <w:left w:w="40" w:type="dxa"/>
              <w:bottom w:w="40" w:type="dxa"/>
              <w:right w:w="40" w:type="dxa"/>
            </w:tcMar>
            <w:vAlign w:val="bottom"/>
          </w:tcPr>
          <w:p w14:paraId="2A73A8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2A73A84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Years ended</w:t>
            </w:r>
          </w:p>
        </w:tc>
      </w:tr>
      <w:tr w:rsidR="00FA5565" w14:paraId="2A73A854" w14:textId="77777777">
        <w:tc>
          <w:tcPr>
            <w:tcW w:w="0" w:type="auto"/>
            <w:shd w:val="clear" w:color="auto" w:fill="auto"/>
            <w:tcMar>
              <w:top w:w="40" w:type="dxa"/>
              <w:left w:w="40" w:type="dxa"/>
              <w:bottom w:w="40" w:type="dxa"/>
              <w:right w:w="40" w:type="dxa"/>
            </w:tcMar>
            <w:vAlign w:val="bottom"/>
          </w:tcPr>
          <w:p w14:paraId="2A73A8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84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28, </w:t>
            </w:r>
            <w:r>
              <w:rPr>
                <w:rFonts w:ascii="Helvetica" w:eastAsia="Helvetica" w:hAnsi="Helvetica" w:cs="Helvetica"/>
                <w:b/>
                <w:bCs/>
                <w:sz w:val="16"/>
                <w:szCs w:val="16"/>
              </w:rPr>
              <w:br/>
              <w:t>2019</w:t>
            </w:r>
          </w:p>
        </w:tc>
        <w:tc>
          <w:tcPr>
            <w:tcW w:w="0" w:type="auto"/>
            <w:shd w:val="clear" w:color="auto" w:fill="auto"/>
            <w:tcMar>
              <w:top w:w="40" w:type="dxa"/>
              <w:left w:w="40" w:type="dxa"/>
              <w:bottom w:w="40" w:type="dxa"/>
              <w:right w:w="40" w:type="dxa"/>
            </w:tcMar>
            <w:vAlign w:val="bottom"/>
          </w:tcPr>
          <w:p w14:paraId="2A73A85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85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29, </w:t>
            </w:r>
            <w:r>
              <w:rPr>
                <w:rFonts w:ascii="Helvetica" w:eastAsia="Helvetica" w:hAnsi="Helvetica" w:cs="Helvetica"/>
                <w:b/>
                <w:bCs/>
                <w:sz w:val="16"/>
                <w:szCs w:val="16"/>
              </w:rPr>
              <w:br/>
              <w:t>2018</w:t>
            </w:r>
          </w:p>
        </w:tc>
        <w:tc>
          <w:tcPr>
            <w:tcW w:w="0" w:type="auto"/>
            <w:shd w:val="clear" w:color="auto" w:fill="auto"/>
            <w:tcMar>
              <w:top w:w="40" w:type="dxa"/>
              <w:left w:w="40" w:type="dxa"/>
              <w:bottom w:w="40" w:type="dxa"/>
              <w:right w:w="40" w:type="dxa"/>
            </w:tcMar>
            <w:vAlign w:val="bottom"/>
          </w:tcPr>
          <w:p w14:paraId="2A73A8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85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September 30, </w:t>
            </w:r>
            <w:r>
              <w:rPr>
                <w:rFonts w:ascii="Helvetica" w:eastAsia="Helvetica" w:hAnsi="Helvetica" w:cs="Helvetica"/>
                <w:b/>
                <w:bCs/>
                <w:sz w:val="16"/>
                <w:szCs w:val="16"/>
              </w:rPr>
              <w:br/>
              <w:t>2017</w:t>
            </w:r>
          </w:p>
        </w:tc>
      </w:tr>
      <w:tr w:rsidR="00FA5565" w14:paraId="2A73A861" w14:textId="77777777">
        <w:tc>
          <w:tcPr>
            <w:tcW w:w="0" w:type="auto"/>
            <w:shd w:val="clear" w:color="auto" w:fill="auto"/>
            <w:tcMar>
              <w:top w:w="40" w:type="dxa"/>
              <w:left w:w="40" w:type="dxa"/>
              <w:bottom w:w="40" w:type="dxa"/>
              <w:right w:w="40" w:type="dxa"/>
            </w:tcMar>
          </w:tcPr>
          <w:p w14:paraId="2A73A855"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Cash, cash equivalents and restricted cash, beginning balances</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2A73A856"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2A73A857"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25,913</w:t>
            </w:r>
          </w:p>
        </w:tc>
        <w:tc>
          <w:tcPr>
            <w:tcW w:w="0" w:type="auto"/>
            <w:tcBorders>
              <w:top w:val="single" w:sz="8" w:space="0" w:color="000000"/>
              <w:bottom w:val="single" w:sz="8" w:space="0" w:color="000000"/>
            </w:tcBorders>
            <w:shd w:val="clear" w:color="auto" w:fill="auto"/>
            <w:vAlign w:val="bottom"/>
          </w:tcPr>
          <w:p w14:paraId="2A73A85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85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2A73A85A"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2A73A85B"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20,289</w:t>
            </w:r>
          </w:p>
        </w:tc>
        <w:tc>
          <w:tcPr>
            <w:tcW w:w="0" w:type="auto"/>
            <w:tcBorders>
              <w:top w:val="single" w:sz="8" w:space="0" w:color="000000"/>
              <w:bottom w:val="single" w:sz="8" w:space="0" w:color="000000"/>
            </w:tcBorders>
            <w:shd w:val="clear" w:color="auto" w:fill="auto"/>
            <w:vAlign w:val="bottom"/>
          </w:tcPr>
          <w:p w14:paraId="2A73A85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8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2A73A85E"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2A73A85F"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20,484</w:t>
            </w:r>
          </w:p>
        </w:tc>
        <w:tc>
          <w:tcPr>
            <w:tcW w:w="0" w:type="auto"/>
            <w:tcBorders>
              <w:top w:val="single" w:sz="8" w:space="0" w:color="000000"/>
              <w:bottom w:val="single" w:sz="8" w:space="0" w:color="000000"/>
            </w:tcBorders>
            <w:shd w:val="clear" w:color="auto" w:fill="auto"/>
            <w:vAlign w:val="bottom"/>
          </w:tcPr>
          <w:p w14:paraId="2A73A860" w14:textId="77777777" w:rsidR="00FA5565" w:rsidRDefault="00FA5565">
            <w:pPr>
              <w:textAlignment w:val="bottom"/>
              <w:rPr>
                <w:rFonts w:ascii="Times New Roman" w:hAnsi="Times New Roman"/>
                <w:sz w:val="20"/>
                <w:szCs w:val="20"/>
              </w:rPr>
            </w:pPr>
          </w:p>
        </w:tc>
      </w:tr>
      <w:tr w:rsidR="00FA5565" w14:paraId="2A73A868" w14:textId="77777777">
        <w:tc>
          <w:tcPr>
            <w:tcW w:w="0" w:type="auto"/>
            <w:shd w:val="clear" w:color="auto" w:fill="EFEFEF"/>
            <w:tcMar>
              <w:top w:w="40" w:type="dxa"/>
              <w:left w:w="40" w:type="dxa"/>
              <w:bottom w:w="40" w:type="dxa"/>
              <w:right w:w="40" w:type="dxa"/>
            </w:tcMar>
            <w:vAlign w:val="bottom"/>
          </w:tcPr>
          <w:p w14:paraId="2A73A862" w14:textId="77777777" w:rsidR="00FA5565" w:rsidRDefault="00D804D1">
            <w:pPr>
              <w:ind w:hanging="240"/>
              <w:textAlignment w:val="bottom"/>
              <w:rPr>
                <w:rFonts w:ascii="Times New Roman" w:hAnsi="Times New Roman"/>
                <w:sz w:val="17"/>
                <w:szCs w:val="17"/>
              </w:rPr>
            </w:pPr>
            <w:r>
              <w:rPr>
                <w:rFonts w:ascii="Helvetica" w:eastAsia="Helvetica" w:hAnsi="Helvetica" w:cs="Helvetica"/>
                <w:sz w:val="17"/>
                <w:szCs w:val="17"/>
              </w:rPr>
              <w:t>Operating activities:</w:t>
            </w:r>
          </w:p>
        </w:tc>
        <w:tc>
          <w:tcPr>
            <w:tcW w:w="0" w:type="auto"/>
            <w:gridSpan w:val="3"/>
            <w:shd w:val="clear" w:color="auto" w:fill="EFEFEF"/>
            <w:tcMar>
              <w:top w:w="40" w:type="dxa"/>
              <w:left w:w="40" w:type="dxa"/>
              <w:bottom w:w="40" w:type="dxa"/>
              <w:right w:w="40" w:type="dxa"/>
            </w:tcMar>
            <w:vAlign w:val="bottom"/>
          </w:tcPr>
          <w:p w14:paraId="2A73A86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8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86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86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8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872" w14:textId="77777777">
        <w:tc>
          <w:tcPr>
            <w:tcW w:w="0" w:type="auto"/>
            <w:shd w:val="clear" w:color="auto" w:fill="auto"/>
            <w:tcMar>
              <w:top w:w="40" w:type="dxa"/>
              <w:left w:w="240" w:type="dxa"/>
              <w:bottom w:w="40" w:type="dxa"/>
              <w:right w:w="40" w:type="dxa"/>
            </w:tcMar>
          </w:tcPr>
          <w:p w14:paraId="2A73A869"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Net income</w:t>
            </w:r>
          </w:p>
        </w:tc>
        <w:tc>
          <w:tcPr>
            <w:tcW w:w="0" w:type="auto"/>
            <w:gridSpan w:val="2"/>
            <w:shd w:val="clear" w:color="auto" w:fill="auto"/>
            <w:tcMar>
              <w:top w:w="40" w:type="dxa"/>
              <w:left w:w="40" w:type="dxa"/>
              <w:bottom w:w="40" w:type="dxa"/>
            </w:tcMar>
            <w:vAlign w:val="bottom"/>
          </w:tcPr>
          <w:p w14:paraId="2A73A86A"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55,256</w:t>
            </w:r>
          </w:p>
        </w:tc>
        <w:tc>
          <w:tcPr>
            <w:tcW w:w="0" w:type="auto"/>
            <w:shd w:val="clear" w:color="auto" w:fill="auto"/>
            <w:vAlign w:val="bottom"/>
          </w:tcPr>
          <w:p w14:paraId="2A73A86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86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6D"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59,531</w:t>
            </w:r>
          </w:p>
        </w:tc>
        <w:tc>
          <w:tcPr>
            <w:tcW w:w="0" w:type="auto"/>
            <w:shd w:val="clear" w:color="auto" w:fill="auto"/>
            <w:vAlign w:val="bottom"/>
          </w:tcPr>
          <w:p w14:paraId="2A73A86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86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70"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48,351</w:t>
            </w:r>
          </w:p>
        </w:tc>
        <w:tc>
          <w:tcPr>
            <w:tcW w:w="0" w:type="auto"/>
            <w:shd w:val="clear" w:color="auto" w:fill="auto"/>
            <w:vAlign w:val="bottom"/>
          </w:tcPr>
          <w:p w14:paraId="2A73A871" w14:textId="77777777" w:rsidR="00FA5565" w:rsidRDefault="00FA5565">
            <w:pPr>
              <w:textAlignment w:val="bottom"/>
              <w:rPr>
                <w:rFonts w:ascii="Times New Roman" w:hAnsi="Times New Roman"/>
                <w:sz w:val="20"/>
                <w:szCs w:val="20"/>
              </w:rPr>
            </w:pPr>
          </w:p>
        </w:tc>
      </w:tr>
      <w:tr w:rsidR="00FA5565" w14:paraId="2A73A879" w14:textId="77777777">
        <w:tc>
          <w:tcPr>
            <w:tcW w:w="0" w:type="auto"/>
            <w:shd w:val="clear" w:color="auto" w:fill="EFEFEF"/>
            <w:tcMar>
              <w:top w:w="40" w:type="dxa"/>
              <w:left w:w="240" w:type="dxa"/>
              <w:bottom w:w="40" w:type="dxa"/>
              <w:right w:w="40" w:type="dxa"/>
            </w:tcMar>
          </w:tcPr>
          <w:p w14:paraId="2A73A873"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Adjustments to reconcile net income to cash generated by operating activities:</w:t>
            </w:r>
          </w:p>
        </w:tc>
        <w:tc>
          <w:tcPr>
            <w:tcW w:w="0" w:type="auto"/>
            <w:gridSpan w:val="3"/>
            <w:shd w:val="clear" w:color="auto" w:fill="EFEFEF"/>
            <w:tcMar>
              <w:top w:w="40" w:type="dxa"/>
              <w:left w:w="40" w:type="dxa"/>
              <w:bottom w:w="40" w:type="dxa"/>
              <w:right w:w="40" w:type="dxa"/>
            </w:tcMar>
            <w:vAlign w:val="bottom"/>
          </w:tcPr>
          <w:p w14:paraId="2A73A8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87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87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8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87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883" w14:textId="77777777">
        <w:tc>
          <w:tcPr>
            <w:tcW w:w="0" w:type="auto"/>
            <w:shd w:val="clear" w:color="auto" w:fill="auto"/>
            <w:tcMar>
              <w:top w:w="40" w:type="dxa"/>
              <w:left w:w="560" w:type="dxa"/>
              <w:bottom w:w="40" w:type="dxa"/>
              <w:right w:w="40" w:type="dxa"/>
            </w:tcMar>
          </w:tcPr>
          <w:p w14:paraId="2A73A87A"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Depreciation and amortization</w:t>
            </w:r>
          </w:p>
        </w:tc>
        <w:tc>
          <w:tcPr>
            <w:tcW w:w="0" w:type="auto"/>
            <w:gridSpan w:val="2"/>
            <w:shd w:val="clear" w:color="auto" w:fill="auto"/>
            <w:tcMar>
              <w:top w:w="40" w:type="dxa"/>
              <w:left w:w="40" w:type="dxa"/>
              <w:bottom w:w="40" w:type="dxa"/>
            </w:tcMar>
            <w:vAlign w:val="bottom"/>
          </w:tcPr>
          <w:p w14:paraId="2A73A87B"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12,547</w:t>
            </w:r>
          </w:p>
        </w:tc>
        <w:tc>
          <w:tcPr>
            <w:tcW w:w="0" w:type="auto"/>
            <w:shd w:val="clear" w:color="auto" w:fill="auto"/>
            <w:vAlign w:val="bottom"/>
          </w:tcPr>
          <w:p w14:paraId="2A73A87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87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7E"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10,903</w:t>
            </w:r>
          </w:p>
        </w:tc>
        <w:tc>
          <w:tcPr>
            <w:tcW w:w="0" w:type="auto"/>
            <w:shd w:val="clear" w:color="auto" w:fill="auto"/>
            <w:vAlign w:val="bottom"/>
          </w:tcPr>
          <w:p w14:paraId="2A73A87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88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81"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10,157</w:t>
            </w:r>
          </w:p>
        </w:tc>
        <w:tc>
          <w:tcPr>
            <w:tcW w:w="0" w:type="auto"/>
            <w:shd w:val="clear" w:color="auto" w:fill="auto"/>
            <w:vAlign w:val="bottom"/>
          </w:tcPr>
          <w:p w14:paraId="2A73A882" w14:textId="77777777" w:rsidR="00FA5565" w:rsidRDefault="00FA5565">
            <w:pPr>
              <w:textAlignment w:val="bottom"/>
              <w:rPr>
                <w:rFonts w:ascii="Times New Roman" w:hAnsi="Times New Roman"/>
                <w:sz w:val="20"/>
                <w:szCs w:val="20"/>
              </w:rPr>
            </w:pPr>
          </w:p>
        </w:tc>
      </w:tr>
      <w:tr w:rsidR="00FA5565" w14:paraId="2A73A88D" w14:textId="77777777">
        <w:tc>
          <w:tcPr>
            <w:tcW w:w="0" w:type="auto"/>
            <w:shd w:val="clear" w:color="auto" w:fill="EFEFEF"/>
            <w:tcMar>
              <w:top w:w="40" w:type="dxa"/>
              <w:left w:w="560" w:type="dxa"/>
              <w:bottom w:w="40" w:type="dxa"/>
              <w:right w:w="40" w:type="dxa"/>
            </w:tcMar>
          </w:tcPr>
          <w:p w14:paraId="2A73A884"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Share-based compensation expense</w:t>
            </w:r>
          </w:p>
        </w:tc>
        <w:tc>
          <w:tcPr>
            <w:tcW w:w="0" w:type="auto"/>
            <w:gridSpan w:val="2"/>
            <w:shd w:val="clear" w:color="auto" w:fill="EFEFEF"/>
            <w:tcMar>
              <w:top w:w="40" w:type="dxa"/>
              <w:left w:w="40" w:type="dxa"/>
              <w:bottom w:w="40" w:type="dxa"/>
            </w:tcMar>
            <w:vAlign w:val="bottom"/>
          </w:tcPr>
          <w:p w14:paraId="2A73A885"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6,068</w:t>
            </w:r>
          </w:p>
        </w:tc>
        <w:tc>
          <w:tcPr>
            <w:tcW w:w="0" w:type="auto"/>
            <w:shd w:val="clear" w:color="auto" w:fill="EFEFEF"/>
            <w:vAlign w:val="bottom"/>
          </w:tcPr>
          <w:p w14:paraId="2A73A88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88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888"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5,340</w:t>
            </w:r>
          </w:p>
        </w:tc>
        <w:tc>
          <w:tcPr>
            <w:tcW w:w="0" w:type="auto"/>
            <w:shd w:val="clear" w:color="auto" w:fill="EFEFEF"/>
            <w:vAlign w:val="bottom"/>
          </w:tcPr>
          <w:p w14:paraId="2A73A88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88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88B"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4,840</w:t>
            </w:r>
          </w:p>
        </w:tc>
        <w:tc>
          <w:tcPr>
            <w:tcW w:w="0" w:type="auto"/>
            <w:shd w:val="clear" w:color="auto" w:fill="EFEFEF"/>
            <w:vAlign w:val="bottom"/>
          </w:tcPr>
          <w:p w14:paraId="2A73A88C" w14:textId="77777777" w:rsidR="00FA5565" w:rsidRDefault="00FA5565">
            <w:pPr>
              <w:textAlignment w:val="bottom"/>
              <w:rPr>
                <w:rFonts w:ascii="Times New Roman" w:hAnsi="Times New Roman"/>
                <w:sz w:val="20"/>
                <w:szCs w:val="20"/>
              </w:rPr>
            </w:pPr>
          </w:p>
        </w:tc>
      </w:tr>
      <w:tr w:rsidR="00FA5565" w14:paraId="2A73A897" w14:textId="77777777">
        <w:tc>
          <w:tcPr>
            <w:tcW w:w="0" w:type="auto"/>
            <w:shd w:val="clear" w:color="auto" w:fill="auto"/>
            <w:tcMar>
              <w:top w:w="40" w:type="dxa"/>
              <w:left w:w="560" w:type="dxa"/>
              <w:bottom w:w="40" w:type="dxa"/>
              <w:right w:w="40" w:type="dxa"/>
            </w:tcMar>
            <w:vAlign w:val="bottom"/>
          </w:tcPr>
          <w:p w14:paraId="2A73A88E"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Deferred income tax expense/(benefit)</w:t>
            </w:r>
          </w:p>
        </w:tc>
        <w:tc>
          <w:tcPr>
            <w:tcW w:w="0" w:type="auto"/>
            <w:gridSpan w:val="2"/>
            <w:shd w:val="clear" w:color="auto" w:fill="auto"/>
            <w:tcMar>
              <w:top w:w="40" w:type="dxa"/>
              <w:left w:w="40" w:type="dxa"/>
              <w:bottom w:w="40" w:type="dxa"/>
            </w:tcMar>
            <w:vAlign w:val="bottom"/>
          </w:tcPr>
          <w:p w14:paraId="2A73A88F"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(340</w:t>
            </w:r>
          </w:p>
        </w:tc>
        <w:tc>
          <w:tcPr>
            <w:tcW w:w="0" w:type="auto"/>
            <w:shd w:val="clear" w:color="auto" w:fill="auto"/>
            <w:tcMar>
              <w:top w:w="40" w:type="dxa"/>
              <w:bottom w:w="40" w:type="dxa"/>
              <w:right w:w="40" w:type="dxa"/>
            </w:tcMar>
            <w:vAlign w:val="bottom"/>
          </w:tcPr>
          <w:p w14:paraId="2A73A890"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8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92"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(32,590</w:t>
            </w:r>
          </w:p>
        </w:tc>
        <w:tc>
          <w:tcPr>
            <w:tcW w:w="0" w:type="auto"/>
            <w:shd w:val="clear" w:color="auto" w:fill="auto"/>
            <w:tcMar>
              <w:top w:w="40" w:type="dxa"/>
              <w:bottom w:w="40" w:type="dxa"/>
              <w:right w:w="40" w:type="dxa"/>
            </w:tcMar>
            <w:vAlign w:val="bottom"/>
          </w:tcPr>
          <w:p w14:paraId="2A73A893"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89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95"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5,966</w:t>
            </w:r>
          </w:p>
        </w:tc>
        <w:tc>
          <w:tcPr>
            <w:tcW w:w="0" w:type="auto"/>
            <w:shd w:val="clear" w:color="auto" w:fill="auto"/>
            <w:vAlign w:val="bottom"/>
          </w:tcPr>
          <w:p w14:paraId="2A73A896" w14:textId="77777777" w:rsidR="00FA5565" w:rsidRDefault="00FA5565">
            <w:pPr>
              <w:textAlignment w:val="bottom"/>
              <w:rPr>
                <w:rFonts w:ascii="Times New Roman" w:hAnsi="Times New Roman"/>
                <w:sz w:val="20"/>
                <w:szCs w:val="20"/>
              </w:rPr>
            </w:pPr>
          </w:p>
        </w:tc>
      </w:tr>
      <w:tr w:rsidR="00FA5565" w14:paraId="2A73A8A1" w14:textId="77777777">
        <w:tc>
          <w:tcPr>
            <w:tcW w:w="0" w:type="auto"/>
            <w:shd w:val="clear" w:color="auto" w:fill="EFEFEF"/>
            <w:tcMar>
              <w:top w:w="40" w:type="dxa"/>
              <w:left w:w="560" w:type="dxa"/>
              <w:bottom w:w="40" w:type="dxa"/>
              <w:right w:w="40" w:type="dxa"/>
            </w:tcMar>
          </w:tcPr>
          <w:p w14:paraId="2A73A898"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Other</w:t>
            </w:r>
          </w:p>
        </w:tc>
        <w:tc>
          <w:tcPr>
            <w:tcW w:w="0" w:type="auto"/>
            <w:gridSpan w:val="2"/>
            <w:shd w:val="clear" w:color="auto" w:fill="EFEFEF"/>
            <w:tcMar>
              <w:top w:w="40" w:type="dxa"/>
              <w:left w:w="40" w:type="dxa"/>
              <w:bottom w:w="40" w:type="dxa"/>
            </w:tcMar>
            <w:vAlign w:val="bottom"/>
          </w:tcPr>
          <w:p w14:paraId="2A73A899"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(652</w:t>
            </w:r>
          </w:p>
        </w:tc>
        <w:tc>
          <w:tcPr>
            <w:tcW w:w="0" w:type="auto"/>
            <w:shd w:val="clear" w:color="auto" w:fill="EFEFEF"/>
            <w:tcMar>
              <w:top w:w="40" w:type="dxa"/>
              <w:bottom w:w="40" w:type="dxa"/>
              <w:right w:w="40" w:type="dxa"/>
            </w:tcMar>
            <w:vAlign w:val="bottom"/>
          </w:tcPr>
          <w:p w14:paraId="2A73A89A"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89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89C"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(444</w:t>
            </w:r>
          </w:p>
        </w:tc>
        <w:tc>
          <w:tcPr>
            <w:tcW w:w="0" w:type="auto"/>
            <w:shd w:val="clear" w:color="auto" w:fill="EFEFEF"/>
            <w:tcMar>
              <w:top w:w="40" w:type="dxa"/>
              <w:bottom w:w="40" w:type="dxa"/>
              <w:right w:w="40" w:type="dxa"/>
            </w:tcMar>
            <w:vAlign w:val="bottom"/>
          </w:tcPr>
          <w:p w14:paraId="2A73A89D"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89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89F"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(166</w:t>
            </w:r>
          </w:p>
        </w:tc>
        <w:tc>
          <w:tcPr>
            <w:tcW w:w="0" w:type="auto"/>
            <w:shd w:val="clear" w:color="auto" w:fill="EFEFEF"/>
            <w:tcMar>
              <w:top w:w="40" w:type="dxa"/>
              <w:bottom w:w="40" w:type="dxa"/>
              <w:right w:w="40" w:type="dxa"/>
            </w:tcMar>
            <w:vAlign w:val="bottom"/>
          </w:tcPr>
          <w:p w14:paraId="2A73A8A0"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8A8" w14:textId="77777777">
        <w:tc>
          <w:tcPr>
            <w:tcW w:w="0" w:type="auto"/>
            <w:shd w:val="clear" w:color="auto" w:fill="auto"/>
            <w:tcMar>
              <w:top w:w="40" w:type="dxa"/>
              <w:left w:w="240" w:type="dxa"/>
              <w:bottom w:w="40" w:type="dxa"/>
              <w:right w:w="40" w:type="dxa"/>
            </w:tcMar>
          </w:tcPr>
          <w:p w14:paraId="2A73A8A2"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Changes in operating assets and liabilities:</w:t>
            </w:r>
          </w:p>
        </w:tc>
        <w:tc>
          <w:tcPr>
            <w:tcW w:w="0" w:type="auto"/>
            <w:gridSpan w:val="3"/>
            <w:shd w:val="clear" w:color="auto" w:fill="auto"/>
            <w:tcMar>
              <w:top w:w="40" w:type="dxa"/>
              <w:left w:w="40" w:type="dxa"/>
              <w:bottom w:w="40" w:type="dxa"/>
              <w:right w:w="40" w:type="dxa"/>
            </w:tcMar>
            <w:vAlign w:val="bottom"/>
          </w:tcPr>
          <w:p w14:paraId="2A73A8A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8A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8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8A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8A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8B2" w14:textId="77777777">
        <w:tc>
          <w:tcPr>
            <w:tcW w:w="0" w:type="auto"/>
            <w:shd w:val="clear" w:color="auto" w:fill="EFEFEF"/>
            <w:tcMar>
              <w:top w:w="40" w:type="dxa"/>
              <w:left w:w="560" w:type="dxa"/>
              <w:bottom w:w="40" w:type="dxa"/>
              <w:right w:w="40" w:type="dxa"/>
            </w:tcMar>
          </w:tcPr>
          <w:p w14:paraId="2A73A8A9"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Accounts receivable, net</w:t>
            </w:r>
          </w:p>
        </w:tc>
        <w:tc>
          <w:tcPr>
            <w:tcW w:w="0" w:type="auto"/>
            <w:gridSpan w:val="2"/>
            <w:shd w:val="clear" w:color="auto" w:fill="EFEFEF"/>
            <w:tcMar>
              <w:top w:w="40" w:type="dxa"/>
              <w:left w:w="40" w:type="dxa"/>
              <w:bottom w:w="40" w:type="dxa"/>
            </w:tcMar>
            <w:vAlign w:val="bottom"/>
          </w:tcPr>
          <w:p w14:paraId="2A73A8AA"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245</w:t>
            </w:r>
          </w:p>
        </w:tc>
        <w:tc>
          <w:tcPr>
            <w:tcW w:w="0" w:type="auto"/>
            <w:shd w:val="clear" w:color="auto" w:fill="EFEFEF"/>
            <w:vAlign w:val="bottom"/>
          </w:tcPr>
          <w:p w14:paraId="2A73A8A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8A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8AD"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(5,322</w:t>
            </w:r>
          </w:p>
        </w:tc>
        <w:tc>
          <w:tcPr>
            <w:tcW w:w="0" w:type="auto"/>
            <w:shd w:val="clear" w:color="auto" w:fill="EFEFEF"/>
            <w:tcMar>
              <w:top w:w="40" w:type="dxa"/>
              <w:bottom w:w="40" w:type="dxa"/>
              <w:right w:w="40" w:type="dxa"/>
            </w:tcMar>
            <w:vAlign w:val="bottom"/>
          </w:tcPr>
          <w:p w14:paraId="2A73A8AE"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8A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8B0"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(2,093</w:t>
            </w:r>
          </w:p>
        </w:tc>
        <w:tc>
          <w:tcPr>
            <w:tcW w:w="0" w:type="auto"/>
            <w:shd w:val="clear" w:color="auto" w:fill="EFEFEF"/>
            <w:tcMar>
              <w:top w:w="40" w:type="dxa"/>
              <w:bottom w:w="40" w:type="dxa"/>
              <w:right w:w="40" w:type="dxa"/>
            </w:tcMar>
            <w:vAlign w:val="bottom"/>
          </w:tcPr>
          <w:p w14:paraId="2A73A8B1"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8BC" w14:textId="77777777">
        <w:tc>
          <w:tcPr>
            <w:tcW w:w="0" w:type="auto"/>
            <w:shd w:val="clear" w:color="auto" w:fill="auto"/>
            <w:tcMar>
              <w:top w:w="40" w:type="dxa"/>
              <w:left w:w="560" w:type="dxa"/>
              <w:bottom w:w="40" w:type="dxa"/>
              <w:right w:w="40" w:type="dxa"/>
            </w:tcMar>
          </w:tcPr>
          <w:p w14:paraId="2A73A8B3"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Inventories</w:t>
            </w:r>
          </w:p>
        </w:tc>
        <w:tc>
          <w:tcPr>
            <w:tcW w:w="0" w:type="auto"/>
            <w:gridSpan w:val="2"/>
            <w:shd w:val="clear" w:color="auto" w:fill="auto"/>
            <w:tcMar>
              <w:top w:w="40" w:type="dxa"/>
              <w:left w:w="40" w:type="dxa"/>
              <w:bottom w:w="40" w:type="dxa"/>
            </w:tcMar>
            <w:vAlign w:val="bottom"/>
          </w:tcPr>
          <w:p w14:paraId="2A73A8B4"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(289</w:t>
            </w:r>
          </w:p>
        </w:tc>
        <w:tc>
          <w:tcPr>
            <w:tcW w:w="0" w:type="auto"/>
            <w:shd w:val="clear" w:color="auto" w:fill="auto"/>
            <w:tcMar>
              <w:top w:w="40" w:type="dxa"/>
              <w:bottom w:w="40" w:type="dxa"/>
              <w:right w:w="40" w:type="dxa"/>
            </w:tcMar>
            <w:vAlign w:val="bottom"/>
          </w:tcPr>
          <w:p w14:paraId="2A73A8B5"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8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B7"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828</w:t>
            </w:r>
          </w:p>
        </w:tc>
        <w:tc>
          <w:tcPr>
            <w:tcW w:w="0" w:type="auto"/>
            <w:shd w:val="clear" w:color="auto" w:fill="auto"/>
            <w:vAlign w:val="bottom"/>
          </w:tcPr>
          <w:p w14:paraId="2A73A8B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8B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BA"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(2,723</w:t>
            </w:r>
          </w:p>
        </w:tc>
        <w:tc>
          <w:tcPr>
            <w:tcW w:w="0" w:type="auto"/>
            <w:shd w:val="clear" w:color="auto" w:fill="auto"/>
            <w:tcMar>
              <w:top w:w="40" w:type="dxa"/>
              <w:bottom w:w="40" w:type="dxa"/>
              <w:right w:w="40" w:type="dxa"/>
            </w:tcMar>
            <w:vAlign w:val="bottom"/>
          </w:tcPr>
          <w:p w14:paraId="2A73A8BB"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8C6" w14:textId="77777777">
        <w:tc>
          <w:tcPr>
            <w:tcW w:w="0" w:type="auto"/>
            <w:shd w:val="clear" w:color="auto" w:fill="EFEFEF"/>
            <w:tcMar>
              <w:top w:w="40" w:type="dxa"/>
              <w:left w:w="560" w:type="dxa"/>
              <w:bottom w:w="40" w:type="dxa"/>
              <w:right w:w="40" w:type="dxa"/>
            </w:tcMar>
          </w:tcPr>
          <w:p w14:paraId="2A73A8BD"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Vendor non-trade receivables</w:t>
            </w:r>
          </w:p>
        </w:tc>
        <w:tc>
          <w:tcPr>
            <w:tcW w:w="0" w:type="auto"/>
            <w:gridSpan w:val="2"/>
            <w:shd w:val="clear" w:color="auto" w:fill="EFEFEF"/>
            <w:tcMar>
              <w:top w:w="40" w:type="dxa"/>
              <w:left w:w="40" w:type="dxa"/>
              <w:bottom w:w="40" w:type="dxa"/>
            </w:tcMar>
            <w:vAlign w:val="bottom"/>
          </w:tcPr>
          <w:p w14:paraId="2A73A8BE"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2,931</w:t>
            </w:r>
          </w:p>
        </w:tc>
        <w:tc>
          <w:tcPr>
            <w:tcW w:w="0" w:type="auto"/>
            <w:shd w:val="clear" w:color="auto" w:fill="EFEFEF"/>
            <w:vAlign w:val="bottom"/>
          </w:tcPr>
          <w:p w14:paraId="2A73A8B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8C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8C1"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(8,010</w:t>
            </w:r>
          </w:p>
        </w:tc>
        <w:tc>
          <w:tcPr>
            <w:tcW w:w="0" w:type="auto"/>
            <w:shd w:val="clear" w:color="auto" w:fill="EFEFEF"/>
            <w:tcMar>
              <w:top w:w="40" w:type="dxa"/>
              <w:bottom w:w="40" w:type="dxa"/>
              <w:right w:w="40" w:type="dxa"/>
            </w:tcMar>
            <w:vAlign w:val="bottom"/>
          </w:tcPr>
          <w:p w14:paraId="2A73A8C2"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8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8C4"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(4,254</w:t>
            </w:r>
          </w:p>
        </w:tc>
        <w:tc>
          <w:tcPr>
            <w:tcW w:w="0" w:type="auto"/>
            <w:shd w:val="clear" w:color="auto" w:fill="EFEFEF"/>
            <w:tcMar>
              <w:top w:w="40" w:type="dxa"/>
              <w:bottom w:w="40" w:type="dxa"/>
              <w:right w:w="40" w:type="dxa"/>
            </w:tcMar>
            <w:vAlign w:val="bottom"/>
          </w:tcPr>
          <w:p w14:paraId="2A73A8C5"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8D0" w14:textId="77777777">
        <w:tc>
          <w:tcPr>
            <w:tcW w:w="0" w:type="auto"/>
            <w:shd w:val="clear" w:color="auto" w:fill="auto"/>
            <w:tcMar>
              <w:top w:w="40" w:type="dxa"/>
              <w:left w:w="560" w:type="dxa"/>
              <w:bottom w:w="40" w:type="dxa"/>
              <w:right w:w="40" w:type="dxa"/>
            </w:tcMar>
          </w:tcPr>
          <w:p w14:paraId="2A73A8C7"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Other current and non-current assets</w:t>
            </w:r>
          </w:p>
        </w:tc>
        <w:tc>
          <w:tcPr>
            <w:tcW w:w="0" w:type="auto"/>
            <w:gridSpan w:val="2"/>
            <w:shd w:val="clear" w:color="auto" w:fill="auto"/>
            <w:tcMar>
              <w:top w:w="40" w:type="dxa"/>
              <w:left w:w="40" w:type="dxa"/>
              <w:bottom w:w="40" w:type="dxa"/>
            </w:tcMar>
            <w:vAlign w:val="bottom"/>
          </w:tcPr>
          <w:p w14:paraId="2A73A8C8"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873</w:t>
            </w:r>
          </w:p>
        </w:tc>
        <w:tc>
          <w:tcPr>
            <w:tcW w:w="0" w:type="auto"/>
            <w:shd w:val="clear" w:color="auto" w:fill="auto"/>
            <w:vAlign w:val="bottom"/>
          </w:tcPr>
          <w:p w14:paraId="2A73A8C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8C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CB"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(423</w:t>
            </w:r>
          </w:p>
        </w:tc>
        <w:tc>
          <w:tcPr>
            <w:tcW w:w="0" w:type="auto"/>
            <w:shd w:val="clear" w:color="auto" w:fill="auto"/>
            <w:tcMar>
              <w:top w:w="40" w:type="dxa"/>
              <w:bottom w:w="40" w:type="dxa"/>
              <w:right w:w="40" w:type="dxa"/>
            </w:tcMar>
            <w:vAlign w:val="bottom"/>
          </w:tcPr>
          <w:p w14:paraId="2A73A8CC"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8C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CE"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(5,318</w:t>
            </w:r>
          </w:p>
        </w:tc>
        <w:tc>
          <w:tcPr>
            <w:tcW w:w="0" w:type="auto"/>
            <w:shd w:val="clear" w:color="auto" w:fill="auto"/>
            <w:tcMar>
              <w:top w:w="40" w:type="dxa"/>
              <w:bottom w:w="40" w:type="dxa"/>
              <w:right w:w="40" w:type="dxa"/>
            </w:tcMar>
            <w:vAlign w:val="bottom"/>
          </w:tcPr>
          <w:p w14:paraId="2A73A8CF"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8DA" w14:textId="77777777">
        <w:tc>
          <w:tcPr>
            <w:tcW w:w="0" w:type="auto"/>
            <w:shd w:val="clear" w:color="auto" w:fill="EFEFEF"/>
            <w:tcMar>
              <w:top w:w="40" w:type="dxa"/>
              <w:left w:w="560" w:type="dxa"/>
              <w:bottom w:w="40" w:type="dxa"/>
              <w:right w:w="40" w:type="dxa"/>
            </w:tcMar>
          </w:tcPr>
          <w:p w14:paraId="2A73A8D1"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Accounts payable</w:t>
            </w:r>
          </w:p>
        </w:tc>
        <w:tc>
          <w:tcPr>
            <w:tcW w:w="0" w:type="auto"/>
            <w:gridSpan w:val="2"/>
            <w:shd w:val="clear" w:color="auto" w:fill="EFEFEF"/>
            <w:tcMar>
              <w:top w:w="40" w:type="dxa"/>
              <w:left w:w="40" w:type="dxa"/>
              <w:bottom w:w="40" w:type="dxa"/>
            </w:tcMar>
            <w:vAlign w:val="bottom"/>
          </w:tcPr>
          <w:p w14:paraId="2A73A8D2"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(1,923</w:t>
            </w:r>
          </w:p>
        </w:tc>
        <w:tc>
          <w:tcPr>
            <w:tcW w:w="0" w:type="auto"/>
            <w:shd w:val="clear" w:color="auto" w:fill="EFEFEF"/>
            <w:tcMar>
              <w:top w:w="40" w:type="dxa"/>
              <w:bottom w:w="40" w:type="dxa"/>
              <w:right w:w="40" w:type="dxa"/>
            </w:tcMar>
            <w:vAlign w:val="bottom"/>
          </w:tcPr>
          <w:p w14:paraId="2A73A8D3"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8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8D5"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9,175</w:t>
            </w:r>
          </w:p>
        </w:tc>
        <w:tc>
          <w:tcPr>
            <w:tcW w:w="0" w:type="auto"/>
            <w:shd w:val="clear" w:color="auto" w:fill="EFEFEF"/>
            <w:vAlign w:val="bottom"/>
          </w:tcPr>
          <w:p w14:paraId="2A73A8D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8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8D8"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8,966</w:t>
            </w:r>
          </w:p>
        </w:tc>
        <w:tc>
          <w:tcPr>
            <w:tcW w:w="0" w:type="auto"/>
            <w:shd w:val="clear" w:color="auto" w:fill="EFEFEF"/>
            <w:vAlign w:val="bottom"/>
          </w:tcPr>
          <w:p w14:paraId="2A73A8D9" w14:textId="77777777" w:rsidR="00FA5565" w:rsidRDefault="00FA5565">
            <w:pPr>
              <w:textAlignment w:val="bottom"/>
              <w:rPr>
                <w:rFonts w:ascii="Times New Roman" w:hAnsi="Times New Roman"/>
                <w:sz w:val="20"/>
                <w:szCs w:val="20"/>
              </w:rPr>
            </w:pPr>
          </w:p>
        </w:tc>
      </w:tr>
      <w:tr w:rsidR="00FA5565" w14:paraId="2A73A8E4" w14:textId="77777777">
        <w:tc>
          <w:tcPr>
            <w:tcW w:w="0" w:type="auto"/>
            <w:shd w:val="clear" w:color="auto" w:fill="auto"/>
            <w:tcMar>
              <w:top w:w="40" w:type="dxa"/>
              <w:left w:w="560" w:type="dxa"/>
              <w:bottom w:w="40" w:type="dxa"/>
              <w:right w:w="40" w:type="dxa"/>
            </w:tcMar>
          </w:tcPr>
          <w:p w14:paraId="2A73A8DB"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Deferred revenue</w:t>
            </w:r>
          </w:p>
        </w:tc>
        <w:tc>
          <w:tcPr>
            <w:tcW w:w="0" w:type="auto"/>
            <w:gridSpan w:val="2"/>
            <w:shd w:val="clear" w:color="auto" w:fill="auto"/>
            <w:tcMar>
              <w:top w:w="40" w:type="dxa"/>
              <w:left w:w="40" w:type="dxa"/>
              <w:bottom w:w="40" w:type="dxa"/>
            </w:tcMar>
            <w:vAlign w:val="bottom"/>
          </w:tcPr>
          <w:p w14:paraId="2A73A8DC"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(625</w:t>
            </w:r>
          </w:p>
        </w:tc>
        <w:tc>
          <w:tcPr>
            <w:tcW w:w="0" w:type="auto"/>
            <w:shd w:val="clear" w:color="auto" w:fill="auto"/>
            <w:tcMar>
              <w:top w:w="40" w:type="dxa"/>
              <w:bottom w:w="40" w:type="dxa"/>
              <w:right w:w="40" w:type="dxa"/>
            </w:tcMar>
            <w:vAlign w:val="bottom"/>
          </w:tcPr>
          <w:p w14:paraId="2A73A8DD"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8D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DF"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w:t>
            </w:r>
          </w:p>
        </w:tc>
        <w:tc>
          <w:tcPr>
            <w:tcW w:w="0" w:type="auto"/>
            <w:shd w:val="clear" w:color="auto" w:fill="auto"/>
            <w:tcMar>
              <w:top w:w="40" w:type="dxa"/>
              <w:bottom w:w="40" w:type="dxa"/>
              <w:right w:w="40" w:type="dxa"/>
            </w:tcMar>
            <w:vAlign w:val="bottom"/>
          </w:tcPr>
          <w:p w14:paraId="2A73A8E0"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8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8E2"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(593</w:t>
            </w:r>
          </w:p>
        </w:tc>
        <w:tc>
          <w:tcPr>
            <w:tcW w:w="0" w:type="auto"/>
            <w:shd w:val="clear" w:color="auto" w:fill="auto"/>
            <w:tcMar>
              <w:top w:w="40" w:type="dxa"/>
              <w:bottom w:w="40" w:type="dxa"/>
              <w:right w:w="40" w:type="dxa"/>
            </w:tcMar>
            <w:vAlign w:val="bottom"/>
          </w:tcPr>
          <w:p w14:paraId="2A73A8E3"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8EE" w14:textId="77777777">
        <w:tc>
          <w:tcPr>
            <w:tcW w:w="0" w:type="auto"/>
            <w:shd w:val="clear" w:color="auto" w:fill="EFEFEF"/>
            <w:tcMar>
              <w:top w:w="40" w:type="dxa"/>
              <w:left w:w="560" w:type="dxa"/>
              <w:bottom w:w="40" w:type="dxa"/>
              <w:right w:w="40" w:type="dxa"/>
            </w:tcMar>
          </w:tcPr>
          <w:p w14:paraId="2A73A8E5"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 xml:space="preserve">Other current and non-current </w:t>
            </w:r>
            <w:r>
              <w:rPr>
                <w:rFonts w:ascii="Helvetica" w:eastAsia="Helvetica" w:hAnsi="Helvetica" w:cs="Helvetica"/>
                <w:sz w:val="17"/>
                <w:szCs w:val="17"/>
              </w:rPr>
              <w:t>liabilities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8E6"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(4,700</w:t>
            </w:r>
          </w:p>
        </w:tc>
        <w:tc>
          <w:tcPr>
            <w:tcW w:w="0" w:type="auto"/>
            <w:tcBorders>
              <w:bottom w:val="single" w:sz="8" w:space="0" w:color="000000"/>
            </w:tcBorders>
            <w:shd w:val="clear" w:color="auto" w:fill="EFEFEF"/>
            <w:tcMar>
              <w:top w:w="40" w:type="dxa"/>
              <w:bottom w:w="40" w:type="dxa"/>
              <w:right w:w="40" w:type="dxa"/>
            </w:tcMar>
            <w:vAlign w:val="bottom"/>
          </w:tcPr>
          <w:p w14:paraId="2A73A8E7"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8E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8E9"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38,449</w:t>
            </w:r>
          </w:p>
        </w:tc>
        <w:tc>
          <w:tcPr>
            <w:tcW w:w="0" w:type="auto"/>
            <w:tcBorders>
              <w:bottom w:val="single" w:sz="8" w:space="0" w:color="000000"/>
            </w:tcBorders>
            <w:shd w:val="clear" w:color="auto" w:fill="EFEFEF"/>
            <w:vAlign w:val="bottom"/>
          </w:tcPr>
          <w:p w14:paraId="2A73A8E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8E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8EC"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1,092</w:t>
            </w:r>
          </w:p>
        </w:tc>
        <w:tc>
          <w:tcPr>
            <w:tcW w:w="0" w:type="auto"/>
            <w:tcBorders>
              <w:bottom w:val="single" w:sz="8" w:space="0" w:color="000000"/>
            </w:tcBorders>
            <w:shd w:val="clear" w:color="auto" w:fill="EFEFEF"/>
            <w:vAlign w:val="bottom"/>
          </w:tcPr>
          <w:p w14:paraId="2A73A8ED" w14:textId="77777777" w:rsidR="00FA5565" w:rsidRDefault="00FA5565">
            <w:pPr>
              <w:textAlignment w:val="bottom"/>
              <w:rPr>
                <w:rFonts w:ascii="Times New Roman" w:hAnsi="Times New Roman"/>
                <w:sz w:val="20"/>
                <w:szCs w:val="20"/>
              </w:rPr>
            </w:pPr>
          </w:p>
        </w:tc>
      </w:tr>
      <w:tr w:rsidR="00FA5565" w14:paraId="2A73A8F8" w14:textId="77777777">
        <w:tc>
          <w:tcPr>
            <w:tcW w:w="0" w:type="auto"/>
            <w:shd w:val="clear" w:color="auto" w:fill="auto"/>
            <w:tcMar>
              <w:top w:w="40" w:type="dxa"/>
              <w:left w:w="880" w:type="dxa"/>
              <w:bottom w:w="40" w:type="dxa"/>
              <w:right w:w="40" w:type="dxa"/>
            </w:tcMar>
            <w:vAlign w:val="bottom"/>
          </w:tcPr>
          <w:p w14:paraId="2A73A8EF"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Cash generated by operating activities</w:t>
            </w:r>
          </w:p>
        </w:tc>
        <w:tc>
          <w:tcPr>
            <w:tcW w:w="0" w:type="auto"/>
            <w:gridSpan w:val="2"/>
            <w:tcBorders>
              <w:bottom w:val="single" w:sz="8" w:space="0" w:color="000000"/>
            </w:tcBorders>
            <w:shd w:val="clear" w:color="auto" w:fill="auto"/>
            <w:tcMar>
              <w:top w:w="40" w:type="dxa"/>
              <w:left w:w="40" w:type="dxa"/>
              <w:bottom w:w="40" w:type="dxa"/>
            </w:tcMar>
            <w:vAlign w:val="bottom"/>
          </w:tcPr>
          <w:p w14:paraId="2A73A8F0"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69,391</w:t>
            </w:r>
          </w:p>
        </w:tc>
        <w:tc>
          <w:tcPr>
            <w:tcW w:w="0" w:type="auto"/>
            <w:tcBorders>
              <w:bottom w:val="single" w:sz="8" w:space="0" w:color="000000"/>
            </w:tcBorders>
            <w:shd w:val="clear" w:color="auto" w:fill="auto"/>
            <w:vAlign w:val="bottom"/>
          </w:tcPr>
          <w:p w14:paraId="2A73A8F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8F2" w14:textId="77777777" w:rsidR="00FA5565" w:rsidRDefault="00FA5565">
            <w:pPr>
              <w:jc w:val="right"/>
              <w:textAlignment w:val="bottom"/>
              <w:rPr>
                <w:rFonts w:ascii="Times New Roman" w:hAnsi="Times New Roman"/>
                <w:sz w:val="17"/>
                <w:szCs w:val="17"/>
              </w:rPr>
            </w:pPr>
          </w:p>
        </w:tc>
        <w:tc>
          <w:tcPr>
            <w:tcW w:w="0" w:type="auto"/>
            <w:gridSpan w:val="2"/>
            <w:tcBorders>
              <w:bottom w:val="single" w:sz="8" w:space="0" w:color="000000"/>
            </w:tcBorders>
            <w:shd w:val="clear" w:color="auto" w:fill="auto"/>
            <w:tcMar>
              <w:top w:w="40" w:type="dxa"/>
              <w:left w:w="40" w:type="dxa"/>
              <w:bottom w:w="40" w:type="dxa"/>
            </w:tcMar>
            <w:vAlign w:val="bottom"/>
          </w:tcPr>
          <w:p w14:paraId="2A73A8F3"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77,434</w:t>
            </w:r>
          </w:p>
        </w:tc>
        <w:tc>
          <w:tcPr>
            <w:tcW w:w="0" w:type="auto"/>
            <w:tcBorders>
              <w:bottom w:val="single" w:sz="8" w:space="0" w:color="000000"/>
            </w:tcBorders>
            <w:shd w:val="clear" w:color="auto" w:fill="auto"/>
            <w:vAlign w:val="bottom"/>
          </w:tcPr>
          <w:p w14:paraId="2A73A8F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8F5" w14:textId="77777777" w:rsidR="00FA5565" w:rsidRDefault="00FA5565">
            <w:pPr>
              <w:jc w:val="right"/>
              <w:textAlignment w:val="bottom"/>
              <w:rPr>
                <w:rFonts w:ascii="Times New Roman" w:hAnsi="Times New Roman"/>
                <w:sz w:val="17"/>
                <w:szCs w:val="17"/>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8F6"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64,225</w:t>
            </w:r>
          </w:p>
        </w:tc>
        <w:tc>
          <w:tcPr>
            <w:tcW w:w="0" w:type="auto"/>
            <w:tcBorders>
              <w:top w:val="single" w:sz="8" w:space="0" w:color="000000"/>
              <w:bottom w:val="single" w:sz="8" w:space="0" w:color="000000"/>
            </w:tcBorders>
            <w:shd w:val="clear" w:color="auto" w:fill="auto"/>
            <w:vAlign w:val="bottom"/>
          </w:tcPr>
          <w:p w14:paraId="2A73A8F7" w14:textId="77777777" w:rsidR="00FA5565" w:rsidRDefault="00FA5565">
            <w:pPr>
              <w:textAlignment w:val="bottom"/>
              <w:rPr>
                <w:rFonts w:ascii="Times New Roman" w:hAnsi="Times New Roman"/>
                <w:sz w:val="20"/>
                <w:szCs w:val="20"/>
              </w:rPr>
            </w:pPr>
          </w:p>
        </w:tc>
      </w:tr>
      <w:tr w:rsidR="00FA5565" w14:paraId="2A73A8FF" w14:textId="77777777">
        <w:tc>
          <w:tcPr>
            <w:tcW w:w="0" w:type="auto"/>
            <w:shd w:val="clear" w:color="auto" w:fill="EFEFEF"/>
            <w:tcMar>
              <w:top w:w="40" w:type="dxa"/>
              <w:left w:w="40" w:type="dxa"/>
              <w:bottom w:w="40" w:type="dxa"/>
              <w:right w:w="40" w:type="dxa"/>
            </w:tcMar>
            <w:vAlign w:val="bottom"/>
          </w:tcPr>
          <w:p w14:paraId="2A73A8F9" w14:textId="77777777" w:rsidR="00FA5565" w:rsidRDefault="00D804D1">
            <w:pPr>
              <w:ind w:hanging="240"/>
              <w:textAlignment w:val="bottom"/>
              <w:rPr>
                <w:rFonts w:ascii="Times New Roman" w:hAnsi="Times New Roman"/>
                <w:sz w:val="17"/>
                <w:szCs w:val="17"/>
              </w:rPr>
            </w:pPr>
            <w:r>
              <w:rPr>
                <w:rFonts w:ascii="Helvetica" w:eastAsia="Helvetica" w:hAnsi="Helvetica" w:cs="Helvetica"/>
                <w:sz w:val="17"/>
                <w:szCs w:val="17"/>
              </w:rPr>
              <w:t>Investing activities:</w:t>
            </w:r>
          </w:p>
        </w:tc>
        <w:tc>
          <w:tcPr>
            <w:tcW w:w="0" w:type="auto"/>
            <w:gridSpan w:val="3"/>
            <w:shd w:val="clear" w:color="auto" w:fill="EFEFEF"/>
            <w:tcMar>
              <w:top w:w="40" w:type="dxa"/>
              <w:left w:w="40" w:type="dxa"/>
              <w:bottom w:w="40" w:type="dxa"/>
              <w:right w:w="40" w:type="dxa"/>
            </w:tcMar>
            <w:vAlign w:val="bottom"/>
          </w:tcPr>
          <w:p w14:paraId="2A73A8F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8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8F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8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8F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909" w14:textId="77777777">
        <w:tc>
          <w:tcPr>
            <w:tcW w:w="0" w:type="auto"/>
            <w:shd w:val="clear" w:color="auto" w:fill="auto"/>
            <w:tcMar>
              <w:top w:w="40" w:type="dxa"/>
              <w:left w:w="240" w:type="dxa"/>
              <w:bottom w:w="40" w:type="dxa"/>
              <w:right w:w="40" w:type="dxa"/>
            </w:tcMar>
          </w:tcPr>
          <w:p w14:paraId="2A73A900"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Purchases of marketable securities</w:t>
            </w:r>
          </w:p>
        </w:tc>
        <w:tc>
          <w:tcPr>
            <w:tcW w:w="0" w:type="auto"/>
            <w:gridSpan w:val="2"/>
            <w:shd w:val="clear" w:color="auto" w:fill="auto"/>
            <w:tcMar>
              <w:top w:w="40" w:type="dxa"/>
              <w:left w:w="40" w:type="dxa"/>
              <w:bottom w:w="40" w:type="dxa"/>
            </w:tcMar>
            <w:vAlign w:val="bottom"/>
          </w:tcPr>
          <w:p w14:paraId="2A73A901"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(39,630</w:t>
            </w:r>
          </w:p>
        </w:tc>
        <w:tc>
          <w:tcPr>
            <w:tcW w:w="0" w:type="auto"/>
            <w:shd w:val="clear" w:color="auto" w:fill="auto"/>
            <w:tcMar>
              <w:top w:w="40" w:type="dxa"/>
              <w:bottom w:w="40" w:type="dxa"/>
              <w:right w:w="40" w:type="dxa"/>
            </w:tcMar>
            <w:vAlign w:val="bottom"/>
          </w:tcPr>
          <w:p w14:paraId="2A73A902"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90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04"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(71,356</w:t>
            </w:r>
          </w:p>
        </w:tc>
        <w:tc>
          <w:tcPr>
            <w:tcW w:w="0" w:type="auto"/>
            <w:shd w:val="clear" w:color="auto" w:fill="auto"/>
            <w:tcMar>
              <w:top w:w="40" w:type="dxa"/>
              <w:bottom w:w="40" w:type="dxa"/>
              <w:right w:w="40" w:type="dxa"/>
            </w:tcMar>
            <w:vAlign w:val="bottom"/>
          </w:tcPr>
          <w:p w14:paraId="2A73A905"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9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07"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(159,486</w:t>
            </w:r>
          </w:p>
        </w:tc>
        <w:tc>
          <w:tcPr>
            <w:tcW w:w="0" w:type="auto"/>
            <w:shd w:val="clear" w:color="auto" w:fill="auto"/>
            <w:tcMar>
              <w:top w:w="40" w:type="dxa"/>
              <w:bottom w:w="40" w:type="dxa"/>
              <w:right w:w="40" w:type="dxa"/>
            </w:tcMar>
            <w:vAlign w:val="bottom"/>
          </w:tcPr>
          <w:p w14:paraId="2A73A908"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13" w14:textId="77777777">
        <w:tc>
          <w:tcPr>
            <w:tcW w:w="0" w:type="auto"/>
            <w:shd w:val="clear" w:color="auto" w:fill="EFEFEF"/>
            <w:tcMar>
              <w:top w:w="40" w:type="dxa"/>
              <w:left w:w="240" w:type="dxa"/>
              <w:bottom w:w="40" w:type="dxa"/>
              <w:right w:w="40" w:type="dxa"/>
            </w:tcMar>
          </w:tcPr>
          <w:p w14:paraId="2A73A90A"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 xml:space="preserve">Proceeds from maturities of </w:t>
            </w:r>
            <w:r>
              <w:rPr>
                <w:rFonts w:ascii="Helvetica" w:eastAsia="Helvetica" w:hAnsi="Helvetica" w:cs="Helvetica"/>
                <w:sz w:val="17"/>
                <w:szCs w:val="17"/>
              </w:rPr>
              <w:t>marketable securities</w:t>
            </w:r>
          </w:p>
        </w:tc>
        <w:tc>
          <w:tcPr>
            <w:tcW w:w="0" w:type="auto"/>
            <w:gridSpan w:val="2"/>
            <w:shd w:val="clear" w:color="auto" w:fill="EFEFEF"/>
            <w:tcMar>
              <w:top w:w="40" w:type="dxa"/>
              <w:left w:w="40" w:type="dxa"/>
              <w:bottom w:w="40" w:type="dxa"/>
            </w:tcMar>
            <w:vAlign w:val="bottom"/>
          </w:tcPr>
          <w:p w14:paraId="2A73A90B"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40,102</w:t>
            </w:r>
          </w:p>
        </w:tc>
        <w:tc>
          <w:tcPr>
            <w:tcW w:w="0" w:type="auto"/>
            <w:shd w:val="clear" w:color="auto" w:fill="EFEFEF"/>
            <w:vAlign w:val="bottom"/>
          </w:tcPr>
          <w:p w14:paraId="2A73A90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9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0E"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55,881</w:t>
            </w:r>
          </w:p>
        </w:tc>
        <w:tc>
          <w:tcPr>
            <w:tcW w:w="0" w:type="auto"/>
            <w:shd w:val="clear" w:color="auto" w:fill="EFEFEF"/>
            <w:vAlign w:val="bottom"/>
          </w:tcPr>
          <w:p w14:paraId="2A73A90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9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11"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31,775</w:t>
            </w:r>
          </w:p>
        </w:tc>
        <w:tc>
          <w:tcPr>
            <w:tcW w:w="0" w:type="auto"/>
            <w:shd w:val="clear" w:color="auto" w:fill="EFEFEF"/>
            <w:vAlign w:val="bottom"/>
          </w:tcPr>
          <w:p w14:paraId="2A73A912" w14:textId="77777777" w:rsidR="00FA5565" w:rsidRDefault="00FA5565">
            <w:pPr>
              <w:textAlignment w:val="bottom"/>
              <w:rPr>
                <w:rFonts w:ascii="Times New Roman" w:hAnsi="Times New Roman"/>
                <w:sz w:val="20"/>
                <w:szCs w:val="20"/>
              </w:rPr>
            </w:pPr>
          </w:p>
        </w:tc>
      </w:tr>
      <w:tr w:rsidR="00FA5565" w14:paraId="2A73A91D" w14:textId="77777777">
        <w:tc>
          <w:tcPr>
            <w:tcW w:w="0" w:type="auto"/>
            <w:shd w:val="clear" w:color="auto" w:fill="auto"/>
            <w:tcMar>
              <w:top w:w="40" w:type="dxa"/>
              <w:left w:w="240" w:type="dxa"/>
              <w:bottom w:w="40" w:type="dxa"/>
              <w:right w:w="40" w:type="dxa"/>
            </w:tcMar>
          </w:tcPr>
          <w:p w14:paraId="2A73A914"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Proceeds from sales of marketable securities</w:t>
            </w:r>
          </w:p>
        </w:tc>
        <w:tc>
          <w:tcPr>
            <w:tcW w:w="0" w:type="auto"/>
            <w:gridSpan w:val="2"/>
            <w:shd w:val="clear" w:color="auto" w:fill="auto"/>
            <w:tcMar>
              <w:top w:w="40" w:type="dxa"/>
              <w:left w:w="40" w:type="dxa"/>
              <w:bottom w:w="40" w:type="dxa"/>
            </w:tcMar>
            <w:vAlign w:val="bottom"/>
          </w:tcPr>
          <w:p w14:paraId="2A73A915"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56,988</w:t>
            </w:r>
          </w:p>
        </w:tc>
        <w:tc>
          <w:tcPr>
            <w:tcW w:w="0" w:type="auto"/>
            <w:shd w:val="clear" w:color="auto" w:fill="auto"/>
            <w:vAlign w:val="bottom"/>
          </w:tcPr>
          <w:p w14:paraId="2A73A91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1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18"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47,838</w:t>
            </w:r>
          </w:p>
        </w:tc>
        <w:tc>
          <w:tcPr>
            <w:tcW w:w="0" w:type="auto"/>
            <w:shd w:val="clear" w:color="auto" w:fill="auto"/>
            <w:vAlign w:val="bottom"/>
          </w:tcPr>
          <w:p w14:paraId="2A73A91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1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1B"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94,564</w:t>
            </w:r>
          </w:p>
        </w:tc>
        <w:tc>
          <w:tcPr>
            <w:tcW w:w="0" w:type="auto"/>
            <w:shd w:val="clear" w:color="auto" w:fill="auto"/>
            <w:vAlign w:val="bottom"/>
          </w:tcPr>
          <w:p w14:paraId="2A73A91C" w14:textId="77777777" w:rsidR="00FA5565" w:rsidRDefault="00FA5565">
            <w:pPr>
              <w:textAlignment w:val="bottom"/>
              <w:rPr>
                <w:rFonts w:ascii="Times New Roman" w:hAnsi="Times New Roman"/>
                <w:sz w:val="20"/>
                <w:szCs w:val="20"/>
              </w:rPr>
            </w:pPr>
          </w:p>
        </w:tc>
      </w:tr>
      <w:tr w:rsidR="00FA5565" w14:paraId="2A73A927" w14:textId="77777777">
        <w:tc>
          <w:tcPr>
            <w:tcW w:w="0" w:type="auto"/>
            <w:shd w:val="clear" w:color="auto" w:fill="EFEFEF"/>
            <w:tcMar>
              <w:top w:w="40" w:type="dxa"/>
              <w:left w:w="240" w:type="dxa"/>
              <w:bottom w:w="40" w:type="dxa"/>
              <w:right w:w="40" w:type="dxa"/>
            </w:tcMar>
          </w:tcPr>
          <w:p w14:paraId="2A73A91E"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Payments for acquisition of property, plant and equipment</w:t>
            </w:r>
          </w:p>
        </w:tc>
        <w:tc>
          <w:tcPr>
            <w:tcW w:w="0" w:type="auto"/>
            <w:gridSpan w:val="2"/>
            <w:shd w:val="clear" w:color="auto" w:fill="EFEFEF"/>
            <w:tcMar>
              <w:top w:w="40" w:type="dxa"/>
              <w:left w:w="40" w:type="dxa"/>
              <w:bottom w:w="40" w:type="dxa"/>
            </w:tcMar>
            <w:vAlign w:val="bottom"/>
          </w:tcPr>
          <w:p w14:paraId="2A73A91F"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(10,495</w:t>
            </w:r>
          </w:p>
        </w:tc>
        <w:tc>
          <w:tcPr>
            <w:tcW w:w="0" w:type="auto"/>
            <w:shd w:val="clear" w:color="auto" w:fill="EFEFEF"/>
            <w:tcMar>
              <w:top w:w="40" w:type="dxa"/>
              <w:bottom w:w="40" w:type="dxa"/>
              <w:right w:w="40" w:type="dxa"/>
            </w:tcMar>
            <w:vAlign w:val="bottom"/>
          </w:tcPr>
          <w:p w14:paraId="2A73A920"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22"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(13,313</w:t>
            </w:r>
          </w:p>
        </w:tc>
        <w:tc>
          <w:tcPr>
            <w:tcW w:w="0" w:type="auto"/>
            <w:shd w:val="clear" w:color="auto" w:fill="EFEFEF"/>
            <w:tcMar>
              <w:top w:w="40" w:type="dxa"/>
              <w:bottom w:w="40" w:type="dxa"/>
              <w:right w:w="40" w:type="dxa"/>
            </w:tcMar>
            <w:vAlign w:val="bottom"/>
          </w:tcPr>
          <w:p w14:paraId="2A73A923"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25"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(12,451</w:t>
            </w:r>
          </w:p>
        </w:tc>
        <w:tc>
          <w:tcPr>
            <w:tcW w:w="0" w:type="auto"/>
            <w:shd w:val="clear" w:color="auto" w:fill="EFEFEF"/>
            <w:tcMar>
              <w:top w:w="40" w:type="dxa"/>
              <w:bottom w:w="40" w:type="dxa"/>
              <w:right w:w="40" w:type="dxa"/>
            </w:tcMar>
            <w:vAlign w:val="bottom"/>
          </w:tcPr>
          <w:p w14:paraId="2A73A926"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31" w14:textId="77777777">
        <w:tc>
          <w:tcPr>
            <w:tcW w:w="0" w:type="auto"/>
            <w:shd w:val="clear" w:color="auto" w:fill="auto"/>
            <w:tcMar>
              <w:top w:w="40" w:type="dxa"/>
              <w:left w:w="240" w:type="dxa"/>
              <w:bottom w:w="40" w:type="dxa"/>
              <w:right w:w="40" w:type="dxa"/>
            </w:tcMar>
          </w:tcPr>
          <w:p w14:paraId="2A73A928"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 xml:space="preserve">Payments made in connection with </w:t>
            </w:r>
            <w:r>
              <w:rPr>
                <w:rFonts w:ascii="Helvetica" w:eastAsia="Helvetica" w:hAnsi="Helvetica" w:cs="Helvetica"/>
                <w:sz w:val="17"/>
                <w:szCs w:val="17"/>
              </w:rPr>
              <w:t>business acquisitions, net</w:t>
            </w:r>
          </w:p>
        </w:tc>
        <w:tc>
          <w:tcPr>
            <w:tcW w:w="0" w:type="auto"/>
            <w:gridSpan w:val="2"/>
            <w:shd w:val="clear" w:color="auto" w:fill="auto"/>
            <w:tcMar>
              <w:top w:w="40" w:type="dxa"/>
              <w:left w:w="40" w:type="dxa"/>
              <w:bottom w:w="40" w:type="dxa"/>
            </w:tcMar>
            <w:vAlign w:val="bottom"/>
          </w:tcPr>
          <w:p w14:paraId="2A73A929"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(624</w:t>
            </w:r>
          </w:p>
        </w:tc>
        <w:tc>
          <w:tcPr>
            <w:tcW w:w="0" w:type="auto"/>
            <w:shd w:val="clear" w:color="auto" w:fill="auto"/>
            <w:tcMar>
              <w:top w:w="40" w:type="dxa"/>
              <w:bottom w:w="40" w:type="dxa"/>
              <w:right w:w="40" w:type="dxa"/>
            </w:tcMar>
            <w:vAlign w:val="bottom"/>
          </w:tcPr>
          <w:p w14:paraId="2A73A92A"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92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2C"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(721</w:t>
            </w:r>
          </w:p>
        </w:tc>
        <w:tc>
          <w:tcPr>
            <w:tcW w:w="0" w:type="auto"/>
            <w:shd w:val="clear" w:color="auto" w:fill="auto"/>
            <w:tcMar>
              <w:top w:w="40" w:type="dxa"/>
              <w:bottom w:w="40" w:type="dxa"/>
              <w:right w:w="40" w:type="dxa"/>
            </w:tcMar>
            <w:vAlign w:val="bottom"/>
          </w:tcPr>
          <w:p w14:paraId="2A73A92D"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9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2F"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(329</w:t>
            </w:r>
          </w:p>
        </w:tc>
        <w:tc>
          <w:tcPr>
            <w:tcW w:w="0" w:type="auto"/>
            <w:shd w:val="clear" w:color="auto" w:fill="auto"/>
            <w:tcMar>
              <w:top w:w="40" w:type="dxa"/>
              <w:bottom w:w="40" w:type="dxa"/>
              <w:right w:w="40" w:type="dxa"/>
            </w:tcMar>
            <w:vAlign w:val="bottom"/>
          </w:tcPr>
          <w:p w14:paraId="2A73A930"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3B" w14:textId="77777777">
        <w:tc>
          <w:tcPr>
            <w:tcW w:w="0" w:type="auto"/>
            <w:shd w:val="clear" w:color="auto" w:fill="EFEFEF"/>
            <w:tcMar>
              <w:top w:w="40" w:type="dxa"/>
              <w:left w:w="240" w:type="dxa"/>
              <w:bottom w:w="40" w:type="dxa"/>
              <w:right w:w="40" w:type="dxa"/>
            </w:tcMar>
          </w:tcPr>
          <w:p w14:paraId="2A73A932"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Purchases of non-marketable securities</w:t>
            </w:r>
          </w:p>
        </w:tc>
        <w:tc>
          <w:tcPr>
            <w:tcW w:w="0" w:type="auto"/>
            <w:gridSpan w:val="2"/>
            <w:shd w:val="clear" w:color="auto" w:fill="EFEFEF"/>
            <w:tcMar>
              <w:top w:w="40" w:type="dxa"/>
              <w:left w:w="40" w:type="dxa"/>
              <w:bottom w:w="40" w:type="dxa"/>
            </w:tcMar>
            <w:vAlign w:val="bottom"/>
          </w:tcPr>
          <w:p w14:paraId="2A73A933"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(1,001</w:t>
            </w:r>
          </w:p>
        </w:tc>
        <w:tc>
          <w:tcPr>
            <w:tcW w:w="0" w:type="auto"/>
            <w:shd w:val="clear" w:color="auto" w:fill="EFEFEF"/>
            <w:tcMar>
              <w:top w:w="40" w:type="dxa"/>
              <w:bottom w:w="40" w:type="dxa"/>
              <w:right w:w="40" w:type="dxa"/>
            </w:tcMar>
            <w:vAlign w:val="bottom"/>
          </w:tcPr>
          <w:p w14:paraId="2A73A934"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36"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(1,871</w:t>
            </w:r>
          </w:p>
        </w:tc>
        <w:tc>
          <w:tcPr>
            <w:tcW w:w="0" w:type="auto"/>
            <w:shd w:val="clear" w:color="auto" w:fill="EFEFEF"/>
            <w:tcMar>
              <w:top w:w="40" w:type="dxa"/>
              <w:bottom w:w="40" w:type="dxa"/>
              <w:right w:w="40" w:type="dxa"/>
            </w:tcMar>
            <w:vAlign w:val="bottom"/>
          </w:tcPr>
          <w:p w14:paraId="2A73A937"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39"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(521</w:t>
            </w:r>
          </w:p>
        </w:tc>
        <w:tc>
          <w:tcPr>
            <w:tcW w:w="0" w:type="auto"/>
            <w:shd w:val="clear" w:color="auto" w:fill="EFEFEF"/>
            <w:tcMar>
              <w:top w:w="40" w:type="dxa"/>
              <w:bottom w:w="40" w:type="dxa"/>
              <w:right w:w="40" w:type="dxa"/>
            </w:tcMar>
            <w:vAlign w:val="bottom"/>
          </w:tcPr>
          <w:p w14:paraId="2A73A93A"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45" w14:textId="77777777">
        <w:tc>
          <w:tcPr>
            <w:tcW w:w="0" w:type="auto"/>
            <w:shd w:val="clear" w:color="auto" w:fill="auto"/>
            <w:tcMar>
              <w:top w:w="40" w:type="dxa"/>
              <w:left w:w="240" w:type="dxa"/>
              <w:bottom w:w="40" w:type="dxa"/>
              <w:right w:w="40" w:type="dxa"/>
            </w:tcMar>
          </w:tcPr>
          <w:p w14:paraId="2A73A93C"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Proceeds from non-marketable securities</w:t>
            </w:r>
          </w:p>
        </w:tc>
        <w:tc>
          <w:tcPr>
            <w:tcW w:w="0" w:type="auto"/>
            <w:gridSpan w:val="2"/>
            <w:shd w:val="clear" w:color="auto" w:fill="auto"/>
            <w:tcMar>
              <w:top w:w="40" w:type="dxa"/>
              <w:left w:w="40" w:type="dxa"/>
              <w:bottom w:w="40" w:type="dxa"/>
            </w:tcMar>
            <w:vAlign w:val="bottom"/>
          </w:tcPr>
          <w:p w14:paraId="2A73A93D"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1,634</w:t>
            </w:r>
          </w:p>
        </w:tc>
        <w:tc>
          <w:tcPr>
            <w:tcW w:w="0" w:type="auto"/>
            <w:shd w:val="clear" w:color="auto" w:fill="auto"/>
            <w:vAlign w:val="bottom"/>
          </w:tcPr>
          <w:p w14:paraId="2A73A93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40"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353</w:t>
            </w:r>
          </w:p>
        </w:tc>
        <w:tc>
          <w:tcPr>
            <w:tcW w:w="0" w:type="auto"/>
            <w:shd w:val="clear" w:color="auto" w:fill="auto"/>
            <w:vAlign w:val="bottom"/>
          </w:tcPr>
          <w:p w14:paraId="2A73A94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4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43"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126</w:t>
            </w:r>
          </w:p>
        </w:tc>
        <w:tc>
          <w:tcPr>
            <w:tcW w:w="0" w:type="auto"/>
            <w:shd w:val="clear" w:color="auto" w:fill="auto"/>
            <w:vAlign w:val="bottom"/>
          </w:tcPr>
          <w:p w14:paraId="2A73A944" w14:textId="77777777" w:rsidR="00FA5565" w:rsidRDefault="00FA5565">
            <w:pPr>
              <w:textAlignment w:val="bottom"/>
              <w:rPr>
                <w:rFonts w:ascii="Times New Roman" w:hAnsi="Times New Roman"/>
                <w:sz w:val="20"/>
                <w:szCs w:val="20"/>
              </w:rPr>
            </w:pPr>
          </w:p>
        </w:tc>
      </w:tr>
      <w:tr w:rsidR="00FA5565" w14:paraId="2A73A94F" w14:textId="77777777">
        <w:tc>
          <w:tcPr>
            <w:tcW w:w="0" w:type="auto"/>
            <w:shd w:val="clear" w:color="auto" w:fill="EFEFEF"/>
            <w:tcMar>
              <w:top w:w="40" w:type="dxa"/>
              <w:left w:w="240" w:type="dxa"/>
              <w:bottom w:w="40" w:type="dxa"/>
              <w:right w:w="40" w:type="dxa"/>
            </w:tcMar>
          </w:tcPr>
          <w:p w14:paraId="2A73A946"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Other</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947"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(1,078</w:t>
            </w:r>
          </w:p>
        </w:tc>
        <w:tc>
          <w:tcPr>
            <w:tcW w:w="0" w:type="auto"/>
            <w:tcBorders>
              <w:bottom w:val="single" w:sz="8" w:space="0" w:color="000000"/>
            </w:tcBorders>
            <w:shd w:val="clear" w:color="auto" w:fill="EFEFEF"/>
            <w:tcMar>
              <w:top w:w="40" w:type="dxa"/>
              <w:bottom w:w="40" w:type="dxa"/>
              <w:right w:w="40" w:type="dxa"/>
            </w:tcMar>
            <w:vAlign w:val="bottom"/>
          </w:tcPr>
          <w:p w14:paraId="2A73A948"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94A"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(745</w:t>
            </w:r>
          </w:p>
        </w:tc>
        <w:tc>
          <w:tcPr>
            <w:tcW w:w="0" w:type="auto"/>
            <w:tcBorders>
              <w:bottom w:val="single" w:sz="8" w:space="0" w:color="000000"/>
            </w:tcBorders>
            <w:shd w:val="clear" w:color="auto" w:fill="EFEFEF"/>
            <w:tcMar>
              <w:top w:w="40" w:type="dxa"/>
              <w:bottom w:w="40" w:type="dxa"/>
              <w:right w:w="40" w:type="dxa"/>
            </w:tcMar>
            <w:vAlign w:val="bottom"/>
          </w:tcPr>
          <w:p w14:paraId="2A73A94B"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4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94D"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(124</w:t>
            </w:r>
          </w:p>
        </w:tc>
        <w:tc>
          <w:tcPr>
            <w:tcW w:w="0" w:type="auto"/>
            <w:tcBorders>
              <w:bottom w:val="single" w:sz="8" w:space="0" w:color="000000"/>
            </w:tcBorders>
            <w:shd w:val="clear" w:color="auto" w:fill="EFEFEF"/>
            <w:tcMar>
              <w:top w:w="40" w:type="dxa"/>
              <w:bottom w:w="40" w:type="dxa"/>
              <w:right w:w="40" w:type="dxa"/>
            </w:tcMar>
            <w:vAlign w:val="bottom"/>
          </w:tcPr>
          <w:p w14:paraId="2A73A94E"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59" w14:textId="77777777">
        <w:tc>
          <w:tcPr>
            <w:tcW w:w="0" w:type="auto"/>
            <w:shd w:val="clear" w:color="auto" w:fill="auto"/>
            <w:tcMar>
              <w:top w:w="40" w:type="dxa"/>
              <w:left w:w="880" w:type="dxa"/>
              <w:bottom w:w="40" w:type="dxa"/>
              <w:right w:w="40" w:type="dxa"/>
            </w:tcMar>
            <w:vAlign w:val="bottom"/>
          </w:tcPr>
          <w:p w14:paraId="2A73A950"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 xml:space="preserve">Cash generated by/(used in) </w:t>
            </w:r>
            <w:r>
              <w:rPr>
                <w:rFonts w:ascii="Helvetica" w:eastAsia="Helvetica" w:hAnsi="Helvetica" w:cs="Helvetica"/>
                <w:sz w:val="17"/>
                <w:szCs w:val="17"/>
              </w:rPr>
              <w:t>investing activities</w:t>
            </w:r>
          </w:p>
        </w:tc>
        <w:tc>
          <w:tcPr>
            <w:tcW w:w="0" w:type="auto"/>
            <w:gridSpan w:val="2"/>
            <w:tcBorders>
              <w:bottom w:val="single" w:sz="8" w:space="0" w:color="000000"/>
            </w:tcBorders>
            <w:shd w:val="clear" w:color="auto" w:fill="auto"/>
            <w:tcMar>
              <w:top w:w="40" w:type="dxa"/>
              <w:left w:w="40" w:type="dxa"/>
              <w:bottom w:w="40" w:type="dxa"/>
            </w:tcMar>
            <w:vAlign w:val="bottom"/>
          </w:tcPr>
          <w:p w14:paraId="2A73A951"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45,896</w:t>
            </w:r>
          </w:p>
        </w:tc>
        <w:tc>
          <w:tcPr>
            <w:tcW w:w="0" w:type="auto"/>
            <w:tcBorders>
              <w:bottom w:val="single" w:sz="8" w:space="0" w:color="000000"/>
            </w:tcBorders>
            <w:shd w:val="clear" w:color="auto" w:fill="auto"/>
            <w:vAlign w:val="bottom"/>
          </w:tcPr>
          <w:p w14:paraId="2A73A95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53" w14:textId="77777777" w:rsidR="00FA5565" w:rsidRDefault="00FA5565">
            <w:pPr>
              <w:jc w:val="right"/>
              <w:textAlignment w:val="bottom"/>
              <w:rPr>
                <w:rFonts w:ascii="Times New Roman" w:hAnsi="Times New Roman"/>
                <w:sz w:val="17"/>
                <w:szCs w:val="17"/>
              </w:rPr>
            </w:pPr>
          </w:p>
        </w:tc>
        <w:tc>
          <w:tcPr>
            <w:tcW w:w="0" w:type="auto"/>
            <w:gridSpan w:val="2"/>
            <w:tcBorders>
              <w:bottom w:val="single" w:sz="8" w:space="0" w:color="000000"/>
            </w:tcBorders>
            <w:shd w:val="clear" w:color="auto" w:fill="auto"/>
            <w:tcMar>
              <w:top w:w="40" w:type="dxa"/>
              <w:left w:w="40" w:type="dxa"/>
              <w:bottom w:w="40" w:type="dxa"/>
            </w:tcMar>
            <w:vAlign w:val="bottom"/>
          </w:tcPr>
          <w:p w14:paraId="2A73A954"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16,066</w:t>
            </w:r>
          </w:p>
        </w:tc>
        <w:tc>
          <w:tcPr>
            <w:tcW w:w="0" w:type="auto"/>
            <w:tcBorders>
              <w:bottom w:val="single" w:sz="8" w:space="0" w:color="000000"/>
            </w:tcBorders>
            <w:shd w:val="clear" w:color="auto" w:fill="auto"/>
            <w:vAlign w:val="bottom"/>
          </w:tcPr>
          <w:p w14:paraId="2A73A95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56" w14:textId="77777777" w:rsidR="00FA5565" w:rsidRDefault="00FA5565">
            <w:pPr>
              <w:jc w:val="right"/>
              <w:textAlignment w:val="bottom"/>
              <w:rPr>
                <w:rFonts w:ascii="Times New Roman" w:hAnsi="Times New Roman"/>
                <w:sz w:val="17"/>
                <w:szCs w:val="17"/>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957"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(46,446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2A73A958"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60" w14:textId="77777777">
        <w:tc>
          <w:tcPr>
            <w:tcW w:w="0" w:type="auto"/>
            <w:shd w:val="clear" w:color="auto" w:fill="EFEFEF"/>
            <w:tcMar>
              <w:top w:w="40" w:type="dxa"/>
              <w:left w:w="40" w:type="dxa"/>
              <w:bottom w:w="40" w:type="dxa"/>
              <w:right w:w="40" w:type="dxa"/>
            </w:tcMar>
            <w:vAlign w:val="bottom"/>
          </w:tcPr>
          <w:p w14:paraId="2A73A95A" w14:textId="77777777" w:rsidR="00FA5565" w:rsidRDefault="00D804D1">
            <w:pPr>
              <w:ind w:hanging="240"/>
              <w:textAlignment w:val="bottom"/>
              <w:rPr>
                <w:rFonts w:ascii="Times New Roman" w:hAnsi="Times New Roman"/>
                <w:sz w:val="17"/>
                <w:szCs w:val="17"/>
              </w:rPr>
            </w:pPr>
            <w:r>
              <w:rPr>
                <w:rFonts w:ascii="Helvetica" w:eastAsia="Helvetica" w:hAnsi="Helvetica" w:cs="Helvetica"/>
                <w:sz w:val="17"/>
                <w:szCs w:val="17"/>
              </w:rPr>
              <w:t>Financing activities:</w:t>
            </w:r>
          </w:p>
        </w:tc>
        <w:tc>
          <w:tcPr>
            <w:tcW w:w="0" w:type="auto"/>
            <w:gridSpan w:val="3"/>
            <w:shd w:val="clear" w:color="auto" w:fill="EFEFEF"/>
            <w:tcMar>
              <w:top w:w="40" w:type="dxa"/>
              <w:left w:w="40" w:type="dxa"/>
              <w:bottom w:w="40" w:type="dxa"/>
              <w:right w:w="40" w:type="dxa"/>
            </w:tcMar>
            <w:vAlign w:val="bottom"/>
          </w:tcPr>
          <w:p w14:paraId="2A73A95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95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9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9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95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96A" w14:textId="77777777">
        <w:tc>
          <w:tcPr>
            <w:tcW w:w="0" w:type="auto"/>
            <w:shd w:val="clear" w:color="auto" w:fill="auto"/>
            <w:tcMar>
              <w:top w:w="40" w:type="dxa"/>
              <w:left w:w="240" w:type="dxa"/>
              <w:bottom w:w="40" w:type="dxa"/>
              <w:right w:w="40" w:type="dxa"/>
            </w:tcMar>
          </w:tcPr>
          <w:p w14:paraId="2A73A961"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Proceeds from issuance of common stock</w:t>
            </w:r>
          </w:p>
        </w:tc>
        <w:tc>
          <w:tcPr>
            <w:tcW w:w="0" w:type="auto"/>
            <w:gridSpan w:val="2"/>
            <w:shd w:val="clear" w:color="auto" w:fill="auto"/>
            <w:tcMar>
              <w:top w:w="40" w:type="dxa"/>
              <w:left w:w="40" w:type="dxa"/>
              <w:bottom w:w="40" w:type="dxa"/>
            </w:tcMar>
            <w:vAlign w:val="bottom"/>
          </w:tcPr>
          <w:p w14:paraId="2A73A962"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781</w:t>
            </w:r>
          </w:p>
        </w:tc>
        <w:tc>
          <w:tcPr>
            <w:tcW w:w="0" w:type="auto"/>
            <w:shd w:val="clear" w:color="auto" w:fill="auto"/>
            <w:vAlign w:val="bottom"/>
          </w:tcPr>
          <w:p w14:paraId="2A73A96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65"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669</w:t>
            </w:r>
          </w:p>
        </w:tc>
        <w:tc>
          <w:tcPr>
            <w:tcW w:w="0" w:type="auto"/>
            <w:shd w:val="clear" w:color="auto" w:fill="auto"/>
            <w:vAlign w:val="bottom"/>
          </w:tcPr>
          <w:p w14:paraId="2A73A96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68"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555</w:t>
            </w:r>
          </w:p>
        </w:tc>
        <w:tc>
          <w:tcPr>
            <w:tcW w:w="0" w:type="auto"/>
            <w:shd w:val="clear" w:color="auto" w:fill="auto"/>
            <w:vAlign w:val="bottom"/>
          </w:tcPr>
          <w:p w14:paraId="2A73A969" w14:textId="77777777" w:rsidR="00FA5565" w:rsidRDefault="00FA5565">
            <w:pPr>
              <w:textAlignment w:val="bottom"/>
              <w:rPr>
                <w:rFonts w:ascii="Times New Roman" w:hAnsi="Times New Roman"/>
                <w:sz w:val="20"/>
                <w:szCs w:val="20"/>
              </w:rPr>
            </w:pPr>
          </w:p>
        </w:tc>
      </w:tr>
      <w:tr w:rsidR="00FA5565" w14:paraId="2A73A974" w14:textId="77777777">
        <w:tc>
          <w:tcPr>
            <w:tcW w:w="0" w:type="auto"/>
            <w:shd w:val="clear" w:color="auto" w:fill="EFEFEF"/>
            <w:tcMar>
              <w:top w:w="40" w:type="dxa"/>
              <w:left w:w="240" w:type="dxa"/>
              <w:bottom w:w="40" w:type="dxa"/>
              <w:right w:w="40" w:type="dxa"/>
            </w:tcMar>
          </w:tcPr>
          <w:p w14:paraId="2A73A96B"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Payments for taxes related to net share settlement of equity awards</w:t>
            </w:r>
          </w:p>
        </w:tc>
        <w:tc>
          <w:tcPr>
            <w:tcW w:w="0" w:type="auto"/>
            <w:gridSpan w:val="2"/>
            <w:shd w:val="clear" w:color="auto" w:fill="EFEFEF"/>
            <w:tcMar>
              <w:top w:w="40" w:type="dxa"/>
              <w:left w:w="40" w:type="dxa"/>
              <w:bottom w:w="40" w:type="dxa"/>
            </w:tcMar>
            <w:vAlign w:val="bottom"/>
          </w:tcPr>
          <w:p w14:paraId="2A73A96C"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(2,817</w:t>
            </w:r>
          </w:p>
        </w:tc>
        <w:tc>
          <w:tcPr>
            <w:tcW w:w="0" w:type="auto"/>
            <w:shd w:val="clear" w:color="auto" w:fill="EFEFEF"/>
            <w:tcMar>
              <w:top w:w="40" w:type="dxa"/>
              <w:bottom w:w="40" w:type="dxa"/>
              <w:right w:w="40" w:type="dxa"/>
            </w:tcMar>
            <w:vAlign w:val="bottom"/>
          </w:tcPr>
          <w:p w14:paraId="2A73A96D"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6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6F"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(2,527</w:t>
            </w:r>
          </w:p>
        </w:tc>
        <w:tc>
          <w:tcPr>
            <w:tcW w:w="0" w:type="auto"/>
            <w:shd w:val="clear" w:color="auto" w:fill="EFEFEF"/>
            <w:tcMar>
              <w:top w:w="40" w:type="dxa"/>
              <w:bottom w:w="40" w:type="dxa"/>
              <w:right w:w="40" w:type="dxa"/>
            </w:tcMar>
            <w:vAlign w:val="bottom"/>
          </w:tcPr>
          <w:p w14:paraId="2A73A970"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7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72"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(1,874</w:t>
            </w:r>
          </w:p>
        </w:tc>
        <w:tc>
          <w:tcPr>
            <w:tcW w:w="0" w:type="auto"/>
            <w:shd w:val="clear" w:color="auto" w:fill="EFEFEF"/>
            <w:tcMar>
              <w:top w:w="40" w:type="dxa"/>
              <w:bottom w:w="40" w:type="dxa"/>
              <w:right w:w="40" w:type="dxa"/>
            </w:tcMar>
            <w:vAlign w:val="bottom"/>
          </w:tcPr>
          <w:p w14:paraId="2A73A973"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7E" w14:textId="77777777">
        <w:tc>
          <w:tcPr>
            <w:tcW w:w="0" w:type="auto"/>
            <w:shd w:val="clear" w:color="auto" w:fill="auto"/>
            <w:tcMar>
              <w:top w:w="40" w:type="dxa"/>
              <w:left w:w="240" w:type="dxa"/>
              <w:bottom w:w="40" w:type="dxa"/>
              <w:right w:w="40" w:type="dxa"/>
            </w:tcMar>
          </w:tcPr>
          <w:p w14:paraId="2A73A975"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Payments for dividends and dividend equivalents</w:t>
            </w:r>
          </w:p>
        </w:tc>
        <w:tc>
          <w:tcPr>
            <w:tcW w:w="0" w:type="auto"/>
            <w:gridSpan w:val="2"/>
            <w:shd w:val="clear" w:color="auto" w:fill="auto"/>
            <w:tcMar>
              <w:top w:w="40" w:type="dxa"/>
              <w:left w:w="40" w:type="dxa"/>
              <w:bottom w:w="40" w:type="dxa"/>
            </w:tcMar>
            <w:vAlign w:val="bottom"/>
          </w:tcPr>
          <w:p w14:paraId="2A73A976"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(14,119</w:t>
            </w:r>
          </w:p>
        </w:tc>
        <w:tc>
          <w:tcPr>
            <w:tcW w:w="0" w:type="auto"/>
            <w:shd w:val="clear" w:color="auto" w:fill="auto"/>
            <w:tcMar>
              <w:top w:w="40" w:type="dxa"/>
              <w:bottom w:w="40" w:type="dxa"/>
              <w:right w:w="40" w:type="dxa"/>
            </w:tcMar>
            <w:vAlign w:val="bottom"/>
          </w:tcPr>
          <w:p w14:paraId="2A73A977"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97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79"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(13,712</w:t>
            </w:r>
          </w:p>
        </w:tc>
        <w:tc>
          <w:tcPr>
            <w:tcW w:w="0" w:type="auto"/>
            <w:shd w:val="clear" w:color="auto" w:fill="auto"/>
            <w:tcMar>
              <w:top w:w="40" w:type="dxa"/>
              <w:bottom w:w="40" w:type="dxa"/>
              <w:right w:w="40" w:type="dxa"/>
            </w:tcMar>
            <w:vAlign w:val="bottom"/>
          </w:tcPr>
          <w:p w14:paraId="2A73A97A"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97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7C"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(12,769</w:t>
            </w:r>
          </w:p>
        </w:tc>
        <w:tc>
          <w:tcPr>
            <w:tcW w:w="0" w:type="auto"/>
            <w:shd w:val="clear" w:color="auto" w:fill="auto"/>
            <w:tcMar>
              <w:top w:w="40" w:type="dxa"/>
              <w:bottom w:w="40" w:type="dxa"/>
              <w:right w:w="40" w:type="dxa"/>
            </w:tcMar>
            <w:vAlign w:val="bottom"/>
          </w:tcPr>
          <w:p w14:paraId="2A73A97D"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88" w14:textId="77777777">
        <w:tc>
          <w:tcPr>
            <w:tcW w:w="0" w:type="auto"/>
            <w:shd w:val="clear" w:color="auto" w:fill="EFEFEF"/>
            <w:tcMar>
              <w:top w:w="40" w:type="dxa"/>
              <w:left w:w="240" w:type="dxa"/>
              <w:bottom w:w="40" w:type="dxa"/>
              <w:right w:w="40" w:type="dxa"/>
            </w:tcMar>
          </w:tcPr>
          <w:p w14:paraId="2A73A97F"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Repurchases of common stock</w:t>
            </w:r>
          </w:p>
        </w:tc>
        <w:tc>
          <w:tcPr>
            <w:tcW w:w="0" w:type="auto"/>
            <w:gridSpan w:val="2"/>
            <w:shd w:val="clear" w:color="auto" w:fill="EFEFEF"/>
            <w:tcMar>
              <w:top w:w="40" w:type="dxa"/>
              <w:left w:w="40" w:type="dxa"/>
              <w:bottom w:w="40" w:type="dxa"/>
            </w:tcMar>
            <w:vAlign w:val="bottom"/>
          </w:tcPr>
          <w:p w14:paraId="2A73A980"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(66,897</w:t>
            </w:r>
          </w:p>
        </w:tc>
        <w:tc>
          <w:tcPr>
            <w:tcW w:w="0" w:type="auto"/>
            <w:shd w:val="clear" w:color="auto" w:fill="EFEFEF"/>
            <w:tcMar>
              <w:top w:w="40" w:type="dxa"/>
              <w:bottom w:w="40" w:type="dxa"/>
              <w:right w:w="40" w:type="dxa"/>
            </w:tcMar>
            <w:vAlign w:val="bottom"/>
          </w:tcPr>
          <w:p w14:paraId="2A73A981"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8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83"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(72,738</w:t>
            </w:r>
          </w:p>
        </w:tc>
        <w:tc>
          <w:tcPr>
            <w:tcW w:w="0" w:type="auto"/>
            <w:shd w:val="clear" w:color="auto" w:fill="EFEFEF"/>
            <w:tcMar>
              <w:top w:w="40" w:type="dxa"/>
              <w:bottom w:w="40" w:type="dxa"/>
              <w:right w:w="40" w:type="dxa"/>
            </w:tcMar>
            <w:vAlign w:val="bottom"/>
          </w:tcPr>
          <w:p w14:paraId="2A73A984"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86"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(32,900</w:t>
            </w:r>
          </w:p>
        </w:tc>
        <w:tc>
          <w:tcPr>
            <w:tcW w:w="0" w:type="auto"/>
            <w:shd w:val="clear" w:color="auto" w:fill="EFEFEF"/>
            <w:tcMar>
              <w:top w:w="40" w:type="dxa"/>
              <w:bottom w:w="40" w:type="dxa"/>
              <w:right w:w="40" w:type="dxa"/>
            </w:tcMar>
            <w:vAlign w:val="bottom"/>
          </w:tcPr>
          <w:p w14:paraId="2A73A987"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92" w14:textId="77777777">
        <w:tc>
          <w:tcPr>
            <w:tcW w:w="0" w:type="auto"/>
            <w:shd w:val="clear" w:color="auto" w:fill="auto"/>
            <w:tcMar>
              <w:top w:w="40" w:type="dxa"/>
              <w:left w:w="240" w:type="dxa"/>
              <w:bottom w:w="40" w:type="dxa"/>
              <w:right w:w="40" w:type="dxa"/>
            </w:tcMar>
          </w:tcPr>
          <w:p w14:paraId="2A73A989"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Proceeds from issuance of term debt, net</w:t>
            </w:r>
          </w:p>
        </w:tc>
        <w:tc>
          <w:tcPr>
            <w:tcW w:w="0" w:type="auto"/>
            <w:gridSpan w:val="2"/>
            <w:shd w:val="clear" w:color="auto" w:fill="auto"/>
            <w:tcMar>
              <w:top w:w="40" w:type="dxa"/>
              <w:left w:w="40" w:type="dxa"/>
              <w:bottom w:w="40" w:type="dxa"/>
            </w:tcMar>
            <w:vAlign w:val="bottom"/>
          </w:tcPr>
          <w:p w14:paraId="2A73A98A"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6,963</w:t>
            </w:r>
          </w:p>
        </w:tc>
        <w:tc>
          <w:tcPr>
            <w:tcW w:w="0" w:type="auto"/>
            <w:shd w:val="clear" w:color="auto" w:fill="auto"/>
            <w:vAlign w:val="bottom"/>
          </w:tcPr>
          <w:p w14:paraId="2A73A98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8D"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6,969</w:t>
            </w:r>
          </w:p>
        </w:tc>
        <w:tc>
          <w:tcPr>
            <w:tcW w:w="0" w:type="auto"/>
            <w:shd w:val="clear" w:color="auto" w:fill="auto"/>
            <w:vAlign w:val="bottom"/>
          </w:tcPr>
          <w:p w14:paraId="2A73A98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90"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28,662</w:t>
            </w:r>
          </w:p>
        </w:tc>
        <w:tc>
          <w:tcPr>
            <w:tcW w:w="0" w:type="auto"/>
            <w:shd w:val="clear" w:color="auto" w:fill="auto"/>
            <w:vAlign w:val="bottom"/>
          </w:tcPr>
          <w:p w14:paraId="2A73A991" w14:textId="77777777" w:rsidR="00FA5565" w:rsidRDefault="00FA5565">
            <w:pPr>
              <w:textAlignment w:val="bottom"/>
              <w:rPr>
                <w:rFonts w:ascii="Times New Roman" w:hAnsi="Times New Roman"/>
                <w:sz w:val="20"/>
                <w:szCs w:val="20"/>
              </w:rPr>
            </w:pPr>
          </w:p>
        </w:tc>
      </w:tr>
      <w:tr w:rsidR="00FA5565" w14:paraId="2A73A99C" w14:textId="77777777">
        <w:tc>
          <w:tcPr>
            <w:tcW w:w="0" w:type="auto"/>
            <w:shd w:val="clear" w:color="auto" w:fill="EFEFEF"/>
            <w:tcMar>
              <w:top w:w="40" w:type="dxa"/>
              <w:left w:w="240" w:type="dxa"/>
              <w:bottom w:w="40" w:type="dxa"/>
              <w:right w:w="40" w:type="dxa"/>
            </w:tcMar>
          </w:tcPr>
          <w:p w14:paraId="2A73A993"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Repayments of term debt</w:t>
            </w:r>
          </w:p>
        </w:tc>
        <w:tc>
          <w:tcPr>
            <w:tcW w:w="0" w:type="auto"/>
            <w:gridSpan w:val="2"/>
            <w:shd w:val="clear" w:color="auto" w:fill="EFEFEF"/>
            <w:tcMar>
              <w:top w:w="40" w:type="dxa"/>
              <w:left w:w="40" w:type="dxa"/>
              <w:bottom w:w="40" w:type="dxa"/>
            </w:tcMar>
            <w:vAlign w:val="bottom"/>
          </w:tcPr>
          <w:p w14:paraId="2A73A994"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(8,805</w:t>
            </w:r>
          </w:p>
        </w:tc>
        <w:tc>
          <w:tcPr>
            <w:tcW w:w="0" w:type="auto"/>
            <w:shd w:val="clear" w:color="auto" w:fill="EFEFEF"/>
            <w:tcMar>
              <w:top w:w="40" w:type="dxa"/>
              <w:bottom w:w="40" w:type="dxa"/>
              <w:right w:w="40" w:type="dxa"/>
            </w:tcMar>
            <w:vAlign w:val="bottom"/>
          </w:tcPr>
          <w:p w14:paraId="2A73A995"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9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97"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(6,500</w:t>
            </w:r>
          </w:p>
        </w:tc>
        <w:tc>
          <w:tcPr>
            <w:tcW w:w="0" w:type="auto"/>
            <w:shd w:val="clear" w:color="auto" w:fill="EFEFEF"/>
            <w:tcMar>
              <w:top w:w="40" w:type="dxa"/>
              <w:bottom w:w="40" w:type="dxa"/>
              <w:right w:w="40" w:type="dxa"/>
            </w:tcMar>
            <w:vAlign w:val="bottom"/>
          </w:tcPr>
          <w:p w14:paraId="2A73A998"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9A"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(3,500</w:t>
            </w:r>
          </w:p>
        </w:tc>
        <w:tc>
          <w:tcPr>
            <w:tcW w:w="0" w:type="auto"/>
            <w:shd w:val="clear" w:color="auto" w:fill="EFEFEF"/>
            <w:tcMar>
              <w:top w:w="40" w:type="dxa"/>
              <w:bottom w:w="40" w:type="dxa"/>
              <w:right w:w="40" w:type="dxa"/>
            </w:tcMar>
            <w:vAlign w:val="bottom"/>
          </w:tcPr>
          <w:p w14:paraId="2A73A99B"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A6" w14:textId="77777777">
        <w:tc>
          <w:tcPr>
            <w:tcW w:w="0" w:type="auto"/>
            <w:shd w:val="clear" w:color="auto" w:fill="auto"/>
            <w:tcMar>
              <w:top w:w="40" w:type="dxa"/>
              <w:left w:w="240" w:type="dxa"/>
              <w:bottom w:w="40" w:type="dxa"/>
              <w:right w:w="40" w:type="dxa"/>
            </w:tcMar>
            <w:vAlign w:val="bottom"/>
          </w:tcPr>
          <w:p w14:paraId="2A73A99D"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Proceeds from/(Repayments of) commercial paper, net</w:t>
            </w:r>
          </w:p>
        </w:tc>
        <w:tc>
          <w:tcPr>
            <w:tcW w:w="0" w:type="auto"/>
            <w:gridSpan w:val="2"/>
            <w:shd w:val="clear" w:color="auto" w:fill="auto"/>
            <w:tcMar>
              <w:top w:w="40" w:type="dxa"/>
              <w:left w:w="40" w:type="dxa"/>
              <w:bottom w:w="40" w:type="dxa"/>
            </w:tcMar>
            <w:vAlign w:val="bottom"/>
          </w:tcPr>
          <w:p w14:paraId="2A73A99E"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(5,977</w:t>
            </w:r>
          </w:p>
        </w:tc>
        <w:tc>
          <w:tcPr>
            <w:tcW w:w="0" w:type="auto"/>
            <w:shd w:val="clear" w:color="auto" w:fill="auto"/>
            <w:tcMar>
              <w:top w:w="40" w:type="dxa"/>
              <w:bottom w:w="40" w:type="dxa"/>
              <w:right w:w="40" w:type="dxa"/>
            </w:tcMar>
            <w:vAlign w:val="bottom"/>
          </w:tcPr>
          <w:p w14:paraId="2A73A99F"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9A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A1"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(37</w:t>
            </w:r>
          </w:p>
        </w:tc>
        <w:tc>
          <w:tcPr>
            <w:tcW w:w="0" w:type="auto"/>
            <w:shd w:val="clear" w:color="auto" w:fill="auto"/>
            <w:tcMar>
              <w:top w:w="40" w:type="dxa"/>
              <w:bottom w:w="40" w:type="dxa"/>
              <w:right w:w="40" w:type="dxa"/>
            </w:tcMar>
            <w:vAlign w:val="bottom"/>
          </w:tcPr>
          <w:p w14:paraId="2A73A9A2"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9A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9A4"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3,852</w:t>
            </w:r>
          </w:p>
        </w:tc>
        <w:tc>
          <w:tcPr>
            <w:tcW w:w="0" w:type="auto"/>
            <w:shd w:val="clear" w:color="auto" w:fill="auto"/>
            <w:vAlign w:val="bottom"/>
          </w:tcPr>
          <w:p w14:paraId="2A73A9A5" w14:textId="77777777" w:rsidR="00FA5565" w:rsidRDefault="00FA5565">
            <w:pPr>
              <w:textAlignment w:val="bottom"/>
              <w:rPr>
                <w:rFonts w:ascii="Times New Roman" w:hAnsi="Times New Roman"/>
                <w:sz w:val="20"/>
                <w:szCs w:val="20"/>
              </w:rPr>
            </w:pPr>
          </w:p>
        </w:tc>
      </w:tr>
      <w:tr w:rsidR="00FA5565" w14:paraId="2A73A9B0" w14:textId="77777777">
        <w:tc>
          <w:tcPr>
            <w:tcW w:w="0" w:type="auto"/>
            <w:shd w:val="clear" w:color="auto" w:fill="EFEFEF"/>
            <w:tcMar>
              <w:top w:w="40" w:type="dxa"/>
              <w:left w:w="240" w:type="dxa"/>
              <w:bottom w:w="40" w:type="dxa"/>
              <w:right w:w="40" w:type="dxa"/>
            </w:tcMar>
          </w:tcPr>
          <w:p w14:paraId="2A73A9A7"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Other</w:t>
            </w:r>
          </w:p>
        </w:tc>
        <w:tc>
          <w:tcPr>
            <w:tcW w:w="0" w:type="auto"/>
            <w:gridSpan w:val="2"/>
            <w:shd w:val="clear" w:color="auto" w:fill="EFEFEF"/>
            <w:tcMar>
              <w:top w:w="40" w:type="dxa"/>
              <w:left w:w="40" w:type="dxa"/>
              <w:bottom w:w="40" w:type="dxa"/>
            </w:tcMar>
            <w:vAlign w:val="bottom"/>
          </w:tcPr>
          <w:p w14:paraId="2A73A9A8"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(105</w:t>
            </w:r>
          </w:p>
        </w:tc>
        <w:tc>
          <w:tcPr>
            <w:tcW w:w="0" w:type="auto"/>
            <w:shd w:val="clear" w:color="auto" w:fill="EFEFEF"/>
            <w:tcMar>
              <w:top w:w="40" w:type="dxa"/>
              <w:bottom w:w="40" w:type="dxa"/>
              <w:right w:w="40" w:type="dxa"/>
            </w:tcMar>
            <w:vAlign w:val="bottom"/>
          </w:tcPr>
          <w:p w14:paraId="2A73A9A9"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left w:w="40" w:type="dxa"/>
              <w:bottom w:w="40" w:type="dxa"/>
              <w:right w:w="40" w:type="dxa"/>
            </w:tcMar>
            <w:vAlign w:val="bottom"/>
          </w:tcPr>
          <w:p w14:paraId="2A73A9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AB"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vAlign w:val="bottom"/>
          </w:tcPr>
          <w:p w14:paraId="2A73A9A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9A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9AE"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vAlign w:val="bottom"/>
          </w:tcPr>
          <w:p w14:paraId="2A73A9AF" w14:textId="77777777" w:rsidR="00FA5565" w:rsidRDefault="00FA5565">
            <w:pPr>
              <w:textAlignment w:val="bottom"/>
              <w:rPr>
                <w:rFonts w:ascii="Times New Roman" w:hAnsi="Times New Roman"/>
                <w:sz w:val="20"/>
                <w:szCs w:val="20"/>
              </w:rPr>
            </w:pPr>
          </w:p>
        </w:tc>
      </w:tr>
      <w:tr w:rsidR="00FA5565" w14:paraId="2A73A9BA" w14:textId="77777777">
        <w:tc>
          <w:tcPr>
            <w:tcW w:w="0" w:type="auto"/>
            <w:shd w:val="clear" w:color="auto" w:fill="auto"/>
            <w:tcMar>
              <w:top w:w="40" w:type="dxa"/>
              <w:left w:w="880" w:type="dxa"/>
              <w:bottom w:w="40" w:type="dxa"/>
              <w:right w:w="40" w:type="dxa"/>
            </w:tcMar>
          </w:tcPr>
          <w:p w14:paraId="2A73A9B1"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Cash used in financing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9B2"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(90,976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2A73A9B3"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9B4" w14:textId="77777777" w:rsidR="00FA5565" w:rsidRDefault="00FA5565">
            <w:pPr>
              <w:jc w:val="right"/>
              <w:textAlignment w:val="bottom"/>
              <w:rPr>
                <w:rFonts w:ascii="Times New Roman" w:hAnsi="Times New Roman"/>
                <w:sz w:val="17"/>
                <w:szCs w:val="17"/>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9B5"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(87,876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2A73A9B6"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left w:w="40" w:type="dxa"/>
              <w:bottom w:w="40" w:type="dxa"/>
              <w:right w:w="40" w:type="dxa"/>
            </w:tcMar>
            <w:vAlign w:val="bottom"/>
          </w:tcPr>
          <w:p w14:paraId="2A73A9B7" w14:textId="77777777" w:rsidR="00FA5565" w:rsidRDefault="00FA5565">
            <w:pPr>
              <w:jc w:val="right"/>
              <w:textAlignment w:val="bottom"/>
              <w:rPr>
                <w:rFonts w:ascii="Times New Roman" w:hAnsi="Times New Roman"/>
                <w:sz w:val="17"/>
                <w:szCs w:val="17"/>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9B8"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(17,974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2A73A9B9"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C4" w14:textId="77777777">
        <w:tc>
          <w:tcPr>
            <w:tcW w:w="0" w:type="auto"/>
            <w:shd w:val="clear" w:color="auto" w:fill="EFEFEF"/>
            <w:tcMar>
              <w:top w:w="40" w:type="dxa"/>
              <w:left w:w="40" w:type="dxa"/>
              <w:bottom w:w="40" w:type="dxa"/>
              <w:right w:w="40" w:type="dxa"/>
            </w:tcMar>
            <w:vAlign w:val="bottom"/>
          </w:tcPr>
          <w:p w14:paraId="2A73A9BB"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 xml:space="preserve">Increase/(Decrease) in cash, cash equivalents and </w:t>
            </w:r>
            <w:r>
              <w:rPr>
                <w:rFonts w:ascii="Helvetica" w:eastAsia="Helvetica" w:hAnsi="Helvetica" w:cs="Helvetica"/>
                <w:sz w:val="17"/>
                <w:szCs w:val="17"/>
              </w:rPr>
              <w:t>restricted cash</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9BC"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24,311</w:t>
            </w:r>
          </w:p>
        </w:tc>
        <w:tc>
          <w:tcPr>
            <w:tcW w:w="0" w:type="auto"/>
            <w:tcBorders>
              <w:bottom w:val="single" w:sz="8" w:space="0" w:color="000000"/>
            </w:tcBorders>
            <w:shd w:val="clear" w:color="auto" w:fill="EFEFEF"/>
            <w:vAlign w:val="bottom"/>
          </w:tcPr>
          <w:p w14:paraId="2A73A9B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9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9BF"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5,624</w:t>
            </w:r>
          </w:p>
        </w:tc>
        <w:tc>
          <w:tcPr>
            <w:tcW w:w="0" w:type="auto"/>
            <w:tcBorders>
              <w:bottom w:val="single" w:sz="8" w:space="0" w:color="000000"/>
            </w:tcBorders>
            <w:shd w:val="clear" w:color="auto" w:fill="EFEFEF"/>
            <w:vAlign w:val="bottom"/>
          </w:tcPr>
          <w:p w14:paraId="2A73A9C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9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9C2"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(195</w:t>
            </w:r>
          </w:p>
        </w:tc>
        <w:tc>
          <w:tcPr>
            <w:tcW w:w="0" w:type="auto"/>
            <w:tcBorders>
              <w:bottom w:val="single" w:sz="8" w:space="0" w:color="000000"/>
            </w:tcBorders>
            <w:shd w:val="clear" w:color="auto" w:fill="EFEFEF"/>
            <w:tcMar>
              <w:top w:w="40" w:type="dxa"/>
              <w:bottom w:w="40" w:type="dxa"/>
              <w:right w:w="40" w:type="dxa"/>
            </w:tcMar>
            <w:vAlign w:val="bottom"/>
          </w:tcPr>
          <w:p w14:paraId="2A73A9C3"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r>
      <w:tr w:rsidR="00FA5565" w14:paraId="2A73A9D1" w14:textId="77777777">
        <w:tc>
          <w:tcPr>
            <w:tcW w:w="0" w:type="auto"/>
            <w:shd w:val="clear" w:color="auto" w:fill="auto"/>
            <w:tcMar>
              <w:top w:w="40" w:type="dxa"/>
              <w:left w:w="40" w:type="dxa"/>
              <w:bottom w:w="40" w:type="dxa"/>
              <w:right w:w="40" w:type="dxa"/>
            </w:tcMar>
          </w:tcPr>
          <w:p w14:paraId="2A73A9C5"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Cash, cash equivalents and restricted cash, ending balances</w:t>
            </w:r>
          </w:p>
        </w:tc>
        <w:tc>
          <w:tcPr>
            <w:tcW w:w="0" w:type="auto"/>
            <w:tcBorders>
              <w:bottom w:val="double" w:sz="6" w:space="0" w:color="000000"/>
            </w:tcBorders>
            <w:shd w:val="clear" w:color="auto" w:fill="auto"/>
            <w:tcMar>
              <w:top w:w="40" w:type="dxa"/>
              <w:left w:w="40" w:type="dxa"/>
              <w:bottom w:w="40" w:type="dxa"/>
            </w:tcMar>
            <w:vAlign w:val="bottom"/>
          </w:tcPr>
          <w:p w14:paraId="2A73A9C6"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tcBorders>
              <w:bottom w:val="double" w:sz="6" w:space="0" w:color="000000"/>
            </w:tcBorders>
            <w:shd w:val="clear" w:color="auto" w:fill="auto"/>
            <w:tcMar>
              <w:top w:w="40" w:type="dxa"/>
              <w:bottom w:w="40" w:type="dxa"/>
            </w:tcMar>
            <w:vAlign w:val="bottom"/>
          </w:tcPr>
          <w:p w14:paraId="2A73A9C7"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50,224</w:t>
            </w:r>
          </w:p>
        </w:tc>
        <w:tc>
          <w:tcPr>
            <w:tcW w:w="0" w:type="auto"/>
            <w:tcBorders>
              <w:bottom w:val="double" w:sz="6" w:space="0" w:color="000000"/>
            </w:tcBorders>
            <w:shd w:val="clear" w:color="auto" w:fill="auto"/>
            <w:vAlign w:val="bottom"/>
          </w:tcPr>
          <w:p w14:paraId="2A73A9C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C9" w14:textId="77777777" w:rsidR="00FA5565" w:rsidRDefault="00FA5565">
            <w:pPr>
              <w:jc w:val="right"/>
              <w:textAlignment w:val="bottom"/>
              <w:rPr>
                <w:rFonts w:ascii="Times New Roman" w:hAnsi="Times New Roman"/>
                <w:sz w:val="17"/>
                <w:szCs w:val="17"/>
              </w:rPr>
            </w:pPr>
          </w:p>
        </w:tc>
        <w:tc>
          <w:tcPr>
            <w:tcW w:w="0" w:type="auto"/>
            <w:tcBorders>
              <w:bottom w:val="double" w:sz="6" w:space="0" w:color="000000"/>
            </w:tcBorders>
            <w:shd w:val="clear" w:color="auto" w:fill="auto"/>
            <w:tcMar>
              <w:top w:w="40" w:type="dxa"/>
              <w:left w:w="40" w:type="dxa"/>
              <w:bottom w:w="40" w:type="dxa"/>
            </w:tcMar>
            <w:vAlign w:val="bottom"/>
          </w:tcPr>
          <w:p w14:paraId="2A73A9CA"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tcBorders>
              <w:bottom w:val="double" w:sz="6" w:space="0" w:color="000000"/>
            </w:tcBorders>
            <w:shd w:val="clear" w:color="auto" w:fill="auto"/>
            <w:tcMar>
              <w:top w:w="40" w:type="dxa"/>
              <w:bottom w:w="40" w:type="dxa"/>
            </w:tcMar>
            <w:vAlign w:val="bottom"/>
          </w:tcPr>
          <w:p w14:paraId="2A73A9CB"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25,913</w:t>
            </w:r>
          </w:p>
        </w:tc>
        <w:tc>
          <w:tcPr>
            <w:tcW w:w="0" w:type="auto"/>
            <w:tcBorders>
              <w:bottom w:val="double" w:sz="6" w:space="0" w:color="000000"/>
            </w:tcBorders>
            <w:shd w:val="clear" w:color="auto" w:fill="auto"/>
            <w:vAlign w:val="bottom"/>
          </w:tcPr>
          <w:p w14:paraId="2A73A9C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CD" w14:textId="77777777" w:rsidR="00FA5565" w:rsidRDefault="00FA5565">
            <w:pPr>
              <w:jc w:val="right"/>
              <w:textAlignment w:val="bottom"/>
              <w:rPr>
                <w:rFonts w:ascii="Times New Roman" w:hAnsi="Times New Roman"/>
                <w:sz w:val="17"/>
                <w:szCs w:val="17"/>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A9CE"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A9CF"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20,289</w:t>
            </w:r>
          </w:p>
        </w:tc>
        <w:tc>
          <w:tcPr>
            <w:tcW w:w="0" w:type="auto"/>
            <w:tcBorders>
              <w:top w:val="single" w:sz="8" w:space="0" w:color="000000"/>
              <w:bottom w:val="double" w:sz="6" w:space="0" w:color="000000"/>
            </w:tcBorders>
            <w:shd w:val="clear" w:color="auto" w:fill="auto"/>
            <w:vAlign w:val="bottom"/>
          </w:tcPr>
          <w:p w14:paraId="2A73A9D0" w14:textId="77777777" w:rsidR="00FA5565" w:rsidRDefault="00FA5565">
            <w:pPr>
              <w:textAlignment w:val="bottom"/>
              <w:rPr>
                <w:rFonts w:ascii="Times New Roman" w:hAnsi="Times New Roman"/>
                <w:sz w:val="20"/>
                <w:szCs w:val="20"/>
              </w:rPr>
            </w:pPr>
          </w:p>
        </w:tc>
      </w:tr>
      <w:tr w:rsidR="00FA5565" w14:paraId="2A73A9D8" w14:textId="77777777">
        <w:tc>
          <w:tcPr>
            <w:tcW w:w="0" w:type="auto"/>
            <w:shd w:val="clear" w:color="auto" w:fill="EFEFEF"/>
            <w:tcMar>
              <w:top w:w="40" w:type="dxa"/>
              <w:left w:w="40" w:type="dxa"/>
              <w:bottom w:w="40" w:type="dxa"/>
              <w:right w:w="40" w:type="dxa"/>
            </w:tcMar>
            <w:vAlign w:val="bottom"/>
          </w:tcPr>
          <w:p w14:paraId="2A73A9D2" w14:textId="77777777" w:rsidR="00FA5565" w:rsidRDefault="00D804D1">
            <w:pPr>
              <w:ind w:hanging="240"/>
              <w:textAlignment w:val="bottom"/>
              <w:rPr>
                <w:rFonts w:ascii="Times New Roman" w:hAnsi="Times New Roman"/>
                <w:sz w:val="17"/>
                <w:szCs w:val="17"/>
              </w:rPr>
            </w:pPr>
            <w:r>
              <w:rPr>
                <w:rFonts w:ascii="Helvetica" w:eastAsia="Helvetica" w:hAnsi="Helvetica" w:cs="Helvetica"/>
                <w:sz w:val="17"/>
                <w:szCs w:val="17"/>
              </w:rPr>
              <w:t>Supplemental cash flow disclosure:</w:t>
            </w:r>
          </w:p>
        </w:tc>
        <w:tc>
          <w:tcPr>
            <w:tcW w:w="0" w:type="auto"/>
            <w:gridSpan w:val="3"/>
            <w:shd w:val="clear" w:color="auto" w:fill="EFEFEF"/>
            <w:tcMar>
              <w:top w:w="40" w:type="dxa"/>
              <w:left w:w="40" w:type="dxa"/>
              <w:bottom w:w="40" w:type="dxa"/>
              <w:right w:w="40" w:type="dxa"/>
            </w:tcMar>
            <w:vAlign w:val="bottom"/>
          </w:tcPr>
          <w:p w14:paraId="2A73A9D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9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9D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9D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9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9E5" w14:textId="77777777">
        <w:tc>
          <w:tcPr>
            <w:tcW w:w="0" w:type="auto"/>
            <w:shd w:val="clear" w:color="auto" w:fill="auto"/>
            <w:tcMar>
              <w:top w:w="40" w:type="dxa"/>
              <w:left w:w="240" w:type="dxa"/>
              <w:bottom w:w="40" w:type="dxa"/>
              <w:right w:w="40" w:type="dxa"/>
            </w:tcMar>
          </w:tcPr>
          <w:p w14:paraId="2A73A9D9"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Cash paid for income taxes, net</w:t>
            </w:r>
          </w:p>
        </w:tc>
        <w:tc>
          <w:tcPr>
            <w:tcW w:w="0" w:type="auto"/>
            <w:shd w:val="clear" w:color="auto" w:fill="auto"/>
            <w:tcMar>
              <w:top w:w="40" w:type="dxa"/>
              <w:left w:w="40" w:type="dxa"/>
              <w:bottom w:w="40" w:type="dxa"/>
            </w:tcMar>
            <w:vAlign w:val="bottom"/>
          </w:tcPr>
          <w:p w14:paraId="2A73A9DA"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bottom w:w="40" w:type="dxa"/>
            </w:tcMar>
            <w:vAlign w:val="bottom"/>
          </w:tcPr>
          <w:p w14:paraId="2A73A9DB"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15,263</w:t>
            </w:r>
          </w:p>
        </w:tc>
        <w:tc>
          <w:tcPr>
            <w:tcW w:w="0" w:type="auto"/>
            <w:shd w:val="clear" w:color="auto" w:fill="auto"/>
            <w:vAlign w:val="bottom"/>
          </w:tcPr>
          <w:p w14:paraId="2A73A9D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9DE"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bottom w:w="40" w:type="dxa"/>
            </w:tcMar>
            <w:vAlign w:val="bottom"/>
          </w:tcPr>
          <w:p w14:paraId="2A73A9DF"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10,417</w:t>
            </w:r>
          </w:p>
        </w:tc>
        <w:tc>
          <w:tcPr>
            <w:tcW w:w="0" w:type="auto"/>
            <w:shd w:val="clear" w:color="auto" w:fill="auto"/>
            <w:vAlign w:val="bottom"/>
          </w:tcPr>
          <w:p w14:paraId="2A73A9E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9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9E2"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auto"/>
            <w:tcMar>
              <w:top w:w="40" w:type="dxa"/>
              <w:bottom w:w="40" w:type="dxa"/>
            </w:tcMar>
            <w:vAlign w:val="bottom"/>
          </w:tcPr>
          <w:p w14:paraId="2A73A9E3"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11,591</w:t>
            </w:r>
          </w:p>
        </w:tc>
        <w:tc>
          <w:tcPr>
            <w:tcW w:w="0" w:type="auto"/>
            <w:shd w:val="clear" w:color="auto" w:fill="auto"/>
            <w:vAlign w:val="bottom"/>
          </w:tcPr>
          <w:p w14:paraId="2A73A9E4" w14:textId="77777777" w:rsidR="00FA5565" w:rsidRDefault="00FA5565">
            <w:pPr>
              <w:textAlignment w:val="bottom"/>
              <w:rPr>
                <w:rFonts w:ascii="Times New Roman" w:hAnsi="Times New Roman"/>
                <w:sz w:val="20"/>
                <w:szCs w:val="20"/>
              </w:rPr>
            </w:pPr>
          </w:p>
        </w:tc>
      </w:tr>
      <w:tr w:rsidR="00FA5565" w14:paraId="2A73A9F2" w14:textId="77777777">
        <w:tc>
          <w:tcPr>
            <w:tcW w:w="0" w:type="auto"/>
            <w:shd w:val="clear" w:color="auto" w:fill="EFEFEF"/>
            <w:tcMar>
              <w:top w:w="40" w:type="dxa"/>
              <w:left w:w="240" w:type="dxa"/>
              <w:bottom w:w="40" w:type="dxa"/>
              <w:right w:w="40" w:type="dxa"/>
            </w:tcMar>
          </w:tcPr>
          <w:p w14:paraId="2A73A9E6" w14:textId="77777777" w:rsidR="00FA5565" w:rsidRDefault="00D804D1">
            <w:pPr>
              <w:ind w:hanging="240"/>
              <w:textAlignment w:val="top"/>
              <w:rPr>
                <w:rFonts w:ascii="Times New Roman" w:hAnsi="Times New Roman"/>
                <w:sz w:val="17"/>
                <w:szCs w:val="17"/>
              </w:rPr>
            </w:pPr>
            <w:r>
              <w:rPr>
                <w:rFonts w:ascii="Helvetica" w:eastAsia="Helvetica" w:hAnsi="Helvetica" w:cs="Helvetica"/>
                <w:sz w:val="17"/>
                <w:szCs w:val="17"/>
              </w:rPr>
              <w:t>Cash paid for interest</w:t>
            </w:r>
          </w:p>
        </w:tc>
        <w:tc>
          <w:tcPr>
            <w:tcW w:w="0" w:type="auto"/>
            <w:shd w:val="clear" w:color="auto" w:fill="EFEFEF"/>
            <w:tcMar>
              <w:top w:w="40" w:type="dxa"/>
              <w:left w:w="40" w:type="dxa"/>
              <w:bottom w:w="40" w:type="dxa"/>
            </w:tcMar>
            <w:vAlign w:val="bottom"/>
          </w:tcPr>
          <w:p w14:paraId="2A73A9E7"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bottom w:w="40" w:type="dxa"/>
            </w:tcMar>
            <w:vAlign w:val="bottom"/>
          </w:tcPr>
          <w:p w14:paraId="2A73A9E8"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3,423</w:t>
            </w:r>
          </w:p>
        </w:tc>
        <w:tc>
          <w:tcPr>
            <w:tcW w:w="0" w:type="auto"/>
            <w:shd w:val="clear" w:color="auto" w:fill="EFEFEF"/>
            <w:vAlign w:val="bottom"/>
          </w:tcPr>
          <w:p w14:paraId="2A73A9E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9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9EB"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bottom w:w="40" w:type="dxa"/>
            </w:tcMar>
            <w:vAlign w:val="bottom"/>
          </w:tcPr>
          <w:p w14:paraId="2A73A9EC"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3,022</w:t>
            </w:r>
          </w:p>
        </w:tc>
        <w:tc>
          <w:tcPr>
            <w:tcW w:w="0" w:type="auto"/>
            <w:shd w:val="clear" w:color="auto" w:fill="EFEFEF"/>
            <w:vAlign w:val="bottom"/>
          </w:tcPr>
          <w:p w14:paraId="2A73A9E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9E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9EF" w14:textId="77777777" w:rsidR="00FA5565" w:rsidRDefault="00D804D1">
            <w:pPr>
              <w:textAlignment w:val="bottom"/>
              <w:rPr>
                <w:rFonts w:ascii="Times New Roman" w:hAnsi="Times New Roman"/>
                <w:sz w:val="17"/>
                <w:szCs w:val="17"/>
              </w:rPr>
            </w:pPr>
            <w:r>
              <w:rPr>
                <w:rFonts w:ascii="Helvetica" w:eastAsia="Helvetica" w:hAnsi="Helvetica" w:cs="Helvetica"/>
                <w:sz w:val="17"/>
                <w:szCs w:val="17"/>
              </w:rPr>
              <w:t>$</w:t>
            </w:r>
          </w:p>
        </w:tc>
        <w:tc>
          <w:tcPr>
            <w:tcW w:w="0" w:type="auto"/>
            <w:shd w:val="clear" w:color="auto" w:fill="EFEFEF"/>
            <w:tcMar>
              <w:top w:w="40" w:type="dxa"/>
              <w:bottom w:w="40" w:type="dxa"/>
            </w:tcMar>
            <w:vAlign w:val="bottom"/>
          </w:tcPr>
          <w:p w14:paraId="2A73A9F0" w14:textId="77777777" w:rsidR="00FA5565" w:rsidRDefault="00D804D1">
            <w:pPr>
              <w:jc w:val="right"/>
              <w:textAlignment w:val="bottom"/>
              <w:rPr>
                <w:rFonts w:ascii="Times New Roman" w:hAnsi="Times New Roman"/>
                <w:sz w:val="17"/>
                <w:szCs w:val="17"/>
              </w:rPr>
            </w:pPr>
            <w:r>
              <w:rPr>
                <w:rFonts w:ascii="Helvetica" w:eastAsia="Helvetica" w:hAnsi="Helvetica" w:cs="Helvetica"/>
                <w:sz w:val="17"/>
                <w:szCs w:val="17"/>
              </w:rPr>
              <w:t>2,092</w:t>
            </w:r>
          </w:p>
        </w:tc>
        <w:tc>
          <w:tcPr>
            <w:tcW w:w="0" w:type="auto"/>
            <w:shd w:val="clear" w:color="auto" w:fill="EFEFEF"/>
            <w:vAlign w:val="bottom"/>
          </w:tcPr>
          <w:p w14:paraId="2A73A9F1" w14:textId="77777777" w:rsidR="00FA5565" w:rsidRDefault="00FA5565">
            <w:pPr>
              <w:textAlignment w:val="bottom"/>
              <w:rPr>
                <w:rFonts w:ascii="Times New Roman" w:hAnsi="Times New Roman"/>
                <w:sz w:val="20"/>
                <w:szCs w:val="20"/>
              </w:rPr>
            </w:pPr>
          </w:p>
        </w:tc>
      </w:tr>
    </w:tbl>
    <w:p w14:paraId="2A73A9F3" w14:textId="77777777" w:rsidR="00FA5565" w:rsidRDefault="00D804D1">
      <w:pPr>
        <w:spacing w:line="288" w:lineRule="auto"/>
        <w:jc w:val="center"/>
        <w:rPr>
          <w:rFonts w:ascii="Times New Roman" w:hAnsi="Times New Roman"/>
          <w:sz w:val="17"/>
          <w:szCs w:val="17"/>
        </w:rPr>
      </w:pPr>
      <w:r>
        <w:rPr>
          <w:rFonts w:ascii="Helvetica" w:eastAsia="Helvetica" w:hAnsi="Helvetica" w:cs="Helvetica"/>
          <w:sz w:val="17"/>
          <w:szCs w:val="17"/>
        </w:rPr>
        <w:t>See accompanying Notes to Consolidated Financial Statements.</w:t>
      </w:r>
    </w:p>
    <w:p w14:paraId="2A73A9F4" w14:textId="77777777" w:rsidR="00FA5565" w:rsidRDefault="00FA5565">
      <w:pPr>
        <w:rPr>
          <w:rFonts w:ascii="Times New Roman" w:hAnsi="Times New Roman"/>
          <w:sz w:val="20"/>
          <w:szCs w:val="20"/>
        </w:rPr>
      </w:pPr>
    </w:p>
    <w:p w14:paraId="2A73A9F5"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33</w:t>
      </w:r>
    </w:p>
    <w:p w14:paraId="2A73A9F6" w14:textId="77777777" w:rsidR="00FA5565" w:rsidRDefault="00D804D1">
      <w:r>
        <w:rPr>
          <w:rFonts w:ascii="Times New Roman" w:hAnsi="Times New Roman"/>
          <w:sz w:val="16"/>
          <w:szCs w:val="16"/>
        </w:rPr>
        <w:pict w14:anchorId="2A73C0BD">
          <v:rect id="_x0000_i1059" style="width:415.3pt;height:1.5pt" o:hralign="center" o:hrstd="t" o:hr="t" fillcolor="#a0a0a0" stroked="f"/>
        </w:pict>
      </w:r>
    </w:p>
    <w:p w14:paraId="2A73A9F7" w14:textId="77777777" w:rsidR="00FA5565" w:rsidRDefault="00FA5565">
      <w:pPr>
        <w:rPr>
          <w:rFonts w:ascii="Times New Roman" w:hAnsi="Times New Roman"/>
          <w:sz w:val="20"/>
          <w:szCs w:val="20"/>
        </w:rPr>
      </w:pPr>
    </w:p>
    <w:p w14:paraId="2A73A9F8"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Apple Inc.</w:t>
      </w:r>
    </w:p>
    <w:p w14:paraId="2A73A9F9"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Notes to Consolidated Financial Statements</w:t>
      </w:r>
    </w:p>
    <w:p w14:paraId="2A73A9FA"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 xml:space="preserve">Note 1 – Summary of Significant </w:t>
      </w:r>
      <w:r>
        <w:rPr>
          <w:rFonts w:ascii="Helvetica" w:eastAsia="Helvetica" w:hAnsi="Helvetica" w:cs="Helvetica"/>
          <w:b/>
          <w:bCs/>
          <w:sz w:val="18"/>
          <w:szCs w:val="18"/>
        </w:rPr>
        <w:t>Accounting Policies</w:t>
      </w:r>
    </w:p>
    <w:p w14:paraId="2A73A9FB"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Basis of Presentation and Preparation</w:t>
      </w:r>
    </w:p>
    <w:p w14:paraId="2A73A9F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accompanying consolidated financial statements include the accounts of Apple Inc. and its wholly owned subsidiaries (collectively “Apple” or the “Company”). Intercompany accounts and transaction</w:t>
      </w:r>
      <w:r>
        <w:rPr>
          <w:rFonts w:ascii="Helvetica" w:eastAsia="Helvetica" w:hAnsi="Helvetica" w:cs="Helvetica"/>
          <w:sz w:val="18"/>
          <w:szCs w:val="18"/>
        </w:rPr>
        <w:t>s have been eliminated. In the opinion of the Company’s management, the consolidated financial statements reflect all adjustments, which are normal and recurring in nature, necessary for fair financial statement presentation. The preparation of these conso</w:t>
      </w:r>
      <w:r>
        <w:rPr>
          <w:rFonts w:ascii="Helvetica" w:eastAsia="Helvetica" w:hAnsi="Helvetica" w:cs="Helvetica"/>
          <w:sz w:val="18"/>
          <w:szCs w:val="18"/>
        </w:rPr>
        <w:t>lidated financial statements and accompanying notes in conformity with U.S. generally accepted accounting principles requires management to make estimates and assumptions that affect the amounts reported. Actual results could differ materially from those e</w:t>
      </w:r>
      <w:r>
        <w:rPr>
          <w:rFonts w:ascii="Helvetica" w:eastAsia="Helvetica" w:hAnsi="Helvetica" w:cs="Helvetica"/>
          <w:sz w:val="18"/>
          <w:szCs w:val="18"/>
        </w:rPr>
        <w:t>stimates. Certain prior period amounts in the consolidated financial statements and accompanying notes have been reclassified to conform to the current period’s presentation.</w:t>
      </w:r>
    </w:p>
    <w:p w14:paraId="2A73A9F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fiscal year is the 52- or 53-week period that ends on the last </w:t>
      </w:r>
      <w:r>
        <w:rPr>
          <w:rFonts w:ascii="Helvetica" w:eastAsia="Helvetica" w:hAnsi="Helvetica" w:cs="Helvetica"/>
          <w:sz w:val="18"/>
          <w:szCs w:val="18"/>
        </w:rPr>
        <w:t>Saturday of September. The Company’s fiscal years 2019 and 2018 spanned 52 weeks each, whereas fiscal year 2017 included 53 weeks. A 14th week was included in the first fiscal quarter of 2017, as is done every five or six years, to realign the Company’s fi</w:t>
      </w:r>
      <w:r>
        <w:rPr>
          <w:rFonts w:ascii="Helvetica" w:eastAsia="Helvetica" w:hAnsi="Helvetica" w:cs="Helvetica"/>
          <w:sz w:val="18"/>
          <w:szCs w:val="18"/>
        </w:rPr>
        <w:t>scal quarters with calendar quarters. Unless otherwise stated, references to particular years, quarters, months and periods refer to the Company’s fiscal years ended in September and the associated quarters, months and periods of those fiscal years.</w:t>
      </w:r>
    </w:p>
    <w:p w14:paraId="2A73A9FE"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Recent</w:t>
      </w:r>
      <w:r>
        <w:rPr>
          <w:rFonts w:ascii="Helvetica" w:eastAsia="Helvetica" w:hAnsi="Helvetica" w:cs="Helvetica"/>
          <w:b/>
          <w:bCs/>
          <w:sz w:val="18"/>
          <w:szCs w:val="18"/>
        </w:rPr>
        <w:t>ly Adopted Accounting Pronouncements</w:t>
      </w:r>
    </w:p>
    <w:p w14:paraId="2A73A9FF"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Revenue Recognition</w:t>
      </w:r>
    </w:p>
    <w:p w14:paraId="2A73AA0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In the first quarter of 2019, the Company adopted the Financial Accounting Standards Board’s (the “FASB”) Accounting Standards Update (“ASU”) No. 2014-09, </w:t>
      </w:r>
      <w:r>
        <w:rPr>
          <w:rFonts w:ascii="Helvetica" w:eastAsia="Helvetica" w:hAnsi="Helvetica" w:cs="Helvetica"/>
          <w:i/>
          <w:iCs/>
          <w:sz w:val="18"/>
          <w:szCs w:val="18"/>
        </w:rPr>
        <w:t>Revenue from Contracts with Customers (Topic</w:t>
      </w:r>
      <w:r>
        <w:rPr>
          <w:rFonts w:ascii="Helvetica" w:eastAsia="Helvetica" w:hAnsi="Helvetica" w:cs="Helvetica"/>
          <w:i/>
          <w:iCs/>
          <w:sz w:val="18"/>
          <w:szCs w:val="18"/>
        </w:rPr>
        <w:t xml:space="preserve"> 606)</w:t>
      </w:r>
      <w:r>
        <w:rPr>
          <w:rFonts w:ascii="Helvetica" w:eastAsia="Helvetica" w:hAnsi="Helvetica" w:cs="Helvetica"/>
          <w:sz w:val="18"/>
          <w:szCs w:val="18"/>
        </w:rPr>
        <w:t xml:space="preserve"> (“ASU 2014-09”), and additional ASUs issued to clarify the guidance in ASU 2014-09 (collectively the “new revenue standard”), which amends the existing accounting standards for revenue recognition. The Company adopted the new revenue standard utilizi</w:t>
      </w:r>
      <w:r>
        <w:rPr>
          <w:rFonts w:ascii="Helvetica" w:eastAsia="Helvetica" w:hAnsi="Helvetica" w:cs="Helvetica"/>
          <w:sz w:val="18"/>
          <w:szCs w:val="18"/>
        </w:rPr>
        <w:t>ng the full retrospective transition method. The Company did not restate total net sales in the prior periods presented, as the adoption of the new revenue standard did not have a material impact on previously reported amounts.</w:t>
      </w:r>
    </w:p>
    <w:p w14:paraId="2A73AA0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Additionally, beginning in t</w:t>
      </w:r>
      <w:r>
        <w:rPr>
          <w:rFonts w:ascii="Helvetica" w:eastAsia="Helvetica" w:hAnsi="Helvetica" w:cs="Helvetica"/>
          <w:sz w:val="18"/>
          <w:szCs w:val="18"/>
        </w:rPr>
        <w:t>he first quarter of 2019, the Company classified the amortization of the deferred value of Maps, Siri and free iCloud services, which are bundled in the sales price of iPhone, Mac, iPad and certain other products, in Services net sales. Historically, the C</w:t>
      </w:r>
      <w:r>
        <w:rPr>
          <w:rFonts w:ascii="Helvetica" w:eastAsia="Helvetica" w:hAnsi="Helvetica" w:cs="Helvetica"/>
          <w:sz w:val="18"/>
          <w:szCs w:val="18"/>
        </w:rPr>
        <w:t>ompany classified the amortization of these amounts in Products net sales consistent with its management reporting framework. As a result, Products and Services net sales for 2018 and 2017 were reclassified to conform to the 2019 presentation.</w:t>
      </w:r>
    </w:p>
    <w:p w14:paraId="2A73AA02"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Financial In</w:t>
      </w:r>
      <w:r>
        <w:rPr>
          <w:rFonts w:ascii="Helvetica" w:eastAsia="Helvetica" w:hAnsi="Helvetica" w:cs="Helvetica"/>
          <w:i/>
          <w:iCs/>
          <w:sz w:val="18"/>
          <w:szCs w:val="18"/>
        </w:rPr>
        <w:t>struments</w:t>
      </w:r>
    </w:p>
    <w:p w14:paraId="2A73AA0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In the first quarter of 2019, the Company adopted FASB ASU No. 2016-01, </w:t>
      </w:r>
      <w:r>
        <w:rPr>
          <w:rFonts w:ascii="Helvetica" w:eastAsia="Helvetica" w:hAnsi="Helvetica" w:cs="Helvetica"/>
          <w:i/>
          <w:iCs/>
          <w:sz w:val="18"/>
          <w:szCs w:val="18"/>
        </w:rPr>
        <w:t>Financial Instruments – Overall (Subtopic 825-10): Recognition and Measurement of Financial Assets and Financial Liabilities</w:t>
      </w:r>
      <w:r>
        <w:rPr>
          <w:rFonts w:ascii="Helvetica" w:eastAsia="Helvetica" w:hAnsi="Helvetica" w:cs="Helvetica"/>
          <w:sz w:val="18"/>
          <w:szCs w:val="18"/>
        </w:rPr>
        <w:t xml:space="preserve"> (“ASU 2016-01”), which updates certain aspects of</w:t>
      </w:r>
      <w:r>
        <w:rPr>
          <w:rFonts w:ascii="Helvetica" w:eastAsia="Helvetica" w:hAnsi="Helvetica" w:cs="Helvetica"/>
          <w:sz w:val="18"/>
          <w:szCs w:val="18"/>
        </w:rPr>
        <w:t xml:space="preserve"> the recognition, measurement, presentation and disclosure of financial instruments. The adoption of ASU 2016-01 did not have a material impact on the Company’s consolidated financial statements.</w:t>
      </w:r>
    </w:p>
    <w:p w14:paraId="2A73AA04"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Income Taxes</w:t>
      </w:r>
    </w:p>
    <w:p w14:paraId="2A73AA0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In the first quarter of 2019, the Company adopt</w:t>
      </w:r>
      <w:r>
        <w:rPr>
          <w:rFonts w:ascii="Helvetica" w:eastAsia="Helvetica" w:hAnsi="Helvetica" w:cs="Helvetica"/>
          <w:sz w:val="18"/>
          <w:szCs w:val="18"/>
        </w:rPr>
        <w:t xml:space="preserve">ed FASB ASU No. 2016-16, </w:t>
      </w:r>
      <w:r>
        <w:rPr>
          <w:rFonts w:ascii="Helvetica" w:eastAsia="Helvetica" w:hAnsi="Helvetica" w:cs="Helvetica"/>
          <w:i/>
          <w:iCs/>
          <w:sz w:val="18"/>
          <w:szCs w:val="18"/>
        </w:rPr>
        <w:t>Income Taxes (Topic 740): Intra-Entity Transfers of Assets Other Than Inventory</w:t>
      </w:r>
      <w:r>
        <w:rPr>
          <w:rFonts w:ascii="Helvetica" w:eastAsia="Helvetica" w:hAnsi="Helvetica" w:cs="Helvetica"/>
          <w:sz w:val="18"/>
          <w:szCs w:val="18"/>
        </w:rPr>
        <w:t xml:space="preserve"> (“ASU 2016-16”), which requires the recognition of the income tax consequences of an intra-entity transfer of an asset, other than inventory, when the </w:t>
      </w:r>
      <w:r>
        <w:rPr>
          <w:rFonts w:ascii="Helvetica" w:eastAsia="Helvetica" w:hAnsi="Helvetica" w:cs="Helvetica"/>
          <w:sz w:val="18"/>
          <w:szCs w:val="18"/>
        </w:rPr>
        <w:t>transfer occurs. The Company adopted ASU 2016-16 utilizing the modified retrospective transition method. Upon adoption, the Company recorded $2.7 billion of net deferred tax assets, reduced other non-current assets by $128 million, and increased retained e</w:t>
      </w:r>
      <w:r>
        <w:rPr>
          <w:rFonts w:ascii="Helvetica" w:eastAsia="Helvetica" w:hAnsi="Helvetica" w:cs="Helvetica"/>
          <w:sz w:val="18"/>
          <w:szCs w:val="18"/>
        </w:rPr>
        <w:t>arnings by $2.6 billion on its Consolidated Balance Sheet. The Company will recognize incremental deferred income tax expense as these net deferred tax assets are utilized.</w:t>
      </w:r>
    </w:p>
    <w:p w14:paraId="2A73AA06"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Restricted Cash</w:t>
      </w:r>
    </w:p>
    <w:p w14:paraId="2A73AA0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In the first quarter of 2019, the Company adopted FASB ASU No. 2016</w:t>
      </w:r>
      <w:r>
        <w:rPr>
          <w:rFonts w:ascii="Helvetica" w:eastAsia="Helvetica" w:hAnsi="Helvetica" w:cs="Helvetica"/>
          <w:sz w:val="18"/>
          <w:szCs w:val="18"/>
        </w:rPr>
        <w:t xml:space="preserve">-18, </w:t>
      </w:r>
      <w:r>
        <w:rPr>
          <w:rFonts w:ascii="Helvetica" w:eastAsia="Helvetica" w:hAnsi="Helvetica" w:cs="Helvetica"/>
          <w:i/>
          <w:iCs/>
          <w:sz w:val="18"/>
          <w:szCs w:val="18"/>
        </w:rPr>
        <w:t>Statement of Cash Flows (Topic 230): Restricted Cash</w:t>
      </w:r>
      <w:r>
        <w:rPr>
          <w:rFonts w:ascii="Helvetica" w:eastAsia="Helvetica" w:hAnsi="Helvetica" w:cs="Helvetica"/>
          <w:sz w:val="18"/>
          <w:szCs w:val="18"/>
        </w:rPr>
        <w:t xml:space="preserve"> (“ASU 2016-18”), which enhances and clarifies the guidance on the classification and presentation of restricted cash in the statement of cash flows and requires additional disclosures about restrict</w:t>
      </w:r>
      <w:r>
        <w:rPr>
          <w:rFonts w:ascii="Helvetica" w:eastAsia="Helvetica" w:hAnsi="Helvetica" w:cs="Helvetica"/>
          <w:sz w:val="18"/>
          <w:szCs w:val="18"/>
        </w:rPr>
        <w:t>ed cash balances.</w:t>
      </w:r>
    </w:p>
    <w:p w14:paraId="2A73AA08"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Advertising Costs</w:t>
      </w:r>
    </w:p>
    <w:p w14:paraId="2A73AA0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Advertising costs are expensed as incurred and included in selling, general and administrative expenses.</w:t>
      </w:r>
    </w:p>
    <w:p w14:paraId="2A73AA0A" w14:textId="77777777" w:rsidR="00FA5565" w:rsidRDefault="00FA5565">
      <w:pPr>
        <w:rPr>
          <w:rFonts w:ascii="Times New Roman" w:hAnsi="Times New Roman"/>
          <w:sz w:val="20"/>
          <w:szCs w:val="20"/>
        </w:rPr>
      </w:pPr>
    </w:p>
    <w:p w14:paraId="2A73AA0B"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34</w:t>
      </w:r>
    </w:p>
    <w:p w14:paraId="2A73AA0C" w14:textId="77777777" w:rsidR="00FA5565" w:rsidRDefault="00D804D1">
      <w:r>
        <w:rPr>
          <w:rFonts w:ascii="Times New Roman" w:hAnsi="Times New Roman"/>
          <w:sz w:val="16"/>
          <w:szCs w:val="16"/>
        </w:rPr>
        <w:pict w14:anchorId="2A73C0BE">
          <v:rect id="_x0000_i1060" style="width:415.3pt;height:1.5pt" o:hralign="center" o:hrstd="t" o:hr="t" fillcolor="#a0a0a0" stroked="f"/>
        </w:pict>
      </w:r>
    </w:p>
    <w:p w14:paraId="2A73AA0D" w14:textId="77777777" w:rsidR="00FA5565" w:rsidRDefault="00FA5565">
      <w:pPr>
        <w:rPr>
          <w:rFonts w:ascii="Times New Roman" w:hAnsi="Times New Roman"/>
          <w:sz w:val="20"/>
          <w:szCs w:val="20"/>
        </w:rPr>
      </w:pPr>
    </w:p>
    <w:p w14:paraId="2A73AA0E"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Share-Based Compensation</w:t>
      </w:r>
    </w:p>
    <w:p w14:paraId="2A73AA0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generally measures share-based compensati</w:t>
      </w:r>
      <w:r>
        <w:rPr>
          <w:rFonts w:ascii="Helvetica" w:eastAsia="Helvetica" w:hAnsi="Helvetica" w:cs="Helvetica"/>
          <w:sz w:val="18"/>
          <w:szCs w:val="18"/>
        </w:rPr>
        <w:t>on based on the closing price of the Company’s common stock on the date of grant, and recognizes expense on a straight-line basis for its estimate of equity awards that will ultimately vest. Further information regarding share-based compensation can be fou</w:t>
      </w:r>
      <w:r>
        <w:rPr>
          <w:rFonts w:ascii="Helvetica" w:eastAsia="Helvetica" w:hAnsi="Helvetica" w:cs="Helvetica"/>
          <w:sz w:val="18"/>
          <w:szCs w:val="18"/>
        </w:rPr>
        <w:t>nd in Note 9, “Benefit Plans.”</w:t>
      </w:r>
    </w:p>
    <w:p w14:paraId="2A73AA10"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Earnings Per Share</w:t>
      </w:r>
    </w:p>
    <w:p w14:paraId="2A73AA1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 shows the computation of basic and diluted earnings per share for 2019, 2018 and 2017 (net income in millions and shares in thousands):</w:t>
      </w:r>
    </w:p>
    <w:tbl>
      <w:tblPr>
        <w:tblW w:w="5000" w:type="pct"/>
        <w:tblCellMar>
          <w:left w:w="0" w:type="dxa"/>
          <w:right w:w="0" w:type="dxa"/>
        </w:tblCellMar>
        <w:tblLook w:val="04A0" w:firstRow="1" w:lastRow="0" w:firstColumn="1" w:lastColumn="0" w:noHBand="0" w:noVBand="1"/>
      </w:tblPr>
      <w:tblGrid>
        <w:gridCol w:w="4862"/>
        <w:gridCol w:w="142"/>
        <w:gridCol w:w="875"/>
        <w:gridCol w:w="44"/>
        <w:gridCol w:w="130"/>
        <w:gridCol w:w="142"/>
        <w:gridCol w:w="875"/>
        <w:gridCol w:w="44"/>
        <w:gridCol w:w="130"/>
        <w:gridCol w:w="142"/>
        <w:gridCol w:w="875"/>
        <w:gridCol w:w="45"/>
      </w:tblGrid>
      <w:tr w:rsidR="00FA5565" w14:paraId="2A73AA13" w14:textId="77777777">
        <w:tc>
          <w:tcPr>
            <w:tcW w:w="0" w:type="auto"/>
            <w:gridSpan w:val="12"/>
            <w:shd w:val="clear" w:color="auto" w:fill="auto"/>
            <w:vAlign w:val="center"/>
          </w:tcPr>
          <w:p w14:paraId="2A73AA12" w14:textId="77777777" w:rsidR="00FA5565" w:rsidRDefault="00FA5565">
            <w:pPr>
              <w:rPr>
                <w:rFonts w:ascii="Times New Roman" w:hAnsi="Times New Roman"/>
                <w:sz w:val="20"/>
                <w:szCs w:val="20"/>
              </w:rPr>
            </w:pPr>
          </w:p>
        </w:tc>
      </w:tr>
      <w:tr w:rsidR="00FA5565" w14:paraId="2A73AA20" w14:textId="77777777">
        <w:tc>
          <w:tcPr>
            <w:tcW w:w="2950" w:type="pct"/>
            <w:shd w:val="clear" w:color="auto" w:fill="auto"/>
            <w:vAlign w:val="center"/>
          </w:tcPr>
          <w:p w14:paraId="2A73AA14" w14:textId="77777777" w:rsidR="00FA5565" w:rsidRDefault="00FA5565">
            <w:pPr>
              <w:rPr>
                <w:rFonts w:ascii="Times New Roman" w:hAnsi="Times New Roman"/>
                <w:sz w:val="20"/>
                <w:szCs w:val="20"/>
              </w:rPr>
            </w:pPr>
          </w:p>
        </w:tc>
        <w:tc>
          <w:tcPr>
            <w:tcW w:w="50" w:type="pct"/>
            <w:shd w:val="clear" w:color="auto" w:fill="auto"/>
            <w:vAlign w:val="center"/>
          </w:tcPr>
          <w:p w14:paraId="2A73AA15" w14:textId="77777777" w:rsidR="00FA5565" w:rsidRDefault="00FA5565">
            <w:pPr>
              <w:rPr>
                <w:rFonts w:ascii="Times New Roman" w:hAnsi="Times New Roman"/>
                <w:sz w:val="20"/>
                <w:szCs w:val="20"/>
              </w:rPr>
            </w:pPr>
          </w:p>
        </w:tc>
        <w:tc>
          <w:tcPr>
            <w:tcW w:w="550" w:type="pct"/>
            <w:shd w:val="clear" w:color="auto" w:fill="auto"/>
            <w:vAlign w:val="center"/>
          </w:tcPr>
          <w:p w14:paraId="2A73AA16" w14:textId="77777777" w:rsidR="00FA5565" w:rsidRDefault="00FA5565">
            <w:pPr>
              <w:rPr>
                <w:rFonts w:ascii="Times New Roman" w:hAnsi="Times New Roman"/>
                <w:sz w:val="20"/>
                <w:szCs w:val="20"/>
              </w:rPr>
            </w:pPr>
          </w:p>
        </w:tc>
        <w:tc>
          <w:tcPr>
            <w:tcW w:w="50" w:type="pct"/>
            <w:shd w:val="clear" w:color="auto" w:fill="auto"/>
            <w:vAlign w:val="center"/>
          </w:tcPr>
          <w:p w14:paraId="2A73AA17" w14:textId="77777777" w:rsidR="00FA5565" w:rsidRDefault="00FA5565">
            <w:pPr>
              <w:rPr>
                <w:rFonts w:ascii="Times New Roman" w:hAnsi="Times New Roman"/>
                <w:sz w:val="20"/>
                <w:szCs w:val="20"/>
              </w:rPr>
            </w:pPr>
          </w:p>
        </w:tc>
        <w:tc>
          <w:tcPr>
            <w:tcW w:w="50" w:type="pct"/>
            <w:shd w:val="clear" w:color="auto" w:fill="auto"/>
            <w:vAlign w:val="center"/>
          </w:tcPr>
          <w:p w14:paraId="2A73AA18" w14:textId="77777777" w:rsidR="00FA5565" w:rsidRDefault="00FA5565">
            <w:pPr>
              <w:rPr>
                <w:rFonts w:ascii="Times New Roman" w:hAnsi="Times New Roman"/>
                <w:sz w:val="20"/>
                <w:szCs w:val="20"/>
              </w:rPr>
            </w:pPr>
          </w:p>
        </w:tc>
        <w:tc>
          <w:tcPr>
            <w:tcW w:w="50" w:type="pct"/>
            <w:shd w:val="clear" w:color="auto" w:fill="auto"/>
            <w:vAlign w:val="center"/>
          </w:tcPr>
          <w:p w14:paraId="2A73AA19" w14:textId="77777777" w:rsidR="00FA5565" w:rsidRDefault="00FA5565">
            <w:pPr>
              <w:rPr>
                <w:rFonts w:ascii="Times New Roman" w:hAnsi="Times New Roman"/>
                <w:sz w:val="20"/>
                <w:szCs w:val="20"/>
              </w:rPr>
            </w:pPr>
          </w:p>
        </w:tc>
        <w:tc>
          <w:tcPr>
            <w:tcW w:w="550" w:type="pct"/>
            <w:shd w:val="clear" w:color="auto" w:fill="auto"/>
            <w:vAlign w:val="center"/>
          </w:tcPr>
          <w:p w14:paraId="2A73AA1A" w14:textId="77777777" w:rsidR="00FA5565" w:rsidRDefault="00FA5565">
            <w:pPr>
              <w:rPr>
                <w:rFonts w:ascii="Times New Roman" w:hAnsi="Times New Roman"/>
                <w:sz w:val="20"/>
                <w:szCs w:val="20"/>
              </w:rPr>
            </w:pPr>
          </w:p>
        </w:tc>
        <w:tc>
          <w:tcPr>
            <w:tcW w:w="50" w:type="pct"/>
            <w:shd w:val="clear" w:color="auto" w:fill="auto"/>
            <w:vAlign w:val="center"/>
          </w:tcPr>
          <w:p w14:paraId="2A73AA1B" w14:textId="77777777" w:rsidR="00FA5565" w:rsidRDefault="00FA5565">
            <w:pPr>
              <w:rPr>
                <w:rFonts w:ascii="Times New Roman" w:hAnsi="Times New Roman"/>
                <w:sz w:val="20"/>
                <w:szCs w:val="20"/>
              </w:rPr>
            </w:pPr>
          </w:p>
        </w:tc>
        <w:tc>
          <w:tcPr>
            <w:tcW w:w="50" w:type="pct"/>
            <w:shd w:val="clear" w:color="auto" w:fill="auto"/>
            <w:vAlign w:val="center"/>
          </w:tcPr>
          <w:p w14:paraId="2A73AA1C" w14:textId="77777777" w:rsidR="00FA5565" w:rsidRDefault="00FA5565">
            <w:pPr>
              <w:rPr>
                <w:rFonts w:ascii="Times New Roman" w:hAnsi="Times New Roman"/>
                <w:sz w:val="20"/>
                <w:szCs w:val="20"/>
              </w:rPr>
            </w:pPr>
          </w:p>
        </w:tc>
        <w:tc>
          <w:tcPr>
            <w:tcW w:w="50" w:type="pct"/>
            <w:shd w:val="clear" w:color="auto" w:fill="auto"/>
            <w:vAlign w:val="center"/>
          </w:tcPr>
          <w:p w14:paraId="2A73AA1D" w14:textId="77777777" w:rsidR="00FA5565" w:rsidRDefault="00FA5565">
            <w:pPr>
              <w:rPr>
                <w:rFonts w:ascii="Times New Roman" w:hAnsi="Times New Roman"/>
                <w:sz w:val="20"/>
                <w:szCs w:val="20"/>
              </w:rPr>
            </w:pPr>
          </w:p>
        </w:tc>
        <w:tc>
          <w:tcPr>
            <w:tcW w:w="550" w:type="pct"/>
            <w:shd w:val="clear" w:color="auto" w:fill="auto"/>
            <w:vAlign w:val="center"/>
          </w:tcPr>
          <w:p w14:paraId="2A73AA1E" w14:textId="77777777" w:rsidR="00FA5565" w:rsidRDefault="00FA5565">
            <w:pPr>
              <w:rPr>
                <w:rFonts w:ascii="Times New Roman" w:hAnsi="Times New Roman"/>
                <w:sz w:val="20"/>
                <w:szCs w:val="20"/>
              </w:rPr>
            </w:pPr>
          </w:p>
        </w:tc>
        <w:tc>
          <w:tcPr>
            <w:tcW w:w="50" w:type="pct"/>
            <w:shd w:val="clear" w:color="auto" w:fill="auto"/>
            <w:vAlign w:val="center"/>
          </w:tcPr>
          <w:p w14:paraId="2A73AA1F" w14:textId="77777777" w:rsidR="00FA5565" w:rsidRDefault="00FA5565">
            <w:pPr>
              <w:rPr>
                <w:rFonts w:ascii="Times New Roman" w:hAnsi="Times New Roman"/>
                <w:sz w:val="20"/>
                <w:szCs w:val="20"/>
              </w:rPr>
            </w:pPr>
          </w:p>
        </w:tc>
      </w:tr>
      <w:tr w:rsidR="00FA5565" w14:paraId="2A73AA27" w14:textId="77777777">
        <w:tc>
          <w:tcPr>
            <w:tcW w:w="0" w:type="auto"/>
            <w:shd w:val="clear" w:color="auto" w:fill="auto"/>
            <w:tcMar>
              <w:top w:w="40" w:type="dxa"/>
              <w:left w:w="40" w:type="dxa"/>
              <w:bottom w:w="40" w:type="dxa"/>
              <w:right w:w="40" w:type="dxa"/>
            </w:tcMar>
            <w:vAlign w:val="bottom"/>
          </w:tcPr>
          <w:p w14:paraId="2A73AA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A2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AA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A2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AA2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A2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AA2E" w14:textId="77777777">
        <w:tc>
          <w:tcPr>
            <w:tcW w:w="0" w:type="auto"/>
            <w:shd w:val="clear" w:color="auto" w:fill="auto"/>
            <w:tcMar>
              <w:top w:w="40" w:type="dxa"/>
              <w:left w:w="40" w:type="dxa"/>
              <w:bottom w:w="40" w:type="dxa"/>
              <w:right w:w="40" w:type="dxa"/>
            </w:tcMar>
          </w:tcPr>
          <w:p w14:paraId="2A73AA2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Numerator:</w:t>
            </w:r>
          </w:p>
        </w:tc>
        <w:tc>
          <w:tcPr>
            <w:tcW w:w="0" w:type="auto"/>
            <w:gridSpan w:val="3"/>
            <w:shd w:val="clear" w:color="auto" w:fill="auto"/>
            <w:tcMar>
              <w:top w:w="40" w:type="dxa"/>
              <w:left w:w="40" w:type="dxa"/>
              <w:bottom w:w="40" w:type="dxa"/>
              <w:right w:w="40" w:type="dxa"/>
            </w:tcMar>
            <w:vAlign w:val="bottom"/>
          </w:tcPr>
          <w:p w14:paraId="2A73AA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A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A2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A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A2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A3B" w14:textId="77777777">
        <w:tc>
          <w:tcPr>
            <w:tcW w:w="0" w:type="auto"/>
            <w:shd w:val="clear" w:color="auto" w:fill="EFEFEF"/>
            <w:tcMar>
              <w:top w:w="40" w:type="dxa"/>
              <w:left w:w="560" w:type="dxa"/>
              <w:bottom w:w="40" w:type="dxa"/>
              <w:right w:w="40" w:type="dxa"/>
            </w:tcMar>
          </w:tcPr>
          <w:p w14:paraId="2A73AA2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income</w:t>
            </w:r>
          </w:p>
        </w:tc>
        <w:tc>
          <w:tcPr>
            <w:tcW w:w="0" w:type="auto"/>
            <w:shd w:val="clear" w:color="auto" w:fill="EFEFEF"/>
            <w:tcMar>
              <w:top w:w="40" w:type="dxa"/>
              <w:left w:w="40" w:type="dxa"/>
              <w:bottom w:w="40" w:type="dxa"/>
            </w:tcMar>
            <w:vAlign w:val="bottom"/>
          </w:tcPr>
          <w:p w14:paraId="2A73AA3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A3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55,256</w:t>
            </w:r>
          </w:p>
        </w:tc>
        <w:tc>
          <w:tcPr>
            <w:tcW w:w="0" w:type="auto"/>
            <w:shd w:val="clear" w:color="auto" w:fill="EFEFEF"/>
            <w:vAlign w:val="bottom"/>
          </w:tcPr>
          <w:p w14:paraId="2A73AA3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3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A3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A3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59,531</w:t>
            </w:r>
          </w:p>
        </w:tc>
        <w:tc>
          <w:tcPr>
            <w:tcW w:w="0" w:type="auto"/>
            <w:shd w:val="clear" w:color="auto" w:fill="EFEFEF"/>
            <w:vAlign w:val="bottom"/>
          </w:tcPr>
          <w:p w14:paraId="2A73AA3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3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A3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A3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48,351</w:t>
            </w:r>
          </w:p>
        </w:tc>
        <w:tc>
          <w:tcPr>
            <w:tcW w:w="0" w:type="auto"/>
            <w:shd w:val="clear" w:color="auto" w:fill="EFEFEF"/>
            <w:vAlign w:val="bottom"/>
          </w:tcPr>
          <w:p w14:paraId="2A73AA3A" w14:textId="77777777" w:rsidR="00FA5565" w:rsidRDefault="00FA5565">
            <w:pPr>
              <w:textAlignment w:val="bottom"/>
              <w:rPr>
                <w:rFonts w:ascii="Times New Roman" w:hAnsi="Times New Roman"/>
                <w:sz w:val="20"/>
                <w:szCs w:val="20"/>
              </w:rPr>
            </w:pPr>
          </w:p>
        </w:tc>
      </w:tr>
      <w:tr w:rsidR="00FA5565" w14:paraId="2A73AA42" w14:textId="77777777">
        <w:tc>
          <w:tcPr>
            <w:tcW w:w="0" w:type="auto"/>
            <w:shd w:val="clear" w:color="auto" w:fill="auto"/>
            <w:tcMar>
              <w:top w:w="40" w:type="dxa"/>
              <w:left w:w="40" w:type="dxa"/>
              <w:bottom w:w="40" w:type="dxa"/>
              <w:right w:w="40" w:type="dxa"/>
            </w:tcMar>
            <w:vAlign w:val="bottom"/>
          </w:tcPr>
          <w:p w14:paraId="2A73AA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A3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A3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A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A4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A4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A49" w14:textId="77777777">
        <w:tc>
          <w:tcPr>
            <w:tcW w:w="0" w:type="auto"/>
            <w:shd w:val="clear" w:color="auto" w:fill="EFEFEF"/>
            <w:tcMar>
              <w:top w:w="40" w:type="dxa"/>
              <w:left w:w="40" w:type="dxa"/>
              <w:bottom w:w="40" w:type="dxa"/>
              <w:right w:w="40" w:type="dxa"/>
            </w:tcMar>
          </w:tcPr>
          <w:p w14:paraId="2A73AA4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Denominator:</w:t>
            </w:r>
          </w:p>
        </w:tc>
        <w:tc>
          <w:tcPr>
            <w:tcW w:w="0" w:type="auto"/>
            <w:gridSpan w:val="3"/>
            <w:shd w:val="clear" w:color="auto" w:fill="EFEFEF"/>
            <w:tcMar>
              <w:top w:w="40" w:type="dxa"/>
              <w:left w:w="40" w:type="dxa"/>
              <w:bottom w:w="40" w:type="dxa"/>
              <w:right w:w="40" w:type="dxa"/>
            </w:tcMar>
            <w:vAlign w:val="bottom"/>
          </w:tcPr>
          <w:p w14:paraId="2A73AA4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A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A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A4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A4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A53" w14:textId="77777777">
        <w:tc>
          <w:tcPr>
            <w:tcW w:w="0" w:type="auto"/>
            <w:shd w:val="clear" w:color="auto" w:fill="auto"/>
            <w:tcMar>
              <w:top w:w="40" w:type="dxa"/>
              <w:left w:w="560" w:type="dxa"/>
              <w:bottom w:w="40" w:type="dxa"/>
              <w:right w:w="40" w:type="dxa"/>
            </w:tcMar>
          </w:tcPr>
          <w:p w14:paraId="2A73AA4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Weighted-average basic shares outstanding</w:t>
            </w:r>
          </w:p>
        </w:tc>
        <w:tc>
          <w:tcPr>
            <w:tcW w:w="0" w:type="auto"/>
            <w:gridSpan w:val="2"/>
            <w:shd w:val="clear" w:color="auto" w:fill="auto"/>
            <w:tcMar>
              <w:top w:w="40" w:type="dxa"/>
              <w:left w:w="40" w:type="dxa"/>
              <w:bottom w:w="40" w:type="dxa"/>
            </w:tcMar>
            <w:vAlign w:val="bottom"/>
          </w:tcPr>
          <w:p w14:paraId="2A73AA4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4,617,834</w:t>
            </w:r>
          </w:p>
        </w:tc>
        <w:tc>
          <w:tcPr>
            <w:tcW w:w="0" w:type="auto"/>
            <w:shd w:val="clear" w:color="auto" w:fill="auto"/>
            <w:vAlign w:val="bottom"/>
          </w:tcPr>
          <w:p w14:paraId="2A73AA4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A4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4,955,377</w:t>
            </w:r>
          </w:p>
        </w:tc>
        <w:tc>
          <w:tcPr>
            <w:tcW w:w="0" w:type="auto"/>
            <w:shd w:val="clear" w:color="auto" w:fill="auto"/>
            <w:vAlign w:val="bottom"/>
          </w:tcPr>
          <w:p w14:paraId="2A73AA4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5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A5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5,217,242</w:t>
            </w:r>
          </w:p>
        </w:tc>
        <w:tc>
          <w:tcPr>
            <w:tcW w:w="0" w:type="auto"/>
            <w:shd w:val="clear" w:color="auto" w:fill="auto"/>
            <w:vAlign w:val="bottom"/>
          </w:tcPr>
          <w:p w14:paraId="2A73AA52" w14:textId="77777777" w:rsidR="00FA5565" w:rsidRDefault="00FA5565">
            <w:pPr>
              <w:textAlignment w:val="bottom"/>
              <w:rPr>
                <w:rFonts w:ascii="Times New Roman" w:hAnsi="Times New Roman"/>
                <w:sz w:val="20"/>
                <w:szCs w:val="20"/>
              </w:rPr>
            </w:pPr>
          </w:p>
        </w:tc>
      </w:tr>
      <w:tr w:rsidR="00FA5565" w14:paraId="2A73AA5D" w14:textId="77777777">
        <w:tc>
          <w:tcPr>
            <w:tcW w:w="0" w:type="auto"/>
            <w:shd w:val="clear" w:color="auto" w:fill="EFEFEF"/>
            <w:tcMar>
              <w:top w:w="40" w:type="dxa"/>
              <w:left w:w="560" w:type="dxa"/>
              <w:bottom w:w="40" w:type="dxa"/>
              <w:right w:w="40" w:type="dxa"/>
            </w:tcMar>
          </w:tcPr>
          <w:p w14:paraId="2A73AA5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Effect of dilutive securities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A5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31,079</w:t>
            </w:r>
          </w:p>
        </w:tc>
        <w:tc>
          <w:tcPr>
            <w:tcW w:w="0" w:type="auto"/>
            <w:tcBorders>
              <w:bottom w:val="single" w:sz="8" w:space="0" w:color="000000"/>
            </w:tcBorders>
            <w:shd w:val="clear" w:color="auto" w:fill="EFEFEF"/>
            <w:vAlign w:val="bottom"/>
          </w:tcPr>
          <w:p w14:paraId="2A73AA5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A5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44,732</w:t>
            </w:r>
          </w:p>
        </w:tc>
        <w:tc>
          <w:tcPr>
            <w:tcW w:w="0" w:type="auto"/>
            <w:tcBorders>
              <w:bottom w:val="single" w:sz="8" w:space="0" w:color="000000"/>
            </w:tcBorders>
            <w:shd w:val="clear" w:color="auto" w:fill="EFEFEF"/>
            <w:vAlign w:val="bottom"/>
          </w:tcPr>
          <w:p w14:paraId="2A73AA5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5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A5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34,450</w:t>
            </w:r>
          </w:p>
        </w:tc>
        <w:tc>
          <w:tcPr>
            <w:tcW w:w="0" w:type="auto"/>
            <w:tcBorders>
              <w:bottom w:val="single" w:sz="8" w:space="0" w:color="000000"/>
            </w:tcBorders>
            <w:shd w:val="clear" w:color="auto" w:fill="EFEFEF"/>
            <w:vAlign w:val="bottom"/>
          </w:tcPr>
          <w:p w14:paraId="2A73AA5C" w14:textId="77777777" w:rsidR="00FA5565" w:rsidRDefault="00FA5565">
            <w:pPr>
              <w:textAlignment w:val="bottom"/>
              <w:rPr>
                <w:rFonts w:ascii="Times New Roman" w:hAnsi="Times New Roman"/>
                <w:sz w:val="20"/>
                <w:szCs w:val="20"/>
              </w:rPr>
            </w:pPr>
          </w:p>
        </w:tc>
      </w:tr>
      <w:tr w:rsidR="00FA5565" w14:paraId="2A73AA67" w14:textId="77777777">
        <w:tc>
          <w:tcPr>
            <w:tcW w:w="0" w:type="auto"/>
            <w:shd w:val="clear" w:color="auto" w:fill="auto"/>
            <w:tcMar>
              <w:top w:w="40" w:type="dxa"/>
              <w:left w:w="560" w:type="dxa"/>
              <w:bottom w:w="40" w:type="dxa"/>
              <w:right w:w="40" w:type="dxa"/>
            </w:tcMar>
          </w:tcPr>
          <w:p w14:paraId="2A73AA5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Weighted-average diluted shares</w:t>
            </w:r>
          </w:p>
        </w:tc>
        <w:tc>
          <w:tcPr>
            <w:tcW w:w="0" w:type="auto"/>
            <w:gridSpan w:val="2"/>
            <w:tcBorders>
              <w:bottom w:val="double" w:sz="6" w:space="0" w:color="000000"/>
            </w:tcBorders>
            <w:shd w:val="clear" w:color="auto" w:fill="auto"/>
            <w:tcMar>
              <w:top w:w="40" w:type="dxa"/>
              <w:left w:w="40" w:type="dxa"/>
              <w:bottom w:w="40" w:type="dxa"/>
            </w:tcMar>
            <w:vAlign w:val="bottom"/>
          </w:tcPr>
          <w:p w14:paraId="2A73AA5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4,648,913</w:t>
            </w:r>
          </w:p>
        </w:tc>
        <w:tc>
          <w:tcPr>
            <w:tcW w:w="0" w:type="auto"/>
            <w:tcBorders>
              <w:bottom w:val="double" w:sz="6" w:space="0" w:color="000000"/>
            </w:tcBorders>
            <w:shd w:val="clear" w:color="auto" w:fill="auto"/>
            <w:vAlign w:val="bottom"/>
          </w:tcPr>
          <w:p w14:paraId="2A73AA6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6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2A73AA6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5,000,109</w:t>
            </w:r>
          </w:p>
        </w:tc>
        <w:tc>
          <w:tcPr>
            <w:tcW w:w="0" w:type="auto"/>
            <w:tcBorders>
              <w:bottom w:val="double" w:sz="6" w:space="0" w:color="000000"/>
            </w:tcBorders>
            <w:shd w:val="clear" w:color="auto" w:fill="auto"/>
            <w:vAlign w:val="bottom"/>
          </w:tcPr>
          <w:p w14:paraId="2A73AA6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64" w14:textId="77777777" w:rsidR="00FA5565" w:rsidRDefault="00FA5565">
            <w:pPr>
              <w:jc w:val="right"/>
              <w:textAlignment w:val="bottom"/>
              <w:rPr>
                <w:rFonts w:ascii="Times New Roman" w:hAnsi="Times New Roman"/>
                <w:sz w:val="18"/>
                <w:szCs w:val="18"/>
              </w:rPr>
            </w:pPr>
          </w:p>
        </w:tc>
        <w:tc>
          <w:tcPr>
            <w:tcW w:w="0" w:type="auto"/>
            <w:gridSpan w:val="2"/>
            <w:tcBorders>
              <w:bottom w:val="double" w:sz="6" w:space="0" w:color="000000"/>
            </w:tcBorders>
            <w:shd w:val="clear" w:color="auto" w:fill="auto"/>
            <w:tcMar>
              <w:top w:w="40" w:type="dxa"/>
              <w:left w:w="40" w:type="dxa"/>
              <w:bottom w:w="40" w:type="dxa"/>
            </w:tcMar>
            <w:vAlign w:val="bottom"/>
          </w:tcPr>
          <w:p w14:paraId="2A73AA6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5,251,692</w:t>
            </w:r>
          </w:p>
        </w:tc>
        <w:tc>
          <w:tcPr>
            <w:tcW w:w="0" w:type="auto"/>
            <w:tcBorders>
              <w:bottom w:val="double" w:sz="6" w:space="0" w:color="000000"/>
            </w:tcBorders>
            <w:shd w:val="clear" w:color="auto" w:fill="auto"/>
            <w:vAlign w:val="bottom"/>
          </w:tcPr>
          <w:p w14:paraId="2A73AA66" w14:textId="77777777" w:rsidR="00FA5565" w:rsidRDefault="00FA5565">
            <w:pPr>
              <w:textAlignment w:val="bottom"/>
              <w:rPr>
                <w:rFonts w:ascii="Times New Roman" w:hAnsi="Times New Roman"/>
                <w:sz w:val="20"/>
                <w:szCs w:val="20"/>
              </w:rPr>
            </w:pPr>
          </w:p>
        </w:tc>
      </w:tr>
      <w:tr w:rsidR="00FA5565" w14:paraId="2A73AA6E" w14:textId="77777777">
        <w:tc>
          <w:tcPr>
            <w:tcW w:w="0" w:type="auto"/>
            <w:shd w:val="clear" w:color="auto" w:fill="EFEFEF"/>
            <w:tcMar>
              <w:top w:w="40" w:type="dxa"/>
              <w:left w:w="40" w:type="dxa"/>
              <w:bottom w:w="40" w:type="dxa"/>
              <w:right w:w="40" w:type="dxa"/>
            </w:tcMar>
            <w:vAlign w:val="bottom"/>
          </w:tcPr>
          <w:p w14:paraId="2A73AA6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A6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A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A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A6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A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A7B" w14:textId="77777777">
        <w:tc>
          <w:tcPr>
            <w:tcW w:w="0" w:type="auto"/>
            <w:shd w:val="clear" w:color="auto" w:fill="auto"/>
            <w:tcMar>
              <w:top w:w="40" w:type="dxa"/>
              <w:left w:w="40" w:type="dxa"/>
              <w:bottom w:w="40" w:type="dxa"/>
              <w:right w:w="40" w:type="dxa"/>
            </w:tcMar>
          </w:tcPr>
          <w:p w14:paraId="2A73AA6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Basic earnings per share</w:t>
            </w:r>
          </w:p>
        </w:tc>
        <w:tc>
          <w:tcPr>
            <w:tcW w:w="0" w:type="auto"/>
            <w:shd w:val="clear" w:color="auto" w:fill="auto"/>
            <w:tcMar>
              <w:top w:w="40" w:type="dxa"/>
              <w:left w:w="40" w:type="dxa"/>
              <w:bottom w:w="40" w:type="dxa"/>
            </w:tcMar>
            <w:vAlign w:val="bottom"/>
          </w:tcPr>
          <w:p w14:paraId="2A73AA7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A7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11.97</w:t>
            </w:r>
          </w:p>
        </w:tc>
        <w:tc>
          <w:tcPr>
            <w:tcW w:w="0" w:type="auto"/>
            <w:shd w:val="clear" w:color="auto" w:fill="auto"/>
            <w:vAlign w:val="bottom"/>
          </w:tcPr>
          <w:p w14:paraId="2A73AA7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7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A7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A7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12.01</w:t>
            </w:r>
          </w:p>
        </w:tc>
        <w:tc>
          <w:tcPr>
            <w:tcW w:w="0" w:type="auto"/>
            <w:shd w:val="clear" w:color="auto" w:fill="auto"/>
            <w:vAlign w:val="bottom"/>
          </w:tcPr>
          <w:p w14:paraId="2A73AA7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A7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A7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9.27</w:t>
            </w:r>
          </w:p>
        </w:tc>
        <w:tc>
          <w:tcPr>
            <w:tcW w:w="0" w:type="auto"/>
            <w:shd w:val="clear" w:color="auto" w:fill="auto"/>
            <w:vAlign w:val="bottom"/>
          </w:tcPr>
          <w:p w14:paraId="2A73AA7A" w14:textId="77777777" w:rsidR="00FA5565" w:rsidRDefault="00FA5565">
            <w:pPr>
              <w:textAlignment w:val="bottom"/>
              <w:rPr>
                <w:rFonts w:ascii="Times New Roman" w:hAnsi="Times New Roman"/>
                <w:sz w:val="20"/>
                <w:szCs w:val="20"/>
              </w:rPr>
            </w:pPr>
          </w:p>
        </w:tc>
      </w:tr>
      <w:tr w:rsidR="00FA5565" w14:paraId="2A73AA88" w14:textId="77777777">
        <w:tc>
          <w:tcPr>
            <w:tcW w:w="0" w:type="auto"/>
            <w:shd w:val="clear" w:color="auto" w:fill="EFEFEF"/>
            <w:tcMar>
              <w:top w:w="40" w:type="dxa"/>
              <w:left w:w="40" w:type="dxa"/>
              <w:bottom w:w="40" w:type="dxa"/>
              <w:right w:w="40" w:type="dxa"/>
            </w:tcMar>
          </w:tcPr>
          <w:p w14:paraId="2A73AA7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Diluted earnings per share</w:t>
            </w:r>
          </w:p>
        </w:tc>
        <w:tc>
          <w:tcPr>
            <w:tcW w:w="0" w:type="auto"/>
            <w:shd w:val="clear" w:color="auto" w:fill="EFEFEF"/>
            <w:tcMar>
              <w:top w:w="40" w:type="dxa"/>
              <w:left w:w="40" w:type="dxa"/>
              <w:bottom w:w="40" w:type="dxa"/>
            </w:tcMar>
            <w:vAlign w:val="bottom"/>
          </w:tcPr>
          <w:p w14:paraId="2A73AA7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A7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11.89</w:t>
            </w:r>
          </w:p>
        </w:tc>
        <w:tc>
          <w:tcPr>
            <w:tcW w:w="0" w:type="auto"/>
            <w:shd w:val="clear" w:color="auto" w:fill="EFEFEF"/>
            <w:vAlign w:val="bottom"/>
          </w:tcPr>
          <w:p w14:paraId="2A73AA7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8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A8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A8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11.91</w:t>
            </w:r>
          </w:p>
        </w:tc>
        <w:tc>
          <w:tcPr>
            <w:tcW w:w="0" w:type="auto"/>
            <w:shd w:val="clear" w:color="auto" w:fill="EFEFEF"/>
            <w:vAlign w:val="bottom"/>
          </w:tcPr>
          <w:p w14:paraId="2A73AA8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8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A8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A8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9.21</w:t>
            </w:r>
          </w:p>
        </w:tc>
        <w:tc>
          <w:tcPr>
            <w:tcW w:w="0" w:type="auto"/>
            <w:shd w:val="clear" w:color="auto" w:fill="EFEFEF"/>
            <w:vAlign w:val="bottom"/>
          </w:tcPr>
          <w:p w14:paraId="2A73AA87" w14:textId="77777777" w:rsidR="00FA5565" w:rsidRDefault="00FA5565">
            <w:pPr>
              <w:textAlignment w:val="bottom"/>
              <w:rPr>
                <w:rFonts w:ascii="Times New Roman" w:hAnsi="Times New Roman"/>
                <w:sz w:val="20"/>
                <w:szCs w:val="20"/>
              </w:rPr>
            </w:pPr>
          </w:p>
        </w:tc>
      </w:tr>
    </w:tbl>
    <w:p w14:paraId="2A73AA89" w14:textId="77777777" w:rsidR="00FA5565" w:rsidRDefault="00FA5565">
      <w:pPr>
        <w:spacing w:line="288" w:lineRule="auto"/>
        <w:jc w:val="both"/>
        <w:rPr>
          <w:rFonts w:ascii="Times New Roman" w:hAnsi="Times New Roman"/>
          <w:sz w:val="20"/>
          <w:szCs w:val="20"/>
        </w:rPr>
      </w:pPr>
    </w:p>
    <w:p w14:paraId="2A73AA8A" w14:textId="77777777" w:rsidR="00FA5565" w:rsidRDefault="00FA5565">
      <w:pPr>
        <w:spacing w:line="288" w:lineRule="auto"/>
        <w:jc w:val="both"/>
        <w:rPr>
          <w:rFonts w:ascii="Times New Roman" w:hAnsi="Times New Roman"/>
          <w:sz w:val="18"/>
          <w:szCs w:val="18"/>
        </w:rPr>
      </w:pPr>
    </w:p>
    <w:p w14:paraId="2A73AA8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applies the treasury stock method to </w:t>
      </w:r>
      <w:r>
        <w:rPr>
          <w:rFonts w:ascii="Helvetica" w:eastAsia="Helvetica" w:hAnsi="Helvetica" w:cs="Helvetica"/>
          <w:sz w:val="18"/>
          <w:szCs w:val="18"/>
        </w:rPr>
        <w:t>determine the dilutive effect of potentially dilutive securities. Potentially dilutive securities representing 15.5 million shares of common stock were excluded from the computation of diluted earnings per share for 2019 because their effect would have bee</w:t>
      </w:r>
      <w:r>
        <w:rPr>
          <w:rFonts w:ascii="Helvetica" w:eastAsia="Helvetica" w:hAnsi="Helvetica" w:cs="Helvetica"/>
          <w:sz w:val="18"/>
          <w:szCs w:val="18"/>
        </w:rPr>
        <w:t>n antidilutive.</w:t>
      </w:r>
    </w:p>
    <w:p w14:paraId="2A73AA8C"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Cash Equivalents and Marketable Securities</w:t>
      </w:r>
    </w:p>
    <w:p w14:paraId="2A73AA8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All highly liquid investments with maturities of three months or less at the date of purchase are classified as cash equivalents.</w:t>
      </w:r>
    </w:p>
    <w:p w14:paraId="2A73AA8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investments in marketable debt securities have been c</w:t>
      </w:r>
      <w:r>
        <w:rPr>
          <w:rFonts w:ascii="Helvetica" w:eastAsia="Helvetica" w:hAnsi="Helvetica" w:cs="Helvetica"/>
          <w:sz w:val="18"/>
          <w:szCs w:val="18"/>
        </w:rPr>
        <w:t>lassified and accounted for as available-for-sale. The Company classifies its marketable debt securities as either short-term or long-term based on each instrument’s underlying contractual maturity date. Unrealized gains and losses on marketable debt secur</w:t>
      </w:r>
      <w:r>
        <w:rPr>
          <w:rFonts w:ascii="Helvetica" w:eastAsia="Helvetica" w:hAnsi="Helvetica" w:cs="Helvetica"/>
          <w:sz w:val="18"/>
          <w:szCs w:val="18"/>
        </w:rPr>
        <w:t xml:space="preserve">ities classified as available-for-sale are recognized in other comprehensive income/(loss) (“OCI”). </w:t>
      </w:r>
    </w:p>
    <w:p w14:paraId="2A73AA8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investments in marketable equity securities are classified based on the nature of the securities and their availability for use in current op</w:t>
      </w:r>
      <w:r>
        <w:rPr>
          <w:rFonts w:ascii="Helvetica" w:eastAsia="Helvetica" w:hAnsi="Helvetica" w:cs="Helvetica"/>
          <w:sz w:val="18"/>
          <w:szCs w:val="18"/>
        </w:rPr>
        <w:t>erations. The Company’s marketable equity securities are measured at fair value with gains and losses recognized in other income/(expense), net (“OI&amp;E”).</w:t>
      </w:r>
    </w:p>
    <w:p w14:paraId="2A73AA9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cost of securities sold is determined using the specific identification method.</w:t>
      </w:r>
    </w:p>
    <w:p w14:paraId="2A73AA91"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Inventories</w:t>
      </w:r>
    </w:p>
    <w:p w14:paraId="2A73AA9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Inventories are measured using the first-in, first-out method.</w:t>
      </w:r>
    </w:p>
    <w:p w14:paraId="2A73AA93"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Property, Plant and Equipment</w:t>
      </w:r>
    </w:p>
    <w:p w14:paraId="2A73AA9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Depreciation on property, plant and equipment is recognized on a straight-line basis over the estimated useful lives of the assets, which for buildings</w:t>
      </w:r>
      <w:r>
        <w:rPr>
          <w:rFonts w:ascii="Helvetica" w:eastAsia="Helvetica" w:hAnsi="Helvetica" w:cs="Helvetica"/>
          <w:sz w:val="18"/>
          <w:szCs w:val="18"/>
        </w:rPr>
        <w:t xml:space="preserve"> is the lesser of 30 years or the remaining life of the underlying building; between one and five years for machinery and equipment, including product tooling and manufacturing process equipment; and the shorter of lease term or useful life for leasehold i</w:t>
      </w:r>
      <w:r>
        <w:rPr>
          <w:rFonts w:ascii="Helvetica" w:eastAsia="Helvetica" w:hAnsi="Helvetica" w:cs="Helvetica"/>
          <w:sz w:val="18"/>
          <w:szCs w:val="18"/>
        </w:rPr>
        <w:t xml:space="preserve">mprovements. Capitalized costs related to internal-use software are amortized on a straight-line basis over the estimated useful lives of the assets, which range from three to five years. Depreciation and amortization expense on property and equipment was </w:t>
      </w:r>
      <w:r>
        <w:rPr>
          <w:rFonts w:ascii="Helvetica" w:eastAsia="Helvetica" w:hAnsi="Helvetica" w:cs="Helvetica"/>
          <w:sz w:val="18"/>
          <w:szCs w:val="18"/>
        </w:rPr>
        <w:t>$11.3 billion, $9.3 billion and $8.2 billion during 2019, 2018 and 2017, respectively.</w:t>
      </w:r>
    </w:p>
    <w:p w14:paraId="2A73AA9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Non-cash investing activities involving property, plant and equipment resulted in a net increase/(decrease) to accounts payable and other current liabilities of $(2.9) b</w:t>
      </w:r>
      <w:r>
        <w:rPr>
          <w:rFonts w:ascii="Helvetica" w:eastAsia="Helvetica" w:hAnsi="Helvetica" w:cs="Helvetica"/>
          <w:sz w:val="18"/>
          <w:szCs w:val="18"/>
        </w:rPr>
        <w:t>illion and $3.4 billion during 2019 and 2018, respectively.</w:t>
      </w:r>
    </w:p>
    <w:p w14:paraId="2A73AA96" w14:textId="77777777" w:rsidR="00FA5565" w:rsidRDefault="00FA5565">
      <w:pPr>
        <w:rPr>
          <w:rFonts w:ascii="Times New Roman" w:hAnsi="Times New Roman"/>
          <w:sz w:val="20"/>
          <w:szCs w:val="20"/>
        </w:rPr>
      </w:pPr>
    </w:p>
    <w:p w14:paraId="2A73AA97"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35</w:t>
      </w:r>
    </w:p>
    <w:p w14:paraId="2A73AA98" w14:textId="77777777" w:rsidR="00FA5565" w:rsidRDefault="00D804D1">
      <w:r>
        <w:rPr>
          <w:rFonts w:ascii="Times New Roman" w:hAnsi="Times New Roman"/>
          <w:sz w:val="16"/>
          <w:szCs w:val="16"/>
        </w:rPr>
        <w:pict w14:anchorId="2A73C0BF">
          <v:rect id="_x0000_i1061" style="width:415.3pt;height:1.5pt" o:hralign="center" o:hrstd="t" o:hr="t" fillcolor="#a0a0a0" stroked="f"/>
        </w:pict>
      </w:r>
    </w:p>
    <w:p w14:paraId="2A73AA99" w14:textId="77777777" w:rsidR="00FA5565" w:rsidRDefault="00FA5565">
      <w:pPr>
        <w:rPr>
          <w:rFonts w:ascii="Times New Roman" w:hAnsi="Times New Roman"/>
          <w:sz w:val="20"/>
          <w:szCs w:val="20"/>
        </w:rPr>
      </w:pPr>
    </w:p>
    <w:p w14:paraId="2A73AA9A"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Non-Marketable Securities</w:t>
      </w:r>
    </w:p>
    <w:p w14:paraId="2A73AA9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has elected to apply the measurement alternative to equity securities without readily determinable fair values. As </w:t>
      </w:r>
      <w:r>
        <w:rPr>
          <w:rFonts w:ascii="Helvetica" w:eastAsia="Helvetica" w:hAnsi="Helvetica" w:cs="Helvetica"/>
          <w:sz w:val="18"/>
          <w:szCs w:val="18"/>
        </w:rPr>
        <w:t>such, the Company’s non-marketable equity securities are measured at cost, less any impairment, and are adjusted for changes in fair value resulting from observable transactions for identical or similar investments of the same issuer. Gains and losses on n</w:t>
      </w:r>
      <w:r>
        <w:rPr>
          <w:rFonts w:ascii="Helvetica" w:eastAsia="Helvetica" w:hAnsi="Helvetica" w:cs="Helvetica"/>
          <w:sz w:val="18"/>
          <w:szCs w:val="18"/>
        </w:rPr>
        <w:t>on-marketable equity securities are recognized in OI&amp;E.</w:t>
      </w:r>
    </w:p>
    <w:p w14:paraId="2A73AA9C"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Restricted Cash and Restricted Marketable Securities</w:t>
      </w:r>
    </w:p>
    <w:p w14:paraId="2A73AA9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considers cash and marketable securities to be restricted when withdrawal or general use is legally restricted. The Company records res</w:t>
      </w:r>
      <w:r>
        <w:rPr>
          <w:rFonts w:ascii="Helvetica" w:eastAsia="Helvetica" w:hAnsi="Helvetica" w:cs="Helvetica"/>
          <w:sz w:val="18"/>
          <w:szCs w:val="18"/>
        </w:rPr>
        <w:t>tricted cash as other assets in the Consolidated Balance Sheets, and determines current or non-current classification based on the expected duration of the restriction. The Company records restricted marketable securities as current or non-current marketab</w:t>
      </w:r>
      <w:r>
        <w:rPr>
          <w:rFonts w:ascii="Helvetica" w:eastAsia="Helvetica" w:hAnsi="Helvetica" w:cs="Helvetica"/>
          <w:sz w:val="18"/>
          <w:szCs w:val="18"/>
        </w:rPr>
        <w:t>le securities in the Consolidated Balance Sheets based on the classification of the underlying securities.</w:t>
      </w:r>
    </w:p>
    <w:p w14:paraId="2A73AA9E"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Fair Value Measurements</w:t>
      </w:r>
    </w:p>
    <w:p w14:paraId="2A73AA9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fair values of the Company’s money market funds and certain marketable equity securities are based on quoted prices in ac</w:t>
      </w:r>
      <w:r>
        <w:rPr>
          <w:rFonts w:ascii="Helvetica" w:eastAsia="Helvetica" w:hAnsi="Helvetica" w:cs="Helvetica"/>
          <w:sz w:val="18"/>
          <w:szCs w:val="18"/>
        </w:rPr>
        <w:t>tive markets for identical assets. The valuation techniques used to measure the fair value of the Company’s debt instruments and all other financial instruments, which generally have counterparties with high credit ratings, are based on quoted market price</w:t>
      </w:r>
      <w:r>
        <w:rPr>
          <w:rFonts w:ascii="Helvetica" w:eastAsia="Helvetica" w:hAnsi="Helvetica" w:cs="Helvetica"/>
          <w:sz w:val="18"/>
          <w:szCs w:val="18"/>
        </w:rPr>
        <w:t>s or model-driven valuations using significant inputs derived from or corroborated by observable market data.</w:t>
      </w:r>
    </w:p>
    <w:p w14:paraId="2A73AAA0"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Note 2 – Revenue Recognition</w:t>
      </w:r>
    </w:p>
    <w:p w14:paraId="2A73AAA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Net sales consist of revenue from the sale of iPhone, Mac, iPad, Services and other products. The Company recognizes </w:t>
      </w:r>
      <w:r>
        <w:rPr>
          <w:rFonts w:ascii="Helvetica" w:eastAsia="Helvetica" w:hAnsi="Helvetica" w:cs="Helvetica"/>
          <w:sz w:val="18"/>
          <w:szCs w:val="18"/>
        </w:rPr>
        <w:t>revenue at the amount to which it expects to be entitled when control of the products or services is transferred to its customers. Control is generally transferred when the Company has a present right to payment and title and the significant risks and rewa</w:t>
      </w:r>
      <w:r>
        <w:rPr>
          <w:rFonts w:ascii="Helvetica" w:eastAsia="Helvetica" w:hAnsi="Helvetica" w:cs="Helvetica"/>
          <w:sz w:val="18"/>
          <w:szCs w:val="18"/>
        </w:rPr>
        <w:t>rds of ownership of products or services are transferred to its customers. For most of the Company’s Products net sales, control transfers when products are shipped. For the Company’s Services net sales, control transfers over time as services are delivere</w:t>
      </w:r>
      <w:r>
        <w:rPr>
          <w:rFonts w:ascii="Helvetica" w:eastAsia="Helvetica" w:hAnsi="Helvetica" w:cs="Helvetica"/>
          <w:sz w:val="18"/>
          <w:szCs w:val="18"/>
        </w:rPr>
        <w:t>d. Payment for Products and Services net sales is collected within a short period following transfer of control or commencement of delivery of services, as applicable.</w:t>
      </w:r>
    </w:p>
    <w:p w14:paraId="2A73AAA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records reductions to Products net sales related to future product returns, </w:t>
      </w:r>
      <w:r>
        <w:rPr>
          <w:rFonts w:ascii="Helvetica" w:eastAsia="Helvetica" w:hAnsi="Helvetica" w:cs="Helvetica"/>
          <w:sz w:val="18"/>
          <w:szCs w:val="18"/>
        </w:rPr>
        <w:t>price protection and other customer incentive programs based on the Company’s expectations and historical experience.</w:t>
      </w:r>
    </w:p>
    <w:p w14:paraId="2A73AAA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For arrangements with multiple performance obligations, which represent promises within an arrangement that are capable of being distinct,</w:t>
      </w:r>
      <w:r>
        <w:rPr>
          <w:rFonts w:ascii="Helvetica" w:eastAsia="Helvetica" w:hAnsi="Helvetica" w:cs="Helvetica"/>
          <w:sz w:val="18"/>
          <w:szCs w:val="18"/>
        </w:rPr>
        <w:t xml:space="preserve"> the Company allocates revenue to all distinct performance obligations based on their relative stand-alone selling prices (“SSPs”). When available, the Company uses observable prices to determine SSPs. When observable prices are not available, SSPs are est</w:t>
      </w:r>
      <w:r>
        <w:rPr>
          <w:rFonts w:ascii="Helvetica" w:eastAsia="Helvetica" w:hAnsi="Helvetica" w:cs="Helvetica"/>
          <w:sz w:val="18"/>
          <w:szCs w:val="18"/>
        </w:rPr>
        <w:t>ablished that reflect the Company’s best estimates of what the selling prices of the performance obligations would be if they were sold regularly on a stand-alone basis. The Company’s process for estimating SSPs without observable prices considers multiple</w:t>
      </w:r>
      <w:r>
        <w:rPr>
          <w:rFonts w:ascii="Helvetica" w:eastAsia="Helvetica" w:hAnsi="Helvetica" w:cs="Helvetica"/>
          <w:sz w:val="18"/>
          <w:szCs w:val="18"/>
        </w:rPr>
        <w:t xml:space="preserve"> factors that may vary depending upon the unique facts and circumstances related to each performance obligation including, where applicable, prices charged by the Company for similar offerings, market trends in the pricing for similar offerings, product-sp</w:t>
      </w:r>
      <w:r>
        <w:rPr>
          <w:rFonts w:ascii="Helvetica" w:eastAsia="Helvetica" w:hAnsi="Helvetica" w:cs="Helvetica"/>
          <w:sz w:val="18"/>
          <w:szCs w:val="18"/>
        </w:rPr>
        <w:t>ecific business objectives and the estimated cost to provide the performance obligation.</w:t>
      </w:r>
    </w:p>
    <w:p w14:paraId="2A73AAA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identified up to three performance obligations regularly included in arrangements involving the sale of iPhone, Mac, iPad and certain other products. T</w:t>
      </w:r>
      <w:r>
        <w:rPr>
          <w:rFonts w:ascii="Helvetica" w:eastAsia="Helvetica" w:hAnsi="Helvetica" w:cs="Helvetica"/>
          <w:sz w:val="18"/>
          <w:szCs w:val="18"/>
        </w:rPr>
        <w:t>he first performance obligation, which represents the substantial portion of the allocated sales price, is the hardware and bundled software delivered at the time of sale. The second performance obligation is the right to receive certain product-related bu</w:t>
      </w:r>
      <w:r>
        <w:rPr>
          <w:rFonts w:ascii="Helvetica" w:eastAsia="Helvetica" w:hAnsi="Helvetica" w:cs="Helvetica"/>
          <w:sz w:val="18"/>
          <w:szCs w:val="18"/>
        </w:rPr>
        <w:t>ndled services, which include iCloud, Siri and Maps. The third performance obligation is the right to receive, on a when-and-if-available basis, future unspecified software upgrades relating to the software bundled with each device. The Company allocates r</w:t>
      </w:r>
      <w:r>
        <w:rPr>
          <w:rFonts w:ascii="Helvetica" w:eastAsia="Helvetica" w:hAnsi="Helvetica" w:cs="Helvetica"/>
          <w:sz w:val="18"/>
          <w:szCs w:val="18"/>
        </w:rPr>
        <w:t>evenue and any related discounts to these performance obligations based on their relative SSPs. Because the Company lacks observable prices for the undelivered performance obligations, the allocation of revenue is based on the Company’s estimated SSPs. Rev</w:t>
      </w:r>
      <w:r>
        <w:rPr>
          <w:rFonts w:ascii="Helvetica" w:eastAsia="Helvetica" w:hAnsi="Helvetica" w:cs="Helvetica"/>
          <w:sz w:val="18"/>
          <w:szCs w:val="18"/>
        </w:rPr>
        <w:t>enue allocated to the delivered hardware and bundled software is recognized when control has transferred to the customer, which generally occurs when the product is shipped. Revenue allocated to the product-related bundled services and unspecified software</w:t>
      </w:r>
      <w:r>
        <w:rPr>
          <w:rFonts w:ascii="Helvetica" w:eastAsia="Helvetica" w:hAnsi="Helvetica" w:cs="Helvetica"/>
          <w:sz w:val="18"/>
          <w:szCs w:val="18"/>
        </w:rPr>
        <w:t xml:space="preserve"> upgrade rights is deferred and recognized on a straight-line basis over the estimated period they are expected to be provided. Cost of sales related to delivered hardware and bundled software, including estimated warranty costs, are recognized at the time</w:t>
      </w:r>
      <w:r>
        <w:rPr>
          <w:rFonts w:ascii="Helvetica" w:eastAsia="Helvetica" w:hAnsi="Helvetica" w:cs="Helvetica"/>
          <w:sz w:val="18"/>
          <w:szCs w:val="18"/>
        </w:rPr>
        <w:t xml:space="preserve"> of sale. Costs incurred to provide product-related bundled services and unspecified software upgrade rights are recognized as cost of sales as incurred.</w:t>
      </w:r>
    </w:p>
    <w:p w14:paraId="2A73AAA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For certain long-term service arrangements, the Company has performance obligations for services it ha</w:t>
      </w:r>
      <w:r>
        <w:rPr>
          <w:rFonts w:ascii="Helvetica" w:eastAsia="Helvetica" w:hAnsi="Helvetica" w:cs="Helvetica"/>
          <w:sz w:val="18"/>
          <w:szCs w:val="18"/>
        </w:rPr>
        <w:t>s not yet delivered. For these arrangements, the Company does not have a right to bill for the undelivered services. The Company has determined that any unbilled consideration relates entirely to the value of the undelivered services. Accordingly, the Comp</w:t>
      </w:r>
      <w:r>
        <w:rPr>
          <w:rFonts w:ascii="Helvetica" w:eastAsia="Helvetica" w:hAnsi="Helvetica" w:cs="Helvetica"/>
          <w:sz w:val="18"/>
          <w:szCs w:val="18"/>
        </w:rPr>
        <w:t>any has not recognized revenue, and has elected not to disclose amounts, related to these undelivered services.</w:t>
      </w:r>
    </w:p>
    <w:p w14:paraId="2A73AAA6" w14:textId="77777777" w:rsidR="00FA5565" w:rsidRDefault="00FA5565">
      <w:pPr>
        <w:rPr>
          <w:rFonts w:ascii="Times New Roman" w:hAnsi="Times New Roman"/>
          <w:sz w:val="20"/>
          <w:szCs w:val="20"/>
        </w:rPr>
      </w:pPr>
    </w:p>
    <w:p w14:paraId="2A73AAA7"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36</w:t>
      </w:r>
    </w:p>
    <w:p w14:paraId="2A73AAA8" w14:textId="77777777" w:rsidR="00FA5565" w:rsidRDefault="00D804D1">
      <w:r>
        <w:rPr>
          <w:rFonts w:ascii="Times New Roman" w:hAnsi="Times New Roman"/>
          <w:sz w:val="16"/>
          <w:szCs w:val="16"/>
        </w:rPr>
        <w:pict w14:anchorId="2A73C0C0">
          <v:rect id="_x0000_i1062" style="width:415.3pt;height:1.5pt" o:hralign="center" o:hrstd="t" o:hr="t" fillcolor="#a0a0a0" stroked="f"/>
        </w:pict>
      </w:r>
    </w:p>
    <w:p w14:paraId="2A73AAA9" w14:textId="77777777" w:rsidR="00FA5565" w:rsidRDefault="00FA5565">
      <w:pPr>
        <w:rPr>
          <w:rFonts w:ascii="Times New Roman" w:hAnsi="Times New Roman"/>
          <w:sz w:val="20"/>
          <w:szCs w:val="20"/>
        </w:rPr>
      </w:pPr>
    </w:p>
    <w:p w14:paraId="2A73AAA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For the sale of third-party products where the Company obtains control of the product before transferring i</w:t>
      </w:r>
      <w:r>
        <w:rPr>
          <w:rFonts w:ascii="Helvetica" w:eastAsia="Helvetica" w:hAnsi="Helvetica" w:cs="Helvetica"/>
          <w:sz w:val="18"/>
          <w:szCs w:val="18"/>
        </w:rPr>
        <w:t xml:space="preserve">t to the customer, the Company recognizes revenue based on the gross amount billed to customers. The Company considers multiple factors when determining whether it obtains control of third-party products including, but not limited to, evaluating if it can </w:t>
      </w:r>
      <w:r>
        <w:rPr>
          <w:rFonts w:ascii="Helvetica" w:eastAsia="Helvetica" w:hAnsi="Helvetica" w:cs="Helvetica"/>
          <w:sz w:val="18"/>
          <w:szCs w:val="18"/>
        </w:rPr>
        <w:t>establish the price of the product, retains inventory risk for tangible products or has the responsibility for ensuring acceptability of the product. For third-party applications sold through the App Store, Mac App Store, TV App Store and Watch App Store a</w:t>
      </w:r>
      <w:r>
        <w:rPr>
          <w:rFonts w:ascii="Helvetica" w:eastAsia="Helvetica" w:hAnsi="Helvetica" w:cs="Helvetica"/>
          <w:sz w:val="18"/>
          <w:szCs w:val="18"/>
        </w:rPr>
        <w:t>nd certain digital content sold through the Company’s other digital content stores, the Company does not obtain control of the product before transferring it to the customer. Therefore, the Company accounts for such sales on a net basis by recognizing in S</w:t>
      </w:r>
      <w:r>
        <w:rPr>
          <w:rFonts w:ascii="Helvetica" w:eastAsia="Helvetica" w:hAnsi="Helvetica" w:cs="Helvetica"/>
          <w:sz w:val="18"/>
          <w:szCs w:val="18"/>
        </w:rPr>
        <w:t>ervices net sales only the commission it retains.</w:t>
      </w:r>
    </w:p>
    <w:p w14:paraId="2A73AAA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has elected to record revenue net of taxes collected from customers that are remitted to governmental authorities, with the collected taxes recorded within other current liabilities until </w:t>
      </w:r>
      <w:r>
        <w:rPr>
          <w:rFonts w:ascii="Helvetica" w:eastAsia="Helvetica" w:hAnsi="Helvetica" w:cs="Helvetica"/>
          <w:sz w:val="18"/>
          <w:szCs w:val="18"/>
        </w:rPr>
        <w:t>remitted to the relevant government authority.</w:t>
      </w:r>
    </w:p>
    <w:p w14:paraId="2A73AAAC"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Deferred Revenue</w:t>
      </w:r>
    </w:p>
    <w:p w14:paraId="2A73AAA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As of September 28, 2019 and September 29, 2018, the Company had total deferred revenue of $8.1 billion and $8.8 billion, respectively. As of September 28, 2019, the Company expects 68% of tot</w:t>
      </w:r>
      <w:r>
        <w:rPr>
          <w:rFonts w:ascii="Helvetica" w:eastAsia="Helvetica" w:hAnsi="Helvetica" w:cs="Helvetica"/>
          <w:sz w:val="18"/>
          <w:szCs w:val="18"/>
        </w:rPr>
        <w:t>al deferred revenue to be realized in less than a year, 25% within one-to-two years, 6% within two-to-three years and 1% in greater than three years.</w:t>
      </w:r>
    </w:p>
    <w:p w14:paraId="2A73AAAE"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Disaggregated Revenue</w:t>
      </w:r>
    </w:p>
    <w:p w14:paraId="2A73AAA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Net sales disaggregated by significant products and services for 2019, 2018 and 2017</w:t>
      </w:r>
      <w:r>
        <w:rPr>
          <w:rFonts w:ascii="Helvetica" w:eastAsia="Helvetica" w:hAnsi="Helvetica" w:cs="Helvetica"/>
          <w:sz w:val="18"/>
          <w:szCs w:val="18"/>
        </w:rPr>
        <w:t xml:space="preserve"> were as follows (in millions):</w:t>
      </w:r>
    </w:p>
    <w:tbl>
      <w:tblPr>
        <w:tblW w:w="5000" w:type="pct"/>
        <w:tblCellMar>
          <w:left w:w="0" w:type="dxa"/>
          <w:right w:w="0" w:type="dxa"/>
        </w:tblCellMar>
        <w:tblLook w:val="04A0" w:firstRow="1" w:lastRow="0" w:firstColumn="1" w:lastColumn="0" w:noHBand="0" w:noVBand="1"/>
      </w:tblPr>
      <w:tblGrid>
        <w:gridCol w:w="4862"/>
        <w:gridCol w:w="141"/>
        <w:gridCol w:w="875"/>
        <w:gridCol w:w="44"/>
        <w:gridCol w:w="130"/>
        <w:gridCol w:w="141"/>
        <w:gridCol w:w="876"/>
        <w:gridCol w:w="45"/>
        <w:gridCol w:w="130"/>
        <w:gridCol w:w="141"/>
        <w:gridCol w:w="876"/>
        <w:gridCol w:w="45"/>
      </w:tblGrid>
      <w:tr w:rsidR="00FA5565" w14:paraId="2A73AAB1" w14:textId="77777777">
        <w:tc>
          <w:tcPr>
            <w:tcW w:w="0" w:type="auto"/>
            <w:gridSpan w:val="12"/>
            <w:shd w:val="clear" w:color="auto" w:fill="auto"/>
            <w:vAlign w:val="center"/>
          </w:tcPr>
          <w:p w14:paraId="2A73AAB0" w14:textId="77777777" w:rsidR="00FA5565" w:rsidRDefault="00FA5565">
            <w:pPr>
              <w:rPr>
                <w:rFonts w:ascii="Times New Roman" w:hAnsi="Times New Roman"/>
                <w:sz w:val="20"/>
                <w:szCs w:val="20"/>
              </w:rPr>
            </w:pPr>
          </w:p>
        </w:tc>
      </w:tr>
      <w:tr w:rsidR="00FA5565" w14:paraId="2A73AABE" w14:textId="77777777">
        <w:tc>
          <w:tcPr>
            <w:tcW w:w="2950" w:type="pct"/>
            <w:shd w:val="clear" w:color="auto" w:fill="auto"/>
            <w:vAlign w:val="center"/>
          </w:tcPr>
          <w:p w14:paraId="2A73AAB2" w14:textId="77777777" w:rsidR="00FA5565" w:rsidRDefault="00FA5565">
            <w:pPr>
              <w:rPr>
                <w:rFonts w:ascii="Times New Roman" w:hAnsi="Times New Roman"/>
                <w:sz w:val="20"/>
                <w:szCs w:val="20"/>
              </w:rPr>
            </w:pPr>
          </w:p>
        </w:tc>
        <w:tc>
          <w:tcPr>
            <w:tcW w:w="50" w:type="pct"/>
            <w:shd w:val="clear" w:color="auto" w:fill="auto"/>
            <w:vAlign w:val="center"/>
          </w:tcPr>
          <w:p w14:paraId="2A73AAB3" w14:textId="77777777" w:rsidR="00FA5565" w:rsidRDefault="00FA5565">
            <w:pPr>
              <w:rPr>
                <w:rFonts w:ascii="Times New Roman" w:hAnsi="Times New Roman"/>
                <w:sz w:val="20"/>
                <w:szCs w:val="20"/>
              </w:rPr>
            </w:pPr>
          </w:p>
        </w:tc>
        <w:tc>
          <w:tcPr>
            <w:tcW w:w="550" w:type="pct"/>
            <w:shd w:val="clear" w:color="auto" w:fill="auto"/>
            <w:vAlign w:val="center"/>
          </w:tcPr>
          <w:p w14:paraId="2A73AAB4" w14:textId="77777777" w:rsidR="00FA5565" w:rsidRDefault="00FA5565">
            <w:pPr>
              <w:rPr>
                <w:rFonts w:ascii="Times New Roman" w:hAnsi="Times New Roman"/>
                <w:sz w:val="20"/>
                <w:szCs w:val="20"/>
              </w:rPr>
            </w:pPr>
          </w:p>
        </w:tc>
        <w:tc>
          <w:tcPr>
            <w:tcW w:w="50" w:type="pct"/>
            <w:shd w:val="clear" w:color="auto" w:fill="auto"/>
            <w:vAlign w:val="center"/>
          </w:tcPr>
          <w:p w14:paraId="2A73AAB5" w14:textId="77777777" w:rsidR="00FA5565" w:rsidRDefault="00FA5565">
            <w:pPr>
              <w:rPr>
                <w:rFonts w:ascii="Times New Roman" w:hAnsi="Times New Roman"/>
                <w:sz w:val="20"/>
                <w:szCs w:val="20"/>
              </w:rPr>
            </w:pPr>
          </w:p>
        </w:tc>
        <w:tc>
          <w:tcPr>
            <w:tcW w:w="50" w:type="pct"/>
            <w:shd w:val="clear" w:color="auto" w:fill="auto"/>
            <w:vAlign w:val="center"/>
          </w:tcPr>
          <w:p w14:paraId="2A73AAB6" w14:textId="77777777" w:rsidR="00FA5565" w:rsidRDefault="00FA5565">
            <w:pPr>
              <w:rPr>
                <w:rFonts w:ascii="Times New Roman" w:hAnsi="Times New Roman"/>
                <w:sz w:val="20"/>
                <w:szCs w:val="20"/>
              </w:rPr>
            </w:pPr>
          </w:p>
        </w:tc>
        <w:tc>
          <w:tcPr>
            <w:tcW w:w="50" w:type="pct"/>
            <w:shd w:val="clear" w:color="auto" w:fill="auto"/>
            <w:vAlign w:val="center"/>
          </w:tcPr>
          <w:p w14:paraId="2A73AAB7" w14:textId="77777777" w:rsidR="00FA5565" w:rsidRDefault="00FA5565">
            <w:pPr>
              <w:rPr>
                <w:rFonts w:ascii="Times New Roman" w:hAnsi="Times New Roman"/>
                <w:sz w:val="20"/>
                <w:szCs w:val="20"/>
              </w:rPr>
            </w:pPr>
          </w:p>
        </w:tc>
        <w:tc>
          <w:tcPr>
            <w:tcW w:w="550" w:type="pct"/>
            <w:shd w:val="clear" w:color="auto" w:fill="auto"/>
            <w:vAlign w:val="center"/>
          </w:tcPr>
          <w:p w14:paraId="2A73AAB8" w14:textId="77777777" w:rsidR="00FA5565" w:rsidRDefault="00FA5565">
            <w:pPr>
              <w:rPr>
                <w:rFonts w:ascii="Times New Roman" w:hAnsi="Times New Roman"/>
                <w:sz w:val="20"/>
                <w:szCs w:val="20"/>
              </w:rPr>
            </w:pPr>
          </w:p>
        </w:tc>
        <w:tc>
          <w:tcPr>
            <w:tcW w:w="50" w:type="pct"/>
            <w:shd w:val="clear" w:color="auto" w:fill="auto"/>
            <w:vAlign w:val="center"/>
          </w:tcPr>
          <w:p w14:paraId="2A73AAB9" w14:textId="77777777" w:rsidR="00FA5565" w:rsidRDefault="00FA5565">
            <w:pPr>
              <w:rPr>
                <w:rFonts w:ascii="Times New Roman" w:hAnsi="Times New Roman"/>
                <w:sz w:val="20"/>
                <w:szCs w:val="20"/>
              </w:rPr>
            </w:pPr>
          </w:p>
        </w:tc>
        <w:tc>
          <w:tcPr>
            <w:tcW w:w="50" w:type="pct"/>
            <w:shd w:val="clear" w:color="auto" w:fill="auto"/>
            <w:vAlign w:val="center"/>
          </w:tcPr>
          <w:p w14:paraId="2A73AABA" w14:textId="77777777" w:rsidR="00FA5565" w:rsidRDefault="00FA5565">
            <w:pPr>
              <w:rPr>
                <w:rFonts w:ascii="Times New Roman" w:hAnsi="Times New Roman"/>
                <w:sz w:val="20"/>
                <w:szCs w:val="20"/>
              </w:rPr>
            </w:pPr>
          </w:p>
        </w:tc>
        <w:tc>
          <w:tcPr>
            <w:tcW w:w="50" w:type="pct"/>
            <w:shd w:val="clear" w:color="auto" w:fill="auto"/>
            <w:vAlign w:val="center"/>
          </w:tcPr>
          <w:p w14:paraId="2A73AABB" w14:textId="77777777" w:rsidR="00FA5565" w:rsidRDefault="00FA5565">
            <w:pPr>
              <w:rPr>
                <w:rFonts w:ascii="Times New Roman" w:hAnsi="Times New Roman"/>
                <w:sz w:val="20"/>
                <w:szCs w:val="20"/>
              </w:rPr>
            </w:pPr>
          </w:p>
        </w:tc>
        <w:tc>
          <w:tcPr>
            <w:tcW w:w="550" w:type="pct"/>
            <w:shd w:val="clear" w:color="auto" w:fill="auto"/>
            <w:vAlign w:val="center"/>
          </w:tcPr>
          <w:p w14:paraId="2A73AABC" w14:textId="77777777" w:rsidR="00FA5565" w:rsidRDefault="00FA5565">
            <w:pPr>
              <w:rPr>
                <w:rFonts w:ascii="Times New Roman" w:hAnsi="Times New Roman"/>
                <w:sz w:val="20"/>
                <w:szCs w:val="20"/>
              </w:rPr>
            </w:pPr>
          </w:p>
        </w:tc>
        <w:tc>
          <w:tcPr>
            <w:tcW w:w="50" w:type="pct"/>
            <w:shd w:val="clear" w:color="auto" w:fill="auto"/>
            <w:vAlign w:val="center"/>
          </w:tcPr>
          <w:p w14:paraId="2A73AABD" w14:textId="77777777" w:rsidR="00FA5565" w:rsidRDefault="00FA5565">
            <w:pPr>
              <w:rPr>
                <w:rFonts w:ascii="Times New Roman" w:hAnsi="Times New Roman"/>
                <w:sz w:val="20"/>
                <w:szCs w:val="20"/>
              </w:rPr>
            </w:pPr>
          </w:p>
        </w:tc>
      </w:tr>
      <w:tr w:rsidR="00FA5565" w14:paraId="2A73AAC5" w14:textId="77777777">
        <w:tc>
          <w:tcPr>
            <w:tcW w:w="0" w:type="auto"/>
            <w:shd w:val="clear" w:color="auto" w:fill="auto"/>
            <w:tcMar>
              <w:top w:w="40" w:type="dxa"/>
              <w:left w:w="40" w:type="dxa"/>
              <w:bottom w:w="40" w:type="dxa"/>
              <w:right w:w="40" w:type="dxa"/>
            </w:tcMar>
            <w:vAlign w:val="bottom"/>
          </w:tcPr>
          <w:p w14:paraId="2A73AAB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AC0"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AA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AC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AA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AC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AAD2" w14:textId="77777777">
        <w:tc>
          <w:tcPr>
            <w:tcW w:w="0" w:type="auto"/>
            <w:shd w:val="clear" w:color="auto" w:fill="auto"/>
            <w:tcMar>
              <w:top w:w="40" w:type="dxa"/>
              <w:left w:w="40" w:type="dxa"/>
              <w:bottom w:w="40" w:type="dxa"/>
              <w:right w:w="40" w:type="dxa"/>
            </w:tcMar>
            <w:vAlign w:val="bottom"/>
          </w:tcPr>
          <w:p w14:paraId="2A73AAC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iPhone (1)</w:t>
            </w:r>
          </w:p>
        </w:tc>
        <w:tc>
          <w:tcPr>
            <w:tcW w:w="0" w:type="auto"/>
            <w:tcBorders>
              <w:top w:val="single" w:sz="8" w:space="0" w:color="000000"/>
            </w:tcBorders>
            <w:shd w:val="clear" w:color="auto" w:fill="auto"/>
            <w:tcMar>
              <w:top w:w="40" w:type="dxa"/>
              <w:left w:w="40" w:type="dxa"/>
              <w:bottom w:w="40" w:type="dxa"/>
            </w:tcMar>
            <w:vAlign w:val="bottom"/>
          </w:tcPr>
          <w:p w14:paraId="2A73AAC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AC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142,381</w:t>
            </w:r>
          </w:p>
        </w:tc>
        <w:tc>
          <w:tcPr>
            <w:tcW w:w="0" w:type="auto"/>
            <w:tcBorders>
              <w:top w:val="single" w:sz="8" w:space="0" w:color="000000"/>
            </w:tcBorders>
            <w:shd w:val="clear" w:color="auto" w:fill="auto"/>
            <w:vAlign w:val="bottom"/>
          </w:tcPr>
          <w:p w14:paraId="2A73AAC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C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AC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AC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164,888</w:t>
            </w:r>
          </w:p>
        </w:tc>
        <w:tc>
          <w:tcPr>
            <w:tcW w:w="0" w:type="auto"/>
            <w:tcBorders>
              <w:top w:val="single" w:sz="8" w:space="0" w:color="000000"/>
            </w:tcBorders>
            <w:shd w:val="clear" w:color="auto" w:fill="auto"/>
            <w:vAlign w:val="bottom"/>
          </w:tcPr>
          <w:p w14:paraId="2A73AAC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C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AC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AD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139,337</w:t>
            </w:r>
          </w:p>
        </w:tc>
        <w:tc>
          <w:tcPr>
            <w:tcW w:w="0" w:type="auto"/>
            <w:tcBorders>
              <w:top w:val="single" w:sz="8" w:space="0" w:color="000000"/>
            </w:tcBorders>
            <w:shd w:val="clear" w:color="auto" w:fill="auto"/>
            <w:vAlign w:val="bottom"/>
          </w:tcPr>
          <w:p w14:paraId="2A73AAD1" w14:textId="77777777" w:rsidR="00FA5565" w:rsidRDefault="00FA5565">
            <w:pPr>
              <w:textAlignment w:val="bottom"/>
              <w:rPr>
                <w:rFonts w:ascii="Times New Roman" w:hAnsi="Times New Roman"/>
                <w:sz w:val="20"/>
                <w:szCs w:val="20"/>
              </w:rPr>
            </w:pPr>
          </w:p>
        </w:tc>
      </w:tr>
      <w:tr w:rsidR="00FA5565" w14:paraId="2A73AADC" w14:textId="77777777">
        <w:tc>
          <w:tcPr>
            <w:tcW w:w="0" w:type="auto"/>
            <w:shd w:val="clear" w:color="auto" w:fill="EFEFEF"/>
            <w:tcMar>
              <w:top w:w="40" w:type="dxa"/>
              <w:left w:w="40" w:type="dxa"/>
              <w:bottom w:w="40" w:type="dxa"/>
              <w:right w:w="40" w:type="dxa"/>
            </w:tcMar>
            <w:vAlign w:val="bottom"/>
          </w:tcPr>
          <w:p w14:paraId="2A73AAD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Mac (1)</w:t>
            </w:r>
          </w:p>
        </w:tc>
        <w:tc>
          <w:tcPr>
            <w:tcW w:w="0" w:type="auto"/>
            <w:gridSpan w:val="2"/>
            <w:shd w:val="clear" w:color="auto" w:fill="EFEFEF"/>
            <w:tcMar>
              <w:top w:w="40" w:type="dxa"/>
              <w:left w:w="40" w:type="dxa"/>
              <w:bottom w:w="40" w:type="dxa"/>
            </w:tcMar>
            <w:vAlign w:val="bottom"/>
          </w:tcPr>
          <w:p w14:paraId="2A73AAD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25,740</w:t>
            </w:r>
          </w:p>
        </w:tc>
        <w:tc>
          <w:tcPr>
            <w:tcW w:w="0" w:type="auto"/>
            <w:shd w:val="clear" w:color="auto" w:fill="EFEFEF"/>
            <w:vAlign w:val="bottom"/>
          </w:tcPr>
          <w:p w14:paraId="2A73AAD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D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AD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25,198</w:t>
            </w:r>
          </w:p>
        </w:tc>
        <w:tc>
          <w:tcPr>
            <w:tcW w:w="0" w:type="auto"/>
            <w:shd w:val="clear" w:color="auto" w:fill="EFEFEF"/>
            <w:vAlign w:val="bottom"/>
          </w:tcPr>
          <w:p w14:paraId="2A73AAD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D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AD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25,569</w:t>
            </w:r>
          </w:p>
        </w:tc>
        <w:tc>
          <w:tcPr>
            <w:tcW w:w="0" w:type="auto"/>
            <w:shd w:val="clear" w:color="auto" w:fill="EFEFEF"/>
            <w:vAlign w:val="bottom"/>
          </w:tcPr>
          <w:p w14:paraId="2A73AADB" w14:textId="77777777" w:rsidR="00FA5565" w:rsidRDefault="00FA5565">
            <w:pPr>
              <w:textAlignment w:val="bottom"/>
              <w:rPr>
                <w:rFonts w:ascii="Times New Roman" w:hAnsi="Times New Roman"/>
                <w:sz w:val="20"/>
                <w:szCs w:val="20"/>
              </w:rPr>
            </w:pPr>
          </w:p>
        </w:tc>
      </w:tr>
      <w:tr w:rsidR="00FA5565" w14:paraId="2A73AAE6" w14:textId="77777777">
        <w:tc>
          <w:tcPr>
            <w:tcW w:w="0" w:type="auto"/>
            <w:shd w:val="clear" w:color="auto" w:fill="auto"/>
            <w:tcMar>
              <w:top w:w="40" w:type="dxa"/>
              <w:left w:w="40" w:type="dxa"/>
              <w:bottom w:w="40" w:type="dxa"/>
              <w:right w:w="40" w:type="dxa"/>
            </w:tcMar>
            <w:vAlign w:val="bottom"/>
          </w:tcPr>
          <w:p w14:paraId="2A73AAD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iPad (1)</w:t>
            </w:r>
          </w:p>
        </w:tc>
        <w:tc>
          <w:tcPr>
            <w:tcW w:w="0" w:type="auto"/>
            <w:gridSpan w:val="2"/>
            <w:shd w:val="clear" w:color="auto" w:fill="auto"/>
            <w:tcMar>
              <w:top w:w="40" w:type="dxa"/>
              <w:left w:w="40" w:type="dxa"/>
              <w:bottom w:w="40" w:type="dxa"/>
            </w:tcMar>
            <w:vAlign w:val="bottom"/>
          </w:tcPr>
          <w:p w14:paraId="2A73AAD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21,280</w:t>
            </w:r>
          </w:p>
        </w:tc>
        <w:tc>
          <w:tcPr>
            <w:tcW w:w="0" w:type="auto"/>
            <w:shd w:val="clear" w:color="auto" w:fill="auto"/>
            <w:vAlign w:val="bottom"/>
          </w:tcPr>
          <w:p w14:paraId="2A73AAD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E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AE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18,380</w:t>
            </w:r>
          </w:p>
        </w:tc>
        <w:tc>
          <w:tcPr>
            <w:tcW w:w="0" w:type="auto"/>
            <w:shd w:val="clear" w:color="auto" w:fill="auto"/>
            <w:vAlign w:val="bottom"/>
          </w:tcPr>
          <w:p w14:paraId="2A73AAE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E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AE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18,802</w:t>
            </w:r>
          </w:p>
        </w:tc>
        <w:tc>
          <w:tcPr>
            <w:tcW w:w="0" w:type="auto"/>
            <w:shd w:val="clear" w:color="auto" w:fill="auto"/>
            <w:vAlign w:val="bottom"/>
          </w:tcPr>
          <w:p w14:paraId="2A73AAE5" w14:textId="77777777" w:rsidR="00FA5565" w:rsidRDefault="00FA5565">
            <w:pPr>
              <w:textAlignment w:val="bottom"/>
              <w:rPr>
                <w:rFonts w:ascii="Times New Roman" w:hAnsi="Times New Roman"/>
                <w:sz w:val="20"/>
                <w:szCs w:val="20"/>
              </w:rPr>
            </w:pPr>
          </w:p>
        </w:tc>
      </w:tr>
      <w:tr w:rsidR="00FA5565" w14:paraId="2A73AAF0" w14:textId="77777777">
        <w:tc>
          <w:tcPr>
            <w:tcW w:w="0" w:type="auto"/>
            <w:shd w:val="clear" w:color="auto" w:fill="EFEFEF"/>
            <w:tcMar>
              <w:top w:w="40" w:type="dxa"/>
              <w:left w:w="40" w:type="dxa"/>
              <w:bottom w:w="40" w:type="dxa"/>
              <w:right w:w="40" w:type="dxa"/>
            </w:tcMar>
            <w:vAlign w:val="bottom"/>
          </w:tcPr>
          <w:p w14:paraId="2A73AAE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Wearables, Home and Accessories (1)(2)</w:t>
            </w:r>
          </w:p>
        </w:tc>
        <w:tc>
          <w:tcPr>
            <w:tcW w:w="0" w:type="auto"/>
            <w:gridSpan w:val="2"/>
            <w:shd w:val="clear" w:color="auto" w:fill="EFEFEF"/>
            <w:tcMar>
              <w:top w:w="40" w:type="dxa"/>
              <w:left w:w="40" w:type="dxa"/>
              <w:bottom w:w="40" w:type="dxa"/>
            </w:tcMar>
            <w:vAlign w:val="bottom"/>
          </w:tcPr>
          <w:p w14:paraId="2A73AAE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24,482</w:t>
            </w:r>
          </w:p>
        </w:tc>
        <w:tc>
          <w:tcPr>
            <w:tcW w:w="0" w:type="auto"/>
            <w:shd w:val="clear" w:color="auto" w:fill="EFEFEF"/>
            <w:vAlign w:val="bottom"/>
          </w:tcPr>
          <w:p w14:paraId="2A73AAE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AE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17,381</w:t>
            </w:r>
          </w:p>
        </w:tc>
        <w:tc>
          <w:tcPr>
            <w:tcW w:w="0" w:type="auto"/>
            <w:shd w:val="clear" w:color="auto" w:fill="EFEFEF"/>
            <w:vAlign w:val="bottom"/>
          </w:tcPr>
          <w:p w14:paraId="2A73AAE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E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AE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12,826</w:t>
            </w:r>
          </w:p>
        </w:tc>
        <w:tc>
          <w:tcPr>
            <w:tcW w:w="0" w:type="auto"/>
            <w:shd w:val="clear" w:color="auto" w:fill="EFEFEF"/>
            <w:vAlign w:val="bottom"/>
          </w:tcPr>
          <w:p w14:paraId="2A73AAEF" w14:textId="77777777" w:rsidR="00FA5565" w:rsidRDefault="00FA5565">
            <w:pPr>
              <w:textAlignment w:val="bottom"/>
              <w:rPr>
                <w:rFonts w:ascii="Times New Roman" w:hAnsi="Times New Roman"/>
                <w:sz w:val="20"/>
                <w:szCs w:val="20"/>
              </w:rPr>
            </w:pPr>
          </w:p>
        </w:tc>
      </w:tr>
      <w:tr w:rsidR="00FA5565" w14:paraId="2A73AAFA" w14:textId="77777777">
        <w:tc>
          <w:tcPr>
            <w:tcW w:w="0" w:type="auto"/>
            <w:shd w:val="clear" w:color="auto" w:fill="auto"/>
            <w:tcMar>
              <w:top w:w="40" w:type="dxa"/>
              <w:left w:w="40" w:type="dxa"/>
              <w:bottom w:w="40" w:type="dxa"/>
              <w:right w:w="40" w:type="dxa"/>
            </w:tcMar>
            <w:vAlign w:val="bottom"/>
          </w:tcPr>
          <w:p w14:paraId="2A73AAF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Services (3)</w:t>
            </w:r>
          </w:p>
        </w:tc>
        <w:tc>
          <w:tcPr>
            <w:tcW w:w="0" w:type="auto"/>
            <w:gridSpan w:val="2"/>
            <w:tcBorders>
              <w:bottom w:val="single" w:sz="8" w:space="0" w:color="000000"/>
            </w:tcBorders>
            <w:shd w:val="clear" w:color="auto" w:fill="auto"/>
            <w:tcMar>
              <w:top w:w="40" w:type="dxa"/>
              <w:left w:w="40" w:type="dxa"/>
              <w:bottom w:w="40" w:type="dxa"/>
            </w:tcMar>
            <w:vAlign w:val="bottom"/>
          </w:tcPr>
          <w:p w14:paraId="2A73AAF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46,291</w:t>
            </w:r>
          </w:p>
        </w:tc>
        <w:tc>
          <w:tcPr>
            <w:tcW w:w="0" w:type="auto"/>
            <w:tcBorders>
              <w:bottom w:val="single" w:sz="8" w:space="0" w:color="000000"/>
            </w:tcBorders>
            <w:shd w:val="clear" w:color="auto" w:fill="auto"/>
            <w:vAlign w:val="bottom"/>
          </w:tcPr>
          <w:p w14:paraId="2A73AAF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F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AF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39,748</w:t>
            </w:r>
          </w:p>
        </w:tc>
        <w:tc>
          <w:tcPr>
            <w:tcW w:w="0" w:type="auto"/>
            <w:tcBorders>
              <w:bottom w:val="single" w:sz="8" w:space="0" w:color="000000"/>
            </w:tcBorders>
            <w:shd w:val="clear" w:color="auto" w:fill="auto"/>
            <w:vAlign w:val="bottom"/>
          </w:tcPr>
          <w:p w14:paraId="2A73AAF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AF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AF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32,700</w:t>
            </w:r>
          </w:p>
        </w:tc>
        <w:tc>
          <w:tcPr>
            <w:tcW w:w="0" w:type="auto"/>
            <w:tcBorders>
              <w:bottom w:val="single" w:sz="8" w:space="0" w:color="000000"/>
            </w:tcBorders>
            <w:shd w:val="clear" w:color="auto" w:fill="auto"/>
            <w:vAlign w:val="bottom"/>
          </w:tcPr>
          <w:p w14:paraId="2A73AAF9" w14:textId="77777777" w:rsidR="00FA5565" w:rsidRDefault="00FA5565">
            <w:pPr>
              <w:textAlignment w:val="bottom"/>
              <w:rPr>
                <w:rFonts w:ascii="Times New Roman" w:hAnsi="Times New Roman"/>
                <w:sz w:val="20"/>
                <w:szCs w:val="20"/>
              </w:rPr>
            </w:pPr>
          </w:p>
        </w:tc>
      </w:tr>
      <w:tr w:rsidR="00FA5565" w14:paraId="2A73AB07" w14:textId="77777777">
        <w:tc>
          <w:tcPr>
            <w:tcW w:w="0" w:type="auto"/>
            <w:shd w:val="clear" w:color="auto" w:fill="EFEFEF"/>
            <w:tcMar>
              <w:top w:w="40" w:type="dxa"/>
              <w:left w:w="560" w:type="dxa"/>
              <w:bottom w:w="40" w:type="dxa"/>
              <w:right w:w="40" w:type="dxa"/>
            </w:tcMar>
            <w:vAlign w:val="bottom"/>
          </w:tcPr>
          <w:p w14:paraId="2A73AAF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Total net sales (4)</w:t>
            </w:r>
          </w:p>
        </w:tc>
        <w:tc>
          <w:tcPr>
            <w:tcW w:w="0" w:type="auto"/>
            <w:tcBorders>
              <w:bottom w:val="double" w:sz="6" w:space="0" w:color="000000"/>
            </w:tcBorders>
            <w:shd w:val="clear" w:color="auto" w:fill="EFEFEF"/>
            <w:tcMar>
              <w:top w:w="40" w:type="dxa"/>
              <w:left w:w="40" w:type="dxa"/>
              <w:bottom w:w="40" w:type="dxa"/>
            </w:tcMar>
            <w:vAlign w:val="bottom"/>
          </w:tcPr>
          <w:p w14:paraId="2A73AAF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AF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260,174</w:t>
            </w:r>
          </w:p>
        </w:tc>
        <w:tc>
          <w:tcPr>
            <w:tcW w:w="0" w:type="auto"/>
            <w:tcBorders>
              <w:bottom w:val="double" w:sz="6" w:space="0" w:color="000000"/>
            </w:tcBorders>
            <w:shd w:val="clear" w:color="auto" w:fill="EFEFEF"/>
            <w:vAlign w:val="bottom"/>
          </w:tcPr>
          <w:p w14:paraId="2A73AAF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AF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B0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B0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265,595</w:t>
            </w:r>
          </w:p>
        </w:tc>
        <w:tc>
          <w:tcPr>
            <w:tcW w:w="0" w:type="auto"/>
            <w:tcBorders>
              <w:bottom w:val="double" w:sz="6" w:space="0" w:color="000000"/>
            </w:tcBorders>
            <w:shd w:val="clear" w:color="auto" w:fill="EFEFEF"/>
            <w:vAlign w:val="bottom"/>
          </w:tcPr>
          <w:p w14:paraId="2A73AB0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0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B0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AB0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229,234</w:t>
            </w:r>
          </w:p>
        </w:tc>
        <w:tc>
          <w:tcPr>
            <w:tcW w:w="0" w:type="auto"/>
            <w:tcBorders>
              <w:bottom w:val="double" w:sz="6" w:space="0" w:color="000000"/>
            </w:tcBorders>
            <w:shd w:val="clear" w:color="auto" w:fill="EFEFEF"/>
            <w:vAlign w:val="bottom"/>
          </w:tcPr>
          <w:p w14:paraId="2A73AB06" w14:textId="77777777" w:rsidR="00FA5565" w:rsidRDefault="00FA5565">
            <w:pPr>
              <w:textAlignment w:val="bottom"/>
              <w:rPr>
                <w:rFonts w:ascii="Times New Roman" w:hAnsi="Times New Roman"/>
                <w:sz w:val="20"/>
                <w:szCs w:val="20"/>
              </w:rPr>
            </w:pPr>
          </w:p>
        </w:tc>
      </w:tr>
    </w:tbl>
    <w:p w14:paraId="2A73AB08"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B0B" w14:textId="77777777">
        <w:trPr>
          <w:tblCellSpacing w:w="0" w:type="dxa"/>
        </w:trPr>
        <w:tc>
          <w:tcPr>
            <w:tcW w:w="960" w:type="dxa"/>
            <w:shd w:val="clear" w:color="auto" w:fill="auto"/>
            <w:vAlign w:val="center"/>
          </w:tcPr>
          <w:p w14:paraId="2A73AB09" w14:textId="77777777" w:rsidR="00FA5565" w:rsidRDefault="00FA5565">
            <w:pPr>
              <w:rPr>
                <w:rFonts w:ascii="Times New Roman" w:hAnsi="Times New Roman"/>
                <w:sz w:val="20"/>
                <w:szCs w:val="20"/>
              </w:rPr>
            </w:pPr>
          </w:p>
        </w:tc>
        <w:tc>
          <w:tcPr>
            <w:tcW w:w="0" w:type="auto"/>
            <w:shd w:val="clear" w:color="auto" w:fill="auto"/>
            <w:vAlign w:val="center"/>
          </w:tcPr>
          <w:p w14:paraId="2A73AB0A" w14:textId="77777777" w:rsidR="00FA5565" w:rsidRDefault="00FA5565">
            <w:pPr>
              <w:rPr>
                <w:rFonts w:ascii="Times New Roman" w:hAnsi="Times New Roman"/>
                <w:sz w:val="20"/>
                <w:szCs w:val="20"/>
              </w:rPr>
            </w:pPr>
          </w:p>
        </w:tc>
      </w:tr>
      <w:tr w:rsidR="00FA5565" w14:paraId="2A73AB0E" w14:textId="77777777">
        <w:trPr>
          <w:tblCellSpacing w:w="0" w:type="dxa"/>
        </w:trPr>
        <w:tc>
          <w:tcPr>
            <w:tcW w:w="0" w:type="auto"/>
            <w:shd w:val="clear" w:color="auto" w:fill="auto"/>
          </w:tcPr>
          <w:p w14:paraId="2A73AB0C"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AB0D"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Products net sales include amortization of the deferred value of unspecified software upgrade rights, which are bundled in the sales </w:t>
            </w:r>
            <w:r>
              <w:rPr>
                <w:rFonts w:ascii="Helvetica" w:eastAsia="Helvetica" w:hAnsi="Helvetica" w:cs="Helvetica"/>
                <w:sz w:val="16"/>
                <w:szCs w:val="16"/>
              </w:rPr>
              <w:t>price of the respective product.</w:t>
            </w:r>
          </w:p>
        </w:tc>
      </w:tr>
    </w:tbl>
    <w:p w14:paraId="2A73AB0F"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B12" w14:textId="77777777">
        <w:trPr>
          <w:tblCellSpacing w:w="0" w:type="dxa"/>
        </w:trPr>
        <w:tc>
          <w:tcPr>
            <w:tcW w:w="960" w:type="dxa"/>
            <w:shd w:val="clear" w:color="auto" w:fill="auto"/>
            <w:vAlign w:val="center"/>
          </w:tcPr>
          <w:p w14:paraId="2A73AB10" w14:textId="77777777" w:rsidR="00FA5565" w:rsidRDefault="00FA5565">
            <w:pPr>
              <w:rPr>
                <w:rFonts w:ascii="Times New Roman" w:hAnsi="Times New Roman"/>
                <w:sz w:val="20"/>
                <w:szCs w:val="20"/>
              </w:rPr>
            </w:pPr>
          </w:p>
        </w:tc>
        <w:tc>
          <w:tcPr>
            <w:tcW w:w="0" w:type="auto"/>
            <w:shd w:val="clear" w:color="auto" w:fill="auto"/>
            <w:vAlign w:val="center"/>
          </w:tcPr>
          <w:p w14:paraId="2A73AB11" w14:textId="77777777" w:rsidR="00FA5565" w:rsidRDefault="00FA5565">
            <w:pPr>
              <w:rPr>
                <w:rFonts w:ascii="Times New Roman" w:hAnsi="Times New Roman"/>
                <w:sz w:val="20"/>
                <w:szCs w:val="20"/>
              </w:rPr>
            </w:pPr>
          </w:p>
        </w:tc>
      </w:tr>
      <w:tr w:rsidR="00FA5565" w14:paraId="2A73AB15" w14:textId="77777777">
        <w:trPr>
          <w:tblCellSpacing w:w="0" w:type="dxa"/>
        </w:trPr>
        <w:tc>
          <w:tcPr>
            <w:tcW w:w="0" w:type="auto"/>
            <w:shd w:val="clear" w:color="auto" w:fill="auto"/>
          </w:tcPr>
          <w:p w14:paraId="2A73AB13"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2A73AB14"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Wearables, Home and Accessories net sales include sales of AirPods, Apple TV, Apple Watch, Beats products, HomePod, iPod touch and Apple-branded and third-party accessories.</w:t>
            </w:r>
          </w:p>
        </w:tc>
      </w:tr>
    </w:tbl>
    <w:p w14:paraId="2A73AB16"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B19" w14:textId="77777777">
        <w:trPr>
          <w:tblCellSpacing w:w="0" w:type="dxa"/>
        </w:trPr>
        <w:tc>
          <w:tcPr>
            <w:tcW w:w="960" w:type="dxa"/>
            <w:shd w:val="clear" w:color="auto" w:fill="auto"/>
            <w:vAlign w:val="center"/>
          </w:tcPr>
          <w:p w14:paraId="2A73AB17" w14:textId="77777777" w:rsidR="00FA5565" w:rsidRDefault="00FA5565">
            <w:pPr>
              <w:rPr>
                <w:rFonts w:ascii="Times New Roman" w:hAnsi="Times New Roman"/>
                <w:sz w:val="20"/>
                <w:szCs w:val="20"/>
              </w:rPr>
            </w:pPr>
          </w:p>
        </w:tc>
        <w:tc>
          <w:tcPr>
            <w:tcW w:w="0" w:type="auto"/>
            <w:shd w:val="clear" w:color="auto" w:fill="auto"/>
            <w:vAlign w:val="center"/>
          </w:tcPr>
          <w:p w14:paraId="2A73AB18" w14:textId="77777777" w:rsidR="00FA5565" w:rsidRDefault="00FA5565">
            <w:pPr>
              <w:rPr>
                <w:rFonts w:ascii="Times New Roman" w:hAnsi="Times New Roman"/>
                <w:sz w:val="20"/>
                <w:szCs w:val="20"/>
              </w:rPr>
            </w:pPr>
          </w:p>
        </w:tc>
      </w:tr>
      <w:tr w:rsidR="00FA5565" w14:paraId="2A73AB1C" w14:textId="77777777">
        <w:trPr>
          <w:tblCellSpacing w:w="0" w:type="dxa"/>
        </w:trPr>
        <w:tc>
          <w:tcPr>
            <w:tcW w:w="0" w:type="auto"/>
            <w:shd w:val="clear" w:color="auto" w:fill="auto"/>
          </w:tcPr>
          <w:p w14:paraId="2A73AB1A"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(3)</w:t>
            </w:r>
          </w:p>
        </w:tc>
        <w:tc>
          <w:tcPr>
            <w:tcW w:w="0" w:type="auto"/>
            <w:shd w:val="clear" w:color="auto" w:fill="auto"/>
          </w:tcPr>
          <w:p w14:paraId="2A73AB1B"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Services net sales </w:t>
            </w:r>
            <w:r>
              <w:rPr>
                <w:rFonts w:ascii="Helvetica" w:eastAsia="Helvetica" w:hAnsi="Helvetica" w:cs="Helvetica"/>
                <w:sz w:val="16"/>
                <w:szCs w:val="16"/>
              </w:rPr>
              <w:t>include sales from the Company’s digital content stores and streaming services, AppleCare, licensing and other services. Services net sales also include amortization of the deferred value of Maps, Siri and free iCloud services, which are bundled in the sal</w:t>
            </w:r>
            <w:r>
              <w:rPr>
                <w:rFonts w:ascii="Helvetica" w:eastAsia="Helvetica" w:hAnsi="Helvetica" w:cs="Helvetica"/>
                <w:sz w:val="16"/>
                <w:szCs w:val="16"/>
              </w:rPr>
              <w:t>es price of certain products.</w:t>
            </w:r>
          </w:p>
        </w:tc>
      </w:tr>
    </w:tbl>
    <w:p w14:paraId="2A73AB1D"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B20" w14:textId="77777777">
        <w:trPr>
          <w:tblCellSpacing w:w="0" w:type="dxa"/>
        </w:trPr>
        <w:tc>
          <w:tcPr>
            <w:tcW w:w="960" w:type="dxa"/>
            <w:shd w:val="clear" w:color="auto" w:fill="auto"/>
            <w:vAlign w:val="center"/>
          </w:tcPr>
          <w:p w14:paraId="2A73AB1E" w14:textId="77777777" w:rsidR="00FA5565" w:rsidRDefault="00FA5565">
            <w:pPr>
              <w:rPr>
                <w:rFonts w:ascii="Times New Roman" w:hAnsi="Times New Roman"/>
                <w:sz w:val="20"/>
                <w:szCs w:val="20"/>
              </w:rPr>
            </w:pPr>
          </w:p>
        </w:tc>
        <w:tc>
          <w:tcPr>
            <w:tcW w:w="0" w:type="auto"/>
            <w:shd w:val="clear" w:color="auto" w:fill="auto"/>
            <w:vAlign w:val="center"/>
          </w:tcPr>
          <w:p w14:paraId="2A73AB1F" w14:textId="77777777" w:rsidR="00FA5565" w:rsidRDefault="00FA5565">
            <w:pPr>
              <w:rPr>
                <w:rFonts w:ascii="Times New Roman" w:hAnsi="Times New Roman"/>
                <w:sz w:val="20"/>
                <w:szCs w:val="20"/>
              </w:rPr>
            </w:pPr>
          </w:p>
        </w:tc>
      </w:tr>
      <w:tr w:rsidR="00FA5565" w14:paraId="2A73AB23" w14:textId="77777777">
        <w:trPr>
          <w:tblCellSpacing w:w="0" w:type="dxa"/>
        </w:trPr>
        <w:tc>
          <w:tcPr>
            <w:tcW w:w="0" w:type="auto"/>
            <w:shd w:val="clear" w:color="auto" w:fill="auto"/>
          </w:tcPr>
          <w:p w14:paraId="2A73AB21"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(4)</w:t>
            </w:r>
          </w:p>
        </w:tc>
        <w:tc>
          <w:tcPr>
            <w:tcW w:w="0" w:type="auto"/>
            <w:shd w:val="clear" w:color="auto" w:fill="auto"/>
          </w:tcPr>
          <w:p w14:paraId="2A73AB22"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Includes $5.9 billion of revenue recognized in 2019 that was included in deferred revenue as of September 29, 2018, $5.8 billion of revenue recognized in 2018 that was included in deferred revenue as of </w:t>
            </w:r>
            <w:r>
              <w:rPr>
                <w:rFonts w:ascii="Helvetica" w:eastAsia="Helvetica" w:hAnsi="Helvetica" w:cs="Helvetica"/>
                <w:sz w:val="16"/>
                <w:szCs w:val="16"/>
              </w:rPr>
              <w:t>September 30, 2017, and $6.3 billion of revenue recognized in 2017 that was included in deferred revenue as of September 24, 2016.</w:t>
            </w:r>
          </w:p>
        </w:tc>
      </w:tr>
    </w:tbl>
    <w:p w14:paraId="2A73AB2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proportion of net sales by disaggregated revenue source was generally consistent for each reportable segment i</w:t>
      </w:r>
      <w:r>
        <w:rPr>
          <w:rFonts w:ascii="Helvetica" w:eastAsia="Helvetica" w:hAnsi="Helvetica" w:cs="Helvetica"/>
          <w:sz w:val="18"/>
          <w:szCs w:val="18"/>
        </w:rPr>
        <w:t>n Note 11, “Segment Information and Geographic Data” for 2019, 2018 and 2017.</w:t>
      </w:r>
    </w:p>
    <w:p w14:paraId="2A73AB25" w14:textId="77777777" w:rsidR="00FA5565" w:rsidRDefault="00FA5565">
      <w:pPr>
        <w:rPr>
          <w:rFonts w:ascii="Times New Roman" w:hAnsi="Times New Roman"/>
          <w:sz w:val="20"/>
          <w:szCs w:val="20"/>
        </w:rPr>
      </w:pPr>
    </w:p>
    <w:p w14:paraId="2A73AB26"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37</w:t>
      </w:r>
    </w:p>
    <w:p w14:paraId="2A73AB27" w14:textId="77777777" w:rsidR="00FA5565" w:rsidRDefault="00D804D1">
      <w:r>
        <w:rPr>
          <w:rFonts w:ascii="Times New Roman" w:hAnsi="Times New Roman"/>
          <w:sz w:val="16"/>
          <w:szCs w:val="16"/>
        </w:rPr>
        <w:pict w14:anchorId="2A73C0C1">
          <v:rect id="_x0000_i1063" style="width:415.3pt;height:1.5pt" o:hralign="center" o:hrstd="t" o:hr="t" fillcolor="#a0a0a0" stroked="f"/>
        </w:pict>
      </w:r>
    </w:p>
    <w:p w14:paraId="2A73AB28" w14:textId="77777777" w:rsidR="00FA5565" w:rsidRDefault="00FA5565">
      <w:pPr>
        <w:rPr>
          <w:rFonts w:ascii="Times New Roman" w:hAnsi="Times New Roman"/>
          <w:sz w:val="20"/>
          <w:szCs w:val="20"/>
        </w:rPr>
      </w:pPr>
    </w:p>
    <w:p w14:paraId="2A73AB2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Note 3 – Financial Instruments</w:t>
      </w:r>
    </w:p>
    <w:p w14:paraId="2A73AB2A"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Cash, Cash Equivalents and Marketable Securities</w:t>
      </w:r>
    </w:p>
    <w:p w14:paraId="2A73AB2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tables show the Company’s cash and marketable s</w:t>
      </w:r>
      <w:r>
        <w:rPr>
          <w:rFonts w:ascii="Helvetica" w:eastAsia="Helvetica" w:hAnsi="Helvetica" w:cs="Helvetica"/>
          <w:sz w:val="18"/>
          <w:szCs w:val="18"/>
        </w:rPr>
        <w:t>ecurities by significant investment category as of September 28, 2019 and September 29, 2018 (in millions):</w:t>
      </w:r>
    </w:p>
    <w:tbl>
      <w:tblPr>
        <w:tblW w:w="5000" w:type="pct"/>
        <w:tblCellMar>
          <w:left w:w="0" w:type="dxa"/>
          <w:right w:w="0" w:type="dxa"/>
        </w:tblCellMar>
        <w:tblLook w:val="04A0" w:firstRow="1" w:lastRow="0" w:firstColumn="1" w:lastColumn="0" w:noHBand="0" w:noVBand="1"/>
      </w:tblPr>
      <w:tblGrid>
        <w:gridCol w:w="1265"/>
        <w:gridCol w:w="129"/>
        <w:gridCol w:w="588"/>
        <w:gridCol w:w="85"/>
        <w:gridCol w:w="129"/>
        <w:gridCol w:w="128"/>
        <w:gridCol w:w="703"/>
        <w:gridCol w:w="88"/>
        <w:gridCol w:w="129"/>
        <w:gridCol w:w="128"/>
        <w:gridCol w:w="703"/>
        <w:gridCol w:w="93"/>
        <w:gridCol w:w="129"/>
        <w:gridCol w:w="128"/>
        <w:gridCol w:w="572"/>
        <w:gridCol w:w="6"/>
        <w:gridCol w:w="129"/>
        <w:gridCol w:w="128"/>
        <w:gridCol w:w="791"/>
        <w:gridCol w:w="88"/>
        <w:gridCol w:w="129"/>
        <w:gridCol w:w="129"/>
        <w:gridCol w:w="744"/>
        <w:gridCol w:w="93"/>
        <w:gridCol w:w="129"/>
        <w:gridCol w:w="129"/>
        <w:gridCol w:w="724"/>
        <w:gridCol w:w="90"/>
      </w:tblGrid>
      <w:tr w:rsidR="00FA5565" w14:paraId="2A73AB2D" w14:textId="77777777">
        <w:tc>
          <w:tcPr>
            <w:tcW w:w="0" w:type="auto"/>
            <w:gridSpan w:val="28"/>
            <w:shd w:val="clear" w:color="auto" w:fill="auto"/>
            <w:vAlign w:val="center"/>
          </w:tcPr>
          <w:p w14:paraId="2A73AB2C" w14:textId="77777777" w:rsidR="00FA5565" w:rsidRDefault="00FA5565">
            <w:pPr>
              <w:rPr>
                <w:rFonts w:ascii="Times New Roman" w:hAnsi="Times New Roman"/>
                <w:sz w:val="20"/>
                <w:szCs w:val="20"/>
              </w:rPr>
            </w:pPr>
          </w:p>
        </w:tc>
      </w:tr>
      <w:tr w:rsidR="00FA5565" w14:paraId="2A73AB4A" w14:textId="77777777">
        <w:tc>
          <w:tcPr>
            <w:tcW w:w="1300" w:type="pct"/>
            <w:shd w:val="clear" w:color="auto" w:fill="auto"/>
            <w:vAlign w:val="center"/>
          </w:tcPr>
          <w:p w14:paraId="2A73AB2E" w14:textId="77777777" w:rsidR="00FA5565" w:rsidRDefault="00FA5565">
            <w:pPr>
              <w:rPr>
                <w:rFonts w:ascii="Times New Roman" w:hAnsi="Times New Roman"/>
                <w:sz w:val="20"/>
                <w:szCs w:val="20"/>
              </w:rPr>
            </w:pPr>
          </w:p>
        </w:tc>
        <w:tc>
          <w:tcPr>
            <w:tcW w:w="50" w:type="pct"/>
            <w:shd w:val="clear" w:color="auto" w:fill="auto"/>
            <w:vAlign w:val="center"/>
          </w:tcPr>
          <w:p w14:paraId="2A73AB2F" w14:textId="77777777" w:rsidR="00FA5565" w:rsidRDefault="00FA5565">
            <w:pPr>
              <w:rPr>
                <w:rFonts w:ascii="Times New Roman" w:hAnsi="Times New Roman"/>
                <w:sz w:val="20"/>
                <w:szCs w:val="20"/>
              </w:rPr>
            </w:pPr>
          </w:p>
        </w:tc>
        <w:tc>
          <w:tcPr>
            <w:tcW w:w="350" w:type="pct"/>
            <w:shd w:val="clear" w:color="auto" w:fill="auto"/>
            <w:vAlign w:val="center"/>
          </w:tcPr>
          <w:p w14:paraId="2A73AB30" w14:textId="77777777" w:rsidR="00FA5565" w:rsidRDefault="00FA5565">
            <w:pPr>
              <w:rPr>
                <w:rFonts w:ascii="Times New Roman" w:hAnsi="Times New Roman"/>
                <w:sz w:val="20"/>
                <w:szCs w:val="20"/>
              </w:rPr>
            </w:pPr>
          </w:p>
        </w:tc>
        <w:tc>
          <w:tcPr>
            <w:tcW w:w="50" w:type="pct"/>
            <w:shd w:val="clear" w:color="auto" w:fill="auto"/>
            <w:vAlign w:val="center"/>
          </w:tcPr>
          <w:p w14:paraId="2A73AB31" w14:textId="77777777" w:rsidR="00FA5565" w:rsidRDefault="00FA5565">
            <w:pPr>
              <w:rPr>
                <w:rFonts w:ascii="Times New Roman" w:hAnsi="Times New Roman"/>
                <w:sz w:val="20"/>
                <w:szCs w:val="20"/>
              </w:rPr>
            </w:pPr>
          </w:p>
        </w:tc>
        <w:tc>
          <w:tcPr>
            <w:tcW w:w="50" w:type="pct"/>
            <w:shd w:val="clear" w:color="auto" w:fill="auto"/>
            <w:vAlign w:val="center"/>
          </w:tcPr>
          <w:p w14:paraId="2A73AB32" w14:textId="77777777" w:rsidR="00FA5565" w:rsidRDefault="00FA5565">
            <w:pPr>
              <w:rPr>
                <w:rFonts w:ascii="Times New Roman" w:hAnsi="Times New Roman"/>
                <w:sz w:val="20"/>
                <w:szCs w:val="20"/>
              </w:rPr>
            </w:pPr>
          </w:p>
        </w:tc>
        <w:tc>
          <w:tcPr>
            <w:tcW w:w="50" w:type="pct"/>
            <w:shd w:val="clear" w:color="auto" w:fill="auto"/>
            <w:vAlign w:val="center"/>
          </w:tcPr>
          <w:p w14:paraId="2A73AB33" w14:textId="77777777" w:rsidR="00FA5565" w:rsidRDefault="00FA5565">
            <w:pPr>
              <w:rPr>
                <w:rFonts w:ascii="Times New Roman" w:hAnsi="Times New Roman"/>
                <w:sz w:val="20"/>
                <w:szCs w:val="20"/>
              </w:rPr>
            </w:pPr>
          </w:p>
        </w:tc>
        <w:tc>
          <w:tcPr>
            <w:tcW w:w="400" w:type="pct"/>
            <w:shd w:val="clear" w:color="auto" w:fill="auto"/>
            <w:vAlign w:val="center"/>
          </w:tcPr>
          <w:p w14:paraId="2A73AB34" w14:textId="77777777" w:rsidR="00FA5565" w:rsidRDefault="00FA5565">
            <w:pPr>
              <w:rPr>
                <w:rFonts w:ascii="Times New Roman" w:hAnsi="Times New Roman"/>
                <w:sz w:val="20"/>
                <w:szCs w:val="20"/>
              </w:rPr>
            </w:pPr>
          </w:p>
        </w:tc>
        <w:tc>
          <w:tcPr>
            <w:tcW w:w="50" w:type="pct"/>
            <w:shd w:val="clear" w:color="auto" w:fill="auto"/>
            <w:vAlign w:val="center"/>
          </w:tcPr>
          <w:p w14:paraId="2A73AB35" w14:textId="77777777" w:rsidR="00FA5565" w:rsidRDefault="00FA5565">
            <w:pPr>
              <w:rPr>
                <w:rFonts w:ascii="Times New Roman" w:hAnsi="Times New Roman"/>
                <w:sz w:val="20"/>
                <w:szCs w:val="20"/>
              </w:rPr>
            </w:pPr>
          </w:p>
        </w:tc>
        <w:tc>
          <w:tcPr>
            <w:tcW w:w="50" w:type="pct"/>
            <w:shd w:val="clear" w:color="auto" w:fill="auto"/>
            <w:vAlign w:val="center"/>
          </w:tcPr>
          <w:p w14:paraId="2A73AB36" w14:textId="77777777" w:rsidR="00FA5565" w:rsidRDefault="00FA5565">
            <w:pPr>
              <w:rPr>
                <w:rFonts w:ascii="Times New Roman" w:hAnsi="Times New Roman"/>
                <w:sz w:val="20"/>
                <w:szCs w:val="20"/>
              </w:rPr>
            </w:pPr>
          </w:p>
        </w:tc>
        <w:tc>
          <w:tcPr>
            <w:tcW w:w="50" w:type="pct"/>
            <w:shd w:val="clear" w:color="auto" w:fill="auto"/>
            <w:vAlign w:val="center"/>
          </w:tcPr>
          <w:p w14:paraId="2A73AB37" w14:textId="77777777" w:rsidR="00FA5565" w:rsidRDefault="00FA5565">
            <w:pPr>
              <w:rPr>
                <w:rFonts w:ascii="Times New Roman" w:hAnsi="Times New Roman"/>
                <w:sz w:val="20"/>
                <w:szCs w:val="20"/>
              </w:rPr>
            </w:pPr>
          </w:p>
        </w:tc>
        <w:tc>
          <w:tcPr>
            <w:tcW w:w="400" w:type="pct"/>
            <w:shd w:val="clear" w:color="auto" w:fill="auto"/>
            <w:vAlign w:val="center"/>
          </w:tcPr>
          <w:p w14:paraId="2A73AB38" w14:textId="77777777" w:rsidR="00FA5565" w:rsidRDefault="00FA5565">
            <w:pPr>
              <w:rPr>
                <w:rFonts w:ascii="Times New Roman" w:hAnsi="Times New Roman"/>
                <w:sz w:val="20"/>
                <w:szCs w:val="20"/>
              </w:rPr>
            </w:pPr>
          </w:p>
        </w:tc>
        <w:tc>
          <w:tcPr>
            <w:tcW w:w="50" w:type="pct"/>
            <w:shd w:val="clear" w:color="auto" w:fill="auto"/>
            <w:vAlign w:val="center"/>
          </w:tcPr>
          <w:p w14:paraId="2A73AB39" w14:textId="77777777" w:rsidR="00FA5565" w:rsidRDefault="00FA5565">
            <w:pPr>
              <w:rPr>
                <w:rFonts w:ascii="Times New Roman" w:hAnsi="Times New Roman"/>
                <w:sz w:val="20"/>
                <w:szCs w:val="20"/>
              </w:rPr>
            </w:pPr>
          </w:p>
        </w:tc>
        <w:tc>
          <w:tcPr>
            <w:tcW w:w="50" w:type="pct"/>
            <w:shd w:val="clear" w:color="auto" w:fill="auto"/>
            <w:vAlign w:val="center"/>
          </w:tcPr>
          <w:p w14:paraId="2A73AB3A" w14:textId="77777777" w:rsidR="00FA5565" w:rsidRDefault="00FA5565">
            <w:pPr>
              <w:rPr>
                <w:rFonts w:ascii="Times New Roman" w:hAnsi="Times New Roman"/>
                <w:sz w:val="20"/>
                <w:szCs w:val="20"/>
              </w:rPr>
            </w:pPr>
          </w:p>
        </w:tc>
        <w:tc>
          <w:tcPr>
            <w:tcW w:w="50" w:type="pct"/>
            <w:shd w:val="clear" w:color="auto" w:fill="auto"/>
            <w:vAlign w:val="center"/>
          </w:tcPr>
          <w:p w14:paraId="2A73AB3B" w14:textId="77777777" w:rsidR="00FA5565" w:rsidRDefault="00FA5565">
            <w:pPr>
              <w:rPr>
                <w:rFonts w:ascii="Times New Roman" w:hAnsi="Times New Roman"/>
                <w:sz w:val="20"/>
                <w:szCs w:val="20"/>
              </w:rPr>
            </w:pPr>
          </w:p>
        </w:tc>
        <w:tc>
          <w:tcPr>
            <w:tcW w:w="300" w:type="pct"/>
            <w:shd w:val="clear" w:color="auto" w:fill="auto"/>
            <w:vAlign w:val="center"/>
          </w:tcPr>
          <w:p w14:paraId="2A73AB3C" w14:textId="77777777" w:rsidR="00FA5565" w:rsidRDefault="00FA5565">
            <w:pPr>
              <w:rPr>
                <w:rFonts w:ascii="Times New Roman" w:hAnsi="Times New Roman"/>
                <w:sz w:val="20"/>
                <w:szCs w:val="20"/>
              </w:rPr>
            </w:pPr>
          </w:p>
        </w:tc>
        <w:tc>
          <w:tcPr>
            <w:tcW w:w="50" w:type="pct"/>
            <w:shd w:val="clear" w:color="auto" w:fill="auto"/>
            <w:vAlign w:val="center"/>
          </w:tcPr>
          <w:p w14:paraId="2A73AB3D" w14:textId="77777777" w:rsidR="00FA5565" w:rsidRDefault="00FA5565">
            <w:pPr>
              <w:rPr>
                <w:rFonts w:ascii="Times New Roman" w:hAnsi="Times New Roman"/>
                <w:sz w:val="20"/>
                <w:szCs w:val="20"/>
              </w:rPr>
            </w:pPr>
          </w:p>
        </w:tc>
        <w:tc>
          <w:tcPr>
            <w:tcW w:w="50" w:type="pct"/>
            <w:shd w:val="clear" w:color="auto" w:fill="auto"/>
            <w:vAlign w:val="center"/>
          </w:tcPr>
          <w:p w14:paraId="2A73AB3E" w14:textId="77777777" w:rsidR="00FA5565" w:rsidRDefault="00FA5565">
            <w:pPr>
              <w:rPr>
                <w:rFonts w:ascii="Times New Roman" w:hAnsi="Times New Roman"/>
                <w:sz w:val="20"/>
                <w:szCs w:val="20"/>
              </w:rPr>
            </w:pPr>
          </w:p>
        </w:tc>
        <w:tc>
          <w:tcPr>
            <w:tcW w:w="50" w:type="pct"/>
            <w:shd w:val="clear" w:color="auto" w:fill="auto"/>
            <w:vAlign w:val="center"/>
          </w:tcPr>
          <w:p w14:paraId="2A73AB3F" w14:textId="77777777" w:rsidR="00FA5565" w:rsidRDefault="00FA5565">
            <w:pPr>
              <w:rPr>
                <w:rFonts w:ascii="Times New Roman" w:hAnsi="Times New Roman"/>
                <w:sz w:val="20"/>
                <w:szCs w:val="20"/>
              </w:rPr>
            </w:pPr>
          </w:p>
        </w:tc>
        <w:tc>
          <w:tcPr>
            <w:tcW w:w="450" w:type="pct"/>
            <w:shd w:val="clear" w:color="auto" w:fill="auto"/>
            <w:vAlign w:val="center"/>
          </w:tcPr>
          <w:p w14:paraId="2A73AB40" w14:textId="77777777" w:rsidR="00FA5565" w:rsidRDefault="00FA5565">
            <w:pPr>
              <w:rPr>
                <w:rFonts w:ascii="Times New Roman" w:hAnsi="Times New Roman"/>
                <w:sz w:val="20"/>
                <w:szCs w:val="20"/>
              </w:rPr>
            </w:pPr>
          </w:p>
        </w:tc>
        <w:tc>
          <w:tcPr>
            <w:tcW w:w="50" w:type="pct"/>
            <w:shd w:val="clear" w:color="auto" w:fill="auto"/>
            <w:vAlign w:val="center"/>
          </w:tcPr>
          <w:p w14:paraId="2A73AB41" w14:textId="77777777" w:rsidR="00FA5565" w:rsidRDefault="00FA5565">
            <w:pPr>
              <w:rPr>
                <w:rFonts w:ascii="Times New Roman" w:hAnsi="Times New Roman"/>
                <w:sz w:val="20"/>
                <w:szCs w:val="20"/>
              </w:rPr>
            </w:pPr>
          </w:p>
        </w:tc>
        <w:tc>
          <w:tcPr>
            <w:tcW w:w="50" w:type="pct"/>
            <w:shd w:val="clear" w:color="auto" w:fill="auto"/>
            <w:vAlign w:val="center"/>
          </w:tcPr>
          <w:p w14:paraId="2A73AB42" w14:textId="77777777" w:rsidR="00FA5565" w:rsidRDefault="00FA5565">
            <w:pPr>
              <w:rPr>
                <w:rFonts w:ascii="Times New Roman" w:hAnsi="Times New Roman"/>
                <w:sz w:val="20"/>
                <w:szCs w:val="20"/>
              </w:rPr>
            </w:pPr>
          </w:p>
        </w:tc>
        <w:tc>
          <w:tcPr>
            <w:tcW w:w="50" w:type="pct"/>
            <w:shd w:val="clear" w:color="auto" w:fill="auto"/>
            <w:vAlign w:val="center"/>
          </w:tcPr>
          <w:p w14:paraId="2A73AB43" w14:textId="77777777" w:rsidR="00FA5565" w:rsidRDefault="00FA5565">
            <w:pPr>
              <w:rPr>
                <w:rFonts w:ascii="Times New Roman" w:hAnsi="Times New Roman"/>
                <w:sz w:val="20"/>
                <w:szCs w:val="20"/>
              </w:rPr>
            </w:pPr>
          </w:p>
        </w:tc>
        <w:tc>
          <w:tcPr>
            <w:tcW w:w="400" w:type="pct"/>
            <w:shd w:val="clear" w:color="auto" w:fill="auto"/>
            <w:vAlign w:val="center"/>
          </w:tcPr>
          <w:p w14:paraId="2A73AB44" w14:textId="77777777" w:rsidR="00FA5565" w:rsidRDefault="00FA5565">
            <w:pPr>
              <w:rPr>
                <w:rFonts w:ascii="Times New Roman" w:hAnsi="Times New Roman"/>
                <w:sz w:val="20"/>
                <w:szCs w:val="20"/>
              </w:rPr>
            </w:pPr>
          </w:p>
        </w:tc>
        <w:tc>
          <w:tcPr>
            <w:tcW w:w="50" w:type="pct"/>
            <w:shd w:val="clear" w:color="auto" w:fill="auto"/>
            <w:vAlign w:val="center"/>
          </w:tcPr>
          <w:p w14:paraId="2A73AB45" w14:textId="77777777" w:rsidR="00FA5565" w:rsidRDefault="00FA5565">
            <w:pPr>
              <w:rPr>
                <w:rFonts w:ascii="Times New Roman" w:hAnsi="Times New Roman"/>
                <w:sz w:val="20"/>
                <w:szCs w:val="20"/>
              </w:rPr>
            </w:pPr>
          </w:p>
        </w:tc>
        <w:tc>
          <w:tcPr>
            <w:tcW w:w="50" w:type="pct"/>
            <w:shd w:val="clear" w:color="auto" w:fill="auto"/>
            <w:vAlign w:val="center"/>
          </w:tcPr>
          <w:p w14:paraId="2A73AB46" w14:textId="77777777" w:rsidR="00FA5565" w:rsidRDefault="00FA5565">
            <w:pPr>
              <w:rPr>
                <w:rFonts w:ascii="Times New Roman" w:hAnsi="Times New Roman"/>
                <w:sz w:val="20"/>
                <w:szCs w:val="20"/>
              </w:rPr>
            </w:pPr>
          </w:p>
        </w:tc>
        <w:tc>
          <w:tcPr>
            <w:tcW w:w="50" w:type="pct"/>
            <w:shd w:val="clear" w:color="auto" w:fill="auto"/>
            <w:vAlign w:val="center"/>
          </w:tcPr>
          <w:p w14:paraId="2A73AB47" w14:textId="77777777" w:rsidR="00FA5565" w:rsidRDefault="00FA5565">
            <w:pPr>
              <w:rPr>
                <w:rFonts w:ascii="Times New Roman" w:hAnsi="Times New Roman"/>
                <w:sz w:val="20"/>
                <w:szCs w:val="20"/>
              </w:rPr>
            </w:pPr>
          </w:p>
        </w:tc>
        <w:tc>
          <w:tcPr>
            <w:tcW w:w="400" w:type="pct"/>
            <w:shd w:val="clear" w:color="auto" w:fill="auto"/>
            <w:vAlign w:val="center"/>
          </w:tcPr>
          <w:p w14:paraId="2A73AB48" w14:textId="77777777" w:rsidR="00FA5565" w:rsidRDefault="00FA5565">
            <w:pPr>
              <w:rPr>
                <w:rFonts w:ascii="Times New Roman" w:hAnsi="Times New Roman"/>
                <w:sz w:val="20"/>
                <w:szCs w:val="20"/>
              </w:rPr>
            </w:pPr>
          </w:p>
        </w:tc>
        <w:tc>
          <w:tcPr>
            <w:tcW w:w="50" w:type="pct"/>
            <w:shd w:val="clear" w:color="auto" w:fill="auto"/>
            <w:vAlign w:val="center"/>
          </w:tcPr>
          <w:p w14:paraId="2A73AB49" w14:textId="77777777" w:rsidR="00FA5565" w:rsidRDefault="00FA5565">
            <w:pPr>
              <w:rPr>
                <w:rFonts w:ascii="Times New Roman" w:hAnsi="Times New Roman"/>
                <w:sz w:val="20"/>
                <w:szCs w:val="20"/>
              </w:rPr>
            </w:pPr>
          </w:p>
        </w:tc>
      </w:tr>
      <w:tr w:rsidR="00FA5565" w14:paraId="2A73AB4D" w14:textId="77777777">
        <w:tc>
          <w:tcPr>
            <w:tcW w:w="0" w:type="auto"/>
            <w:shd w:val="clear" w:color="auto" w:fill="auto"/>
            <w:tcMar>
              <w:top w:w="40" w:type="dxa"/>
              <w:left w:w="40" w:type="dxa"/>
              <w:bottom w:w="40" w:type="dxa"/>
              <w:right w:w="40" w:type="dxa"/>
            </w:tcMar>
            <w:vAlign w:val="bottom"/>
          </w:tcPr>
          <w:p w14:paraId="2A73AB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000000"/>
            </w:tcBorders>
            <w:shd w:val="clear" w:color="auto" w:fill="auto"/>
            <w:tcMar>
              <w:top w:w="40" w:type="dxa"/>
              <w:left w:w="40" w:type="dxa"/>
              <w:bottom w:w="40" w:type="dxa"/>
            </w:tcMar>
            <w:vAlign w:val="bottom"/>
          </w:tcPr>
          <w:p w14:paraId="2A73AB4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r>
      <w:tr w:rsidR="00FA5565" w14:paraId="2A73AB66" w14:textId="77777777">
        <w:tc>
          <w:tcPr>
            <w:tcW w:w="0" w:type="auto"/>
            <w:shd w:val="clear" w:color="auto" w:fill="auto"/>
            <w:tcMar>
              <w:top w:w="40" w:type="dxa"/>
              <w:left w:w="40" w:type="dxa"/>
              <w:bottom w:w="40" w:type="dxa"/>
              <w:right w:w="40" w:type="dxa"/>
            </w:tcMar>
            <w:vAlign w:val="bottom"/>
          </w:tcPr>
          <w:p w14:paraId="2A73AB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B4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Adjusted</w:t>
            </w:r>
          </w:p>
          <w:p w14:paraId="2A73AB50"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Cost</w:t>
            </w:r>
          </w:p>
        </w:tc>
        <w:tc>
          <w:tcPr>
            <w:tcW w:w="0" w:type="auto"/>
            <w:shd w:val="clear" w:color="auto" w:fill="auto"/>
            <w:tcMar>
              <w:top w:w="40" w:type="dxa"/>
              <w:left w:w="40" w:type="dxa"/>
              <w:bottom w:w="40" w:type="dxa"/>
              <w:right w:w="40" w:type="dxa"/>
            </w:tcMar>
            <w:vAlign w:val="bottom"/>
          </w:tcPr>
          <w:p w14:paraId="2A73AB5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B5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Unrealized</w:t>
            </w:r>
          </w:p>
          <w:p w14:paraId="2A73AB5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Gains</w:t>
            </w:r>
          </w:p>
        </w:tc>
        <w:tc>
          <w:tcPr>
            <w:tcW w:w="0" w:type="auto"/>
            <w:shd w:val="clear" w:color="auto" w:fill="auto"/>
            <w:tcMar>
              <w:top w:w="40" w:type="dxa"/>
              <w:left w:w="40" w:type="dxa"/>
              <w:bottom w:w="40" w:type="dxa"/>
              <w:right w:w="40" w:type="dxa"/>
            </w:tcMar>
            <w:vAlign w:val="bottom"/>
          </w:tcPr>
          <w:p w14:paraId="2A73AB5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B5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Unrealized</w:t>
            </w:r>
          </w:p>
          <w:p w14:paraId="2A73AB5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Losses</w:t>
            </w:r>
          </w:p>
        </w:tc>
        <w:tc>
          <w:tcPr>
            <w:tcW w:w="0" w:type="auto"/>
            <w:shd w:val="clear" w:color="auto" w:fill="auto"/>
            <w:tcMar>
              <w:top w:w="40" w:type="dxa"/>
              <w:left w:w="40" w:type="dxa"/>
              <w:bottom w:w="40" w:type="dxa"/>
              <w:right w:w="40" w:type="dxa"/>
            </w:tcMar>
            <w:vAlign w:val="bottom"/>
          </w:tcPr>
          <w:p w14:paraId="2A73AB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B5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Fair</w:t>
            </w:r>
          </w:p>
          <w:p w14:paraId="2A73AB5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Value</w:t>
            </w:r>
          </w:p>
        </w:tc>
        <w:tc>
          <w:tcPr>
            <w:tcW w:w="0" w:type="auto"/>
            <w:shd w:val="clear" w:color="auto" w:fill="auto"/>
            <w:tcMar>
              <w:top w:w="40" w:type="dxa"/>
              <w:left w:w="40" w:type="dxa"/>
              <w:bottom w:w="40" w:type="dxa"/>
              <w:right w:w="40" w:type="dxa"/>
            </w:tcMar>
            <w:vAlign w:val="bottom"/>
          </w:tcPr>
          <w:p w14:paraId="2A73AB5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B5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Cash and</w:t>
            </w:r>
          </w:p>
          <w:p w14:paraId="2A73AB5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Cash</w:t>
            </w:r>
          </w:p>
          <w:p w14:paraId="2A73AB5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Equivalents</w:t>
            </w:r>
          </w:p>
        </w:tc>
        <w:tc>
          <w:tcPr>
            <w:tcW w:w="0" w:type="auto"/>
            <w:shd w:val="clear" w:color="auto" w:fill="auto"/>
            <w:tcMar>
              <w:top w:w="40" w:type="dxa"/>
              <w:left w:w="40" w:type="dxa"/>
              <w:bottom w:w="40" w:type="dxa"/>
              <w:right w:w="40" w:type="dxa"/>
            </w:tcMar>
            <w:vAlign w:val="bottom"/>
          </w:tcPr>
          <w:p w14:paraId="2A73AB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B5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Short-Term</w:t>
            </w:r>
          </w:p>
          <w:p w14:paraId="2A73AB60"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Marketable</w:t>
            </w:r>
          </w:p>
          <w:p w14:paraId="2A73AB6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Securities</w:t>
            </w:r>
          </w:p>
        </w:tc>
        <w:tc>
          <w:tcPr>
            <w:tcW w:w="0" w:type="auto"/>
            <w:shd w:val="clear" w:color="auto" w:fill="auto"/>
            <w:tcMar>
              <w:top w:w="40" w:type="dxa"/>
              <w:left w:w="40" w:type="dxa"/>
              <w:bottom w:w="40" w:type="dxa"/>
              <w:right w:w="40" w:type="dxa"/>
            </w:tcMar>
            <w:vAlign w:val="bottom"/>
          </w:tcPr>
          <w:p w14:paraId="2A73AB6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B6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Long-Term</w:t>
            </w:r>
          </w:p>
          <w:p w14:paraId="2A73AB6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Marketable</w:t>
            </w:r>
          </w:p>
          <w:p w14:paraId="2A73AB6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Securities</w:t>
            </w:r>
          </w:p>
        </w:tc>
      </w:tr>
      <w:tr w:rsidR="00FA5565" w14:paraId="2A73AB83" w14:textId="77777777">
        <w:tc>
          <w:tcPr>
            <w:tcW w:w="0" w:type="auto"/>
            <w:shd w:val="clear" w:color="auto" w:fill="auto"/>
            <w:tcMar>
              <w:top w:w="40" w:type="dxa"/>
              <w:left w:w="40" w:type="dxa"/>
              <w:bottom w:w="40" w:type="dxa"/>
              <w:right w:w="40" w:type="dxa"/>
            </w:tcMar>
          </w:tcPr>
          <w:p w14:paraId="2A73AB67"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Cash</w:t>
            </w:r>
          </w:p>
        </w:tc>
        <w:tc>
          <w:tcPr>
            <w:tcW w:w="0" w:type="auto"/>
            <w:tcBorders>
              <w:top w:val="single" w:sz="8" w:space="0" w:color="000000"/>
            </w:tcBorders>
            <w:shd w:val="clear" w:color="auto" w:fill="auto"/>
            <w:tcMar>
              <w:top w:w="40" w:type="dxa"/>
              <w:left w:w="40" w:type="dxa"/>
              <w:bottom w:w="40" w:type="dxa"/>
            </w:tcMar>
            <w:vAlign w:val="bottom"/>
          </w:tcPr>
          <w:p w14:paraId="2A73AB68"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B6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12,204</w:t>
            </w:r>
          </w:p>
        </w:tc>
        <w:tc>
          <w:tcPr>
            <w:tcW w:w="0" w:type="auto"/>
            <w:tcBorders>
              <w:top w:val="single" w:sz="8" w:space="0" w:color="000000"/>
            </w:tcBorders>
            <w:shd w:val="clear" w:color="auto" w:fill="auto"/>
            <w:vAlign w:val="bottom"/>
          </w:tcPr>
          <w:p w14:paraId="2A73AB6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B6C"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B6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2A73AB6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6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B70"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B7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2A73AB7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7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B74"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B7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12,204</w:t>
            </w:r>
          </w:p>
        </w:tc>
        <w:tc>
          <w:tcPr>
            <w:tcW w:w="0" w:type="auto"/>
            <w:tcBorders>
              <w:top w:val="single" w:sz="8" w:space="0" w:color="000000"/>
            </w:tcBorders>
            <w:shd w:val="clear" w:color="auto" w:fill="auto"/>
            <w:vAlign w:val="bottom"/>
          </w:tcPr>
          <w:p w14:paraId="2A73AB7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B78"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B7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12,204</w:t>
            </w:r>
          </w:p>
        </w:tc>
        <w:tc>
          <w:tcPr>
            <w:tcW w:w="0" w:type="auto"/>
            <w:tcBorders>
              <w:top w:val="single" w:sz="8" w:space="0" w:color="000000"/>
            </w:tcBorders>
            <w:shd w:val="clear" w:color="auto" w:fill="auto"/>
            <w:vAlign w:val="bottom"/>
          </w:tcPr>
          <w:p w14:paraId="2A73AB7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7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B7C"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B7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2A73AB7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7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B80"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B8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2A73AB82" w14:textId="77777777" w:rsidR="00FA5565" w:rsidRDefault="00FA5565">
            <w:pPr>
              <w:textAlignment w:val="bottom"/>
              <w:rPr>
                <w:rFonts w:ascii="Times New Roman" w:hAnsi="Times New Roman"/>
                <w:sz w:val="20"/>
                <w:szCs w:val="20"/>
              </w:rPr>
            </w:pPr>
          </w:p>
        </w:tc>
      </w:tr>
      <w:tr w:rsidR="00FA5565" w14:paraId="2A73AB92" w14:textId="77777777">
        <w:tc>
          <w:tcPr>
            <w:tcW w:w="0" w:type="auto"/>
            <w:shd w:val="clear" w:color="auto" w:fill="EFEFEF"/>
            <w:tcMar>
              <w:top w:w="40" w:type="dxa"/>
              <w:left w:w="40" w:type="dxa"/>
              <w:bottom w:w="40" w:type="dxa"/>
              <w:right w:w="40" w:type="dxa"/>
            </w:tcMar>
            <w:vAlign w:val="bottom"/>
          </w:tcPr>
          <w:p w14:paraId="2A73AB84" w14:textId="77777777" w:rsidR="00FA5565" w:rsidRDefault="00D804D1">
            <w:pPr>
              <w:ind w:hanging="240"/>
              <w:textAlignment w:val="bottom"/>
              <w:rPr>
                <w:rFonts w:ascii="Times New Roman" w:hAnsi="Times New Roman"/>
                <w:sz w:val="16"/>
                <w:szCs w:val="16"/>
              </w:rPr>
            </w:pPr>
            <w:r>
              <w:rPr>
                <w:rFonts w:ascii="Helvetica" w:eastAsia="Helvetica" w:hAnsi="Helvetica" w:cs="Helvetica"/>
                <w:sz w:val="16"/>
                <w:szCs w:val="16"/>
              </w:rPr>
              <w:t>Level 1 (1):</w:t>
            </w:r>
          </w:p>
        </w:tc>
        <w:tc>
          <w:tcPr>
            <w:tcW w:w="0" w:type="auto"/>
            <w:gridSpan w:val="3"/>
            <w:shd w:val="clear" w:color="auto" w:fill="EFEFEF"/>
            <w:tcMar>
              <w:top w:w="40" w:type="dxa"/>
              <w:left w:w="40" w:type="dxa"/>
              <w:bottom w:w="40" w:type="dxa"/>
              <w:right w:w="40" w:type="dxa"/>
            </w:tcMar>
            <w:vAlign w:val="bottom"/>
          </w:tcPr>
          <w:p w14:paraId="2A73AB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B8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B8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B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B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B8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B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B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B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B8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B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B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B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BA8" w14:textId="77777777">
        <w:tc>
          <w:tcPr>
            <w:tcW w:w="0" w:type="auto"/>
            <w:shd w:val="clear" w:color="auto" w:fill="auto"/>
            <w:tcMar>
              <w:top w:w="40" w:type="dxa"/>
              <w:left w:w="240" w:type="dxa"/>
              <w:bottom w:w="40" w:type="dxa"/>
              <w:right w:w="40" w:type="dxa"/>
            </w:tcMar>
          </w:tcPr>
          <w:p w14:paraId="2A73AB93"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Money market funds</w:t>
            </w:r>
          </w:p>
        </w:tc>
        <w:tc>
          <w:tcPr>
            <w:tcW w:w="0" w:type="auto"/>
            <w:gridSpan w:val="2"/>
            <w:shd w:val="clear" w:color="auto" w:fill="auto"/>
            <w:tcMar>
              <w:top w:w="40" w:type="dxa"/>
              <w:left w:w="40" w:type="dxa"/>
              <w:bottom w:w="40" w:type="dxa"/>
            </w:tcMar>
            <w:vAlign w:val="bottom"/>
          </w:tcPr>
          <w:p w14:paraId="2A73AB9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shd w:val="clear" w:color="auto" w:fill="auto"/>
            <w:vAlign w:val="bottom"/>
          </w:tcPr>
          <w:p w14:paraId="2A73AB9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9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9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B9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9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B9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9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shd w:val="clear" w:color="auto" w:fill="auto"/>
            <w:vAlign w:val="bottom"/>
          </w:tcPr>
          <w:p w14:paraId="2A73AB9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9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A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shd w:val="clear" w:color="auto" w:fill="auto"/>
            <w:vAlign w:val="bottom"/>
          </w:tcPr>
          <w:p w14:paraId="2A73ABA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A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A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BA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A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BA7" w14:textId="77777777" w:rsidR="00FA5565" w:rsidRDefault="00FA5565">
            <w:pPr>
              <w:textAlignment w:val="bottom"/>
              <w:rPr>
                <w:rFonts w:ascii="Times New Roman" w:hAnsi="Times New Roman"/>
                <w:sz w:val="20"/>
                <w:szCs w:val="20"/>
              </w:rPr>
            </w:pPr>
          </w:p>
        </w:tc>
      </w:tr>
      <w:tr w:rsidR="00FA5565" w14:paraId="2A73ABBE" w14:textId="77777777">
        <w:tc>
          <w:tcPr>
            <w:tcW w:w="0" w:type="auto"/>
            <w:shd w:val="clear" w:color="auto" w:fill="EFEFEF"/>
            <w:tcMar>
              <w:top w:w="40" w:type="dxa"/>
              <w:left w:w="880" w:type="dxa"/>
              <w:bottom w:w="40" w:type="dxa"/>
              <w:right w:w="40" w:type="dxa"/>
            </w:tcMar>
          </w:tcPr>
          <w:p w14:paraId="2A73ABA9"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Subtotal</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BA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tcBorders>
              <w:top w:val="single" w:sz="8" w:space="0" w:color="000000"/>
              <w:bottom w:val="single" w:sz="8" w:space="0" w:color="000000"/>
            </w:tcBorders>
            <w:shd w:val="clear" w:color="auto" w:fill="EFEFEF"/>
            <w:vAlign w:val="bottom"/>
          </w:tcPr>
          <w:p w14:paraId="2A73ABA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A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BA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2A73ABA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A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BB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2A73ABB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B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BB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tcBorders>
              <w:top w:val="single" w:sz="8" w:space="0" w:color="000000"/>
              <w:bottom w:val="single" w:sz="8" w:space="0" w:color="000000"/>
            </w:tcBorders>
            <w:shd w:val="clear" w:color="auto" w:fill="EFEFEF"/>
            <w:vAlign w:val="bottom"/>
          </w:tcPr>
          <w:p w14:paraId="2A73ABB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B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BB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15,897</w:t>
            </w:r>
          </w:p>
        </w:tc>
        <w:tc>
          <w:tcPr>
            <w:tcW w:w="0" w:type="auto"/>
            <w:tcBorders>
              <w:top w:val="single" w:sz="8" w:space="0" w:color="000000"/>
              <w:bottom w:val="single" w:sz="8" w:space="0" w:color="000000"/>
            </w:tcBorders>
            <w:shd w:val="clear" w:color="auto" w:fill="EFEFEF"/>
            <w:vAlign w:val="bottom"/>
          </w:tcPr>
          <w:p w14:paraId="2A73ABB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B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BB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2A73ABB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B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BB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EFEFEF"/>
            <w:vAlign w:val="bottom"/>
          </w:tcPr>
          <w:p w14:paraId="2A73ABBD" w14:textId="77777777" w:rsidR="00FA5565" w:rsidRDefault="00FA5565">
            <w:pPr>
              <w:textAlignment w:val="bottom"/>
              <w:rPr>
                <w:rFonts w:ascii="Times New Roman" w:hAnsi="Times New Roman"/>
                <w:sz w:val="20"/>
                <w:szCs w:val="20"/>
              </w:rPr>
            </w:pPr>
          </w:p>
        </w:tc>
      </w:tr>
      <w:tr w:rsidR="00FA5565" w14:paraId="2A73ABCD" w14:textId="77777777">
        <w:tc>
          <w:tcPr>
            <w:tcW w:w="0" w:type="auto"/>
            <w:shd w:val="clear" w:color="auto" w:fill="auto"/>
            <w:tcMar>
              <w:top w:w="40" w:type="dxa"/>
              <w:left w:w="40" w:type="dxa"/>
              <w:bottom w:w="40" w:type="dxa"/>
              <w:right w:w="40" w:type="dxa"/>
            </w:tcMar>
            <w:vAlign w:val="bottom"/>
          </w:tcPr>
          <w:p w14:paraId="2A73ABBF" w14:textId="77777777" w:rsidR="00FA5565" w:rsidRDefault="00D804D1">
            <w:pPr>
              <w:ind w:hanging="240"/>
              <w:textAlignment w:val="bottom"/>
              <w:rPr>
                <w:rFonts w:ascii="Times New Roman" w:hAnsi="Times New Roman"/>
                <w:sz w:val="16"/>
                <w:szCs w:val="16"/>
              </w:rPr>
            </w:pPr>
            <w:r>
              <w:rPr>
                <w:rFonts w:ascii="Helvetica" w:eastAsia="Helvetica" w:hAnsi="Helvetica" w:cs="Helvetica"/>
                <w:sz w:val="16"/>
                <w:szCs w:val="16"/>
              </w:rPr>
              <w:t>Level 2 (2):</w:t>
            </w:r>
          </w:p>
        </w:tc>
        <w:tc>
          <w:tcPr>
            <w:tcW w:w="0" w:type="auto"/>
            <w:gridSpan w:val="3"/>
            <w:shd w:val="clear" w:color="auto" w:fill="auto"/>
            <w:tcMar>
              <w:top w:w="40" w:type="dxa"/>
              <w:left w:w="40" w:type="dxa"/>
              <w:bottom w:w="40" w:type="dxa"/>
              <w:right w:w="40" w:type="dxa"/>
            </w:tcMar>
            <w:vAlign w:val="bottom"/>
          </w:tcPr>
          <w:p w14:paraId="2A73ABC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B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BC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B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BC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B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BC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BC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B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BC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BC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B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BC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BE3" w14:textId="77777777">
        <w:tc>
          <w:tcPr>
            <w:tcW w:w="0" w:type="auto"/>
            <w:shd w:val="clear" w:color="auto" w:fill="EFEFEF"/>
            <w:tcMar>
              <w:top w:w="40" w:type="dxa"/>
              <w:left w:w="240" w:type="dxa"/>
              <w:bottom w:w="40" w:type="dxa"/>
              <w:right w:w="40" w:type="dxa"/>
            </w:tcMar>
          </w:tcPr>
          <w:p w14:paraId="2A73ABCE"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U.S. Treasury securities</w:t>
            </w:r>
          </w:p>
        </w:tc>
        <w:tc>
          <w:tcPr>
            <w:tcW w:w="0" w:type="auto"/>
            <w:gridSpan w:val="2"/>
            <w:shd w:val="clear" w:color="auto" w:fill="EFEFEF"/>
            <w:tcMar>
              <w:top w:w="40" w:type="dxa"/>
              <w:left w:w="40" w:type="dxa"/>
              <w:bottom w:w="40" w:type="dxa"/>
            </w:tcMar>
            <w:vAlign w:val="bottom"/>
          </w:tcPr>
          <w:p w14:paraId="2A73ABC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30,293</w:t>
            </w:r>
          </w:p>
        </w:tc>
        <w:tc>
          <w:tcPr>
            <w:tcW w:w="0" w:type="auto"/>
            <w:shd w:val="clear" w:color="auto" w:fill="EFEFEF"/>
            <w:vAlign w:val="bottom"/>
          </w:tcPr>
          <w:p w14:paraId="2A73ABD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BD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33</w:t>
            </w:r>
          </w:p>
        </w:tc>
        <w:tc>
          <w:tcPr>
            <w:tcW w:w="0" w:type="auto"/>
            <w:shd w:val="clear" w:color="auto" w:fill="EFEFEF"/>
            <w:vAlign w:val="bottom"/>
          </w:tcPr>
          <w:p w14:paraId="2A73ABD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BD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(62</w:t>
            </w:r>
          </w:p>
        </w:tc>
        <w:tc>
          <w:tcPr>
            <w:tcW w:w="0" w:type="auto"/>
            <w:shd w:val="clear" w:color="auto" w:fill="EFEFEF"/>
            <w:tcMar>
              <w:top w:w="40" w:type="dxa"/>
              <w:bottom w:w="40" w:type="dxa"/>
              <w:right w:w="40" w:type="dxa"/>
            </w:tcMar>
            <w:vAlign w:val="bottom"/>
          </w:tcPr>
          <w:p w14:paraId="2A73ABD6"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AB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BD8"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30,264</w:t>
            </w:r>
          </w:p>
        </w:tc>
        <w:tc>
          <w:tcPr>
            <w:tcW w:w="0" w:type="auto"/>
            <w:shd w:val="clear" w:color="auto" w:fill="EFEFEF"/>
            <w:vAlign w:val="bottom"/>
          </w:tcPr>
          <w:p w14:paraId="2A73ABD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D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BD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6,165</w:t>
            </w:r>
          </w:p>
        </w:tc>
        <w:tc>
          <w:tcPr>
            <w:tcW w:w="0" w:type="auto"/>
            <w:shd w:val="clear" w:color="auto" w:fill="EFEFEF"/>
            <w:vAlign w:val="bottom"/>
          </w:tcPr>
          <w:p w14:paraId="2A73ABD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BD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9,817</w:t>
            </w:r>
          </w:p>
        </w:tc>
        <w:tc>
          <w:tcPr>
            <w:tcW w:w="0" w:type="auto"/>
            <w:shd w:val="clear" w:color="auto" w:fill="EFEFEF"/>
            <w:vAlign w:val="bottom"/>
          </w:tcPr>
          <w:p w14:paraId="2A73ABD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E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BE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14,282</w:t>
            </w:r>
          </w:p>
        </w:tc>
        <w:tc>
          <w:tcPr>
            <w:tcW w:w="0" w:type="auto"/>
            <w:shd w:val="clear" w:color="auto" w:fill="EFEFEF"/>
            <w:vAlign w:val="bottom"/>
          </w:tcPr>
          <w:p w14:paraId="2A73ABE2" w14:textId="77777777" w:rsidR="00FA5565" w:rsidRDefault="00FA5565">
            <w:pPr>
              <w:textAlignment w:val="bottom"/>
              <w:rPr>
                <w:rFonts w:ascii="Times New Roman" w:hAnsi="Times New Roman"/>
                <w:sz w:val="20"/>
                <w:szCs w:val="20"/>
              </w:rPr>
            </w:pPr>
          </w:p>
        </w:tc>
      </w:tr>
      <w:tr w:rsidR="00FA5565" w14:paraId="2A73ABF9" w14:textId="77777777">
        <w:tc>
          <w:tcPr>
            <w:tcW w:w="0" w:type="auto"/>
            <w:shd w:val="clear" w:color="auto" w:fill="auto"/>
            <w:tcMar>
              <w:top w:w="40" w:type="dxa"/>
              <w:left w:w="240" w:type="dxa"/>
              <w:bottom w:w="40" w:type="dxa"/>
              <w:right w:w="40" w:type="dxa"/>
            </w:tcMar>
          </w:tcPr>
          <w:p w14:paraId="2A73ABE4"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U.S. agency securities</w:t>
            </w:r>
          </w:p>
        </w:tc>
        <w:tc>
          <w:tcPr>
            <w:tcW w:w="0" w:type="auto"/>
            <w:gridSpan w:val="2"/>
            <w:shd w:val="clear" w:color="auto" w:fill="auto"/>
            <w:tcMar>
              <w:top w:w="40" w:type="dxa"/>
              <w:left w:w="40" w:type="dxa"/>
              <w:bottom w:w="40" w:type="dxa"/>
            </w:tcMar>
            <w:vAlign w:val="bottom"/>
          </w:tcPr>
          <w:p w14:paraId="2A73ABE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9,767</w:t>
            </w:r>
          </w:p>
        </w:tc>
        <w:tc>
          <w:tcPr>
            <w:tcW w:w="0" w:type="auto"/>
            <w:shd w:val="clear" w:color="auto" w:fill="auto"/>
            <w:vAlign w:val="bottom"/>
          </w:tcPr>
          <w:p w14:paraId="2A73ABE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E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E8"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vAlign w:val="bottom"/>
          </w:tcPr>
          <w:p w14:paraId="2A73ABE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E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w:t>
            </w:r>
          </w:p>
        </w:tc>
        <w:tc>
          <w:tcPr>
            <w:tcW w:w="0" w:type="auto"/>
            <w:shd w:val="clear" w:color="auto" w:fill="auto"/>
            <w:tcMar>
              <w:top w:w="40" w:type="dxa"/>
              <w:bottom w:w="40" w:type="dxa"/>
              <w:right w:w="40" w:type="dxa"/>
            </w:tcMar>
            <w:vAlign w:val="bottom"/>
          </w:tcPr>
          <w:p w14:paraId="2A73ABEC"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ABE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E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9,765</w:t>
            </w:r>
          </w:p>
        </w:tc>
        <w:tc>
          <w:tcPr>
            <w:tcW w:w="0" w:type="auto"/>
            <w:shd w:val="clear" w:color="auto" w:fill="auto"/>
            <w:vAlign w:val="bottom"/>
          </w:tcPr>
          <w:p w14:paraId="2A73ABE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F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F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6,489</w:t>
            </w:r>
          </w:p>
        </w:tc>
        <w:tc>
          <w:tcPr>
            <w:tcW w:w="0" w:type="auto"/>
            <w:shd w:val="clear" w:color="auto" w:fill="auto"/>
            <w:vAlign w:val="bottom"/>
          </w:tcPr>
          <w:p w14:paraId="2A73ABF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F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F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2,249</w:t>
            </w:r>
          </w:p>
        </w:tc>
        <w:tc>
          <w:tcPr>
            <w:tcW w:w="0" w:type="auto"/>
            <w:shd w:val="clear" w:color="auto" w:fill="auto"/>
            <w:vAlign w:val="bottom"/>
          </w:tcPr>
          <w:p w14:paraId="2A73ABF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BF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BF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1,027</w:t>
            </w:r>
          </w:p>
        </w:tc>
        <w:tc>
          <w:tcPr>
            <w:tcW w:w="0" w:type="auto"/>
            <w:shd w:val="clear" w:color="auto" w:fill="auto"/>
            <w:vAlign w:val="bottom"/>
          </w:tcPr>
          <w:p w14:paraId="2A73ABF8" w14:textId="77777777" w:rsidR="00FA5565" w:rsidRDefault="00FA5565">
            <w:pPr>
              <w:textAlignment w:val="bottom"/>
              <w:rPr>
                <w:rFonts w:ascii="Times New Roman" w:hAnsi="Times New Roman"/>
                <w:sz w:val="20"/>
                <w:szCs w:val="20"/>
              </w:rPr>
            </w:pPr>
          </w:p>
        </w:tc>
      </w:tr>
      <w:tr w:rsidR="00FA5565" w14:paraId="2A73AC0F" w14:textId="77777777">
        <w:tc>
          <w:tcPr>
            <w:tcW w:w="0" w:type="auto"/>
            <w:shd w:val="clear" w:color="auto" w:fill="EFEFEF"/>
            <w:tcMar>
              <w:top w:w="40" w:type="dxa"/>
              <w:left w:w="240" w:type="dxa"/>
              <w:bottom w:w="40" w:type="dxa"/>
              <w:right w:w="40" w:type="dxa"/>
            </w:tcMar>
          </w:tcPr>
          <w:p w14:paraId="2A73ABFA"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Non-U.S. government securities</w:t>
            </w:r>
          </w:p>
        </w:tc>
        <w:tc>
          <w:tcPr>
            <w:tcW w:w="0" w:type="auto"/>
            <w:gridSpan w:val="2"/>
            <w:shd w:val="clear" w:color="auto" w:fill="EFEFEF"/>
            <w:tcMar>
              <w:top w:w="40" w:type="dxa"/>
              <w:left w:w="40" w:type="dxa"/>
              <w:bottom w:w="40" w:type="dxa"/>
            </w:tcMar>
            <w:vAlign w:val="bottom"/>
          </w:tcPr>
          <w:p w14:paraId="2A73ABF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19,821</w:t>
            </w:r>
          </w:p>
        </w:tc>
        <w:tc>
          <w:tcPr>
            <w:tcW w:w="0" w:type="auto"/>
            <w:shd w:val="clear" w:color="auto" w:fill="EFEFEF"/>
            <w:vAlign w:val="bottom"/>
          </w:tcPr>
          <w:p w14:paraId="2A73ABF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B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BF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337</w:t>
            </w:r>
          </w:p>
        </w:tc>
        <w:tc>
          <w:tcPr>
            <w:tcW w:w="0" w:type="auto"/>
            <w:shd w:val="clear" w:color="auto" w:fill="EFEFEF"/>
            <w:vAlign w:val="bottom"/>
          </w:tcPr>
          <w:p w14:paraId="2A73ABF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0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0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(50</w:t>
            </w:r>
          </w:p>
        </w:tc>
        <w:tc>
          <w:tcPr>
            <w:tcW w:w="0" w:type="auto"/>
            <w:shd w:val="clear" w:color="auto" w:fill="EFEFEF"/>
            <w:tcMar>
              <w:top w:w="40" w:type="dxa"/>
              <w:bottom w:w="40" w:type="dxa"/>
              <w:right w:w="40" w:type="dxa"/>
            </w:tcMar>
            <w:vAlign w:val="bottom"/>
          </w:tcPr>
          <w:p w14:paraId="2A73AC02"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AC0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0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20,108</w:t>
            </w:r>
          </w:p>
        </w:tc>
        <w:tc>
          <w:tcPr>
            <w:tcW w:w="0" w:type="auto"/>
            <w:shd w:val="clear" w:color="auto" w:fill="EFEFEF"/>
            <w:vAlign w:val="bottom"/>
          </w:tcPr>
          <w:p w14:paraId="2A73AC0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0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749</w:t>
            </w:r>
          </w:p>
        </w:tc>
        <w:tc>
          <w:tcPr>
            <w:tcW w:w="0" w:type="auto"/>
            <w:shd w:val="clear" w:color="auto" w:fill="EFEFEF"/>
            <w:vAlign w:val="bottom"/>
          </w:tcPr>
          <w:p w14:paraId="2A73AC0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0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0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3,168</w:t>
            </w:r>
          </w:p>
        </w:tc>
        <w:tc>
          <w:tcPr>
            <w:tcW w:w="0" w:type="auto"/>
            <w:shd w:val="clear" w:color="auto" w:fill="EFEFEF"/>
            <w:vAlign w:val="bottom"/>
          </w:tcPr>
          <w:p w14:paraId="2A73AC0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0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16,191</w:t>
            </w:r>
          </w:p>
        </w:tc>
        <w:tc>
          <w:tcPr>
            <w:tcW w:w="0" w:type="auto"/>
            <w:shd w:val="clear" w:color="auto" w:fill="EFEFEF"/>
            <w:vAlign w:val="bottom"/>
          </w:tcPr>
          <w:p w14:paraId="2A73AC0E" w14:textId="77777777" w:rsidR="00FA5565" w:rsidRDefault="00FA5565">
            <w:pPr>
              <w:textAlignment w:val="bottom"/>
              <w:rPr>
                <w:rFonts w:ascii="Times New Roman" w:hAnsi="Times New Roman"/>
                <w:sz w:val="20"/>
                <w:szCs w:val="20"/>
              </w:rPr>
            </w:pPr>
          </w:p>
        </w:tc>
      </w:tr>
      <w:tr w:rsidR="00FA5565" w14:paraId="2A73AC25" w14:textId="77777777">
        <w:tc>
          <w:tcPr>
            <w:tcW w:w="0" w:type="auto"/>
            <w:shd w:val="clear" w:color="auto" w:fill="auto"/>
            <w:tcMar>
              <w:top w:w="40" w:type="dxa"/>
              <w:left w:w="240" w:type="dxa"/>
              <w:bottom w:w="40" w:type="dxa"/>
              <w:right w:w="40" w:type="dxa"/>
            </w:tcMar>
          </w:tcPr>
          <w:p w14:paraId="2A73AC10"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Certificates of deposit and time deposits</w:t>
            </w:r>
          </w:p>
        </w:tc>
        <w:tc>
          <w:tcPr>
            <w:tcW w:w="0" w:type="auto"/>
            <w:gridSpan w:val="2"/>
            <w:shd w:val="clear" w:color="auto" w:fill="auto"/>
            <w:tcMar>
              <w:top w:w="40" w:type="dxa"/>
              <w:left w:w="40" w:type="dxa"/>
              <w:bottom w:w="40" w:type="dxa"/>
            </w:tcMar>
            <w:vAlign w:val="bottom"/>
          </w:tcPr>
          <w:p w14:paraId="2A73AC1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4,041</w:t>
            </w:r>
          </w:p>
        </w:tc>
        <w:tc>
          <w:tcPr>
            <w:tcW w:w="0" w:type="auto"/>
            <w:shd w:val="clear" w:color="auto" w:fill="auto"/>
            <w:vAlign w:val="bottom"/>
          </w:tcPr>
          <w:p w14:paraId="2A73AC1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1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1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C1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1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C1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1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4,041</w:t>
            </w:r>
          </w:p>
        </w:tc>
        <w:tc>
          <w:tcPr>
            <w:tcW w:w="0" w:type="auto"/>
            <w:shd w:val="clear" w:color="auto" w:fill="auto"/>
            <w:vAlign w:val="bottom"/>
          </w:tcPr>
          <w:p w14:paraId="2A73AC1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1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2,024</w:t>
            </w:r>
          </w:p>
        </w:tc>
        <w:tc>
          <w:tcPr>
            <w:tcW w:w="0" w:type="auto"/>
            <w:shd w:val="clear" w:color="auto" w:fill="auto"/>
            <w:vAlign w:val="bottom"/>
          </w:tcPr>
          <w:p w14:paraId="2A73AC1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1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2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1,922</w:t>
            </w:r>
          </w:p>
        </w:tc>
        <w:tc>
          <w:tcPr>
            <w:tcW w:w="0" w:type="auto"/>
            <w:shd w:val="clear" w:color="auto" w:fill="auto"/>
            <w:vAlign w:val="bottom"/>
          </w:tcPr>
          <w:p w14:paraId="2A73AC2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2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2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95</w:t>
            </w:r>
          </w:p>
        </w:tc>
        <w:tc>
          <w:tcPr>
            <w:tcW w:w="0" w:type="auto"/>
            <w:shd w:val="clear" w:color="auto" w:fill="auto"/>
            <w:vAlign w:val="bottom"/>
          </w:tcPr>
          <w:p w14:paraId="2A73AC24" w14:textId="77777777" w:rsidR="00FA5565" w:rsidRDefault="00FA5565">
            <w:pPr>
              <w:textAlignment w:val="bottom"/>
              <w:rPr>
                <w:rFonts w:ascii="Times New Roman" w:hAnsi="Times New Roman"/>
                <w:sz w:val="20"/>
                <w:szCs w:val="20"/>
              </w:rPr>
            </w:pPr>
          </w:p>
        </w:tc>
      </w:tr>
      <w:tr w:rsidR="00FA5565" w14:paraId="2A73AC3B" w14:textId="77777777">
        <w:tc>
          <w:tcPr>
            <w:tcW w:w="0" w:type="auto"/>
            <w:shd w:val="clear" w:color="auto" w:fill="EFEFEF"/>
            <w:tcMar>
              <w:top w:w="40" w:type="dxa"/>
              <w:left w:w="240" w:type="dxa"/>
              <w:bottom w:w="40" w:type="dxa"/>
              <w:right w:w="40" w:type="dxa"/>
            </w:tcMar>
          </w:tcPr>
          <w:p w14:paraId="2A73AC26"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Commercial paper</w:t>
            </w:r>
          </w:p>
        </w:tc>
        <w:tc>
          <w:tcPr>
            <w:tcW w:w="0" w:type="auto"/>
            <w:gridSpan w:val="2"/>
            <w:shd w:val="clear" w:color="auto" w:fill="EFEFEF"/>
            <w:tcMar>
              <w:top w:w="40" w:type="dxa"/>
              <w:left w:w="40" w:type="dxa"/>
              <w:bottom w:w="40" w:type="dxa"/>
            </w:tcMar>
            <w:vAlign w:val="bottom"/>
          </w:tcPr>
          <w:p w14:paraId="2A73AC2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12,433</w:t>
            </w:r>
          </w:p>
        </w:tc>
        <w:tc>
          <w:tcPr>
            <w:tcW w:w="0" w:type="auto"/>
            <w:shd w:val="clear" w:color="auto" w:fill="EFEFEF"/>
            <w:vAlign w:val="bottom"/>
          </w:tcPr>
          <w:p w14:paraId="2A73AC2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2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2A73AC2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2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2A73AC2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2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3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12,433</w:t>
            </w:r>
          </w:p>
        </w:tc>
        <w:tc>
          <w:tcPr>
            <w:tcW w:w="0" w:type="auto"/>
            <w:shd w:val="clear" w:color="auto" w:fill="EFEFEF"/>
            <w:vAlign w:val="bottom"/>
          </w:tcPr>
          <w:p w14:paraId="2A73AC3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3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5,193</w:t>
            </w:r>
          </w:p>
        </w:tc>
        <w:tc>
          <w:tcPr>
            <w:tcW w:w="0" w:type="auto"/>
            <w:shd w:val="clear" w:color="auto" w:fill="EFEFEF"/>
            <w:vAlign w:val="bottom"/>
          </w:tcPr>
          <w:p w14:paraId="2A73AC3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3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7,240</w:t>
            </w:r>
          </w:p>
        </w:tc>
        <w:tc>
          <w:tcPr>
            <w:tcW w:w="0" w:type="auto"/>
            <w:shd w:val="clear" w:color="auto" w:fill="EFEFEF"/>
            <w:vAlign w:val="bottom"/>
          </w:tcPr>
          <w:p w14:paraId="2A73AC3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3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2A73AC3A" w14:textId="77777777" w:rsidR="00FA5565" w:rsidRDefault="00FA5565">
            <w:pPr>
              <w:textAlignment w:val="bottom"/>
              <w:rPr>
                <w:rFonts w:ascii="Times New Roman" w:hAnsi="Times New Roman"/>
                <w:sz w:val="20"/>
                <w:szCs w:val="20"/>
              </w:rPr>
            </w:pPr>
          </w:p>
        </w:tc>
      </w:tr>
      <w:tr w:rsidR="00FA5565" w14:paraId="2A73AC51" w14:textId="77777777">
        <w:tc>
          <w:tcPr>
            <w:tcW w:w="0" w:type="auto"/>
            <w:shd w:val="clear" w:color="auto" w:fill="auto"/>
            <w:tcMar>
              <w:top w:w="40" w:type="dxa"/>
              <w:left w:w="240" w:type="dxa"/>
              <w:bottom w:w="40" w:type="dxa"/>
              <w:right w:w="40" w:type="dxa"/>
            </w:tcMar>
          </w:tcPr>
          <w:p w14:paraId="2A73AC3C"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Corporate debt securities</w:t>
            </w:r>
          </w:p>
        </w:tc>
        <w:tc>
          <w:tcPr>
            <w:tcW w:w="0" w:type="auto"/>
            <w:gridSpan w:val="2"/>
            <w:shd w:val="clear" w:color="auto" w:fill="auto"/>
            <w:tcMar>
              <w:top w:w="40" w:type="dxa"/>
              <w:left w:w="40" w:type="dxa"/>
              <w:bottom w:w="40" w:type="dxa"/>
            </w:tcMar>
            <w:vAlign w:val="bottom"/>
          </w:tcPr>
          <w:p w14:paraId="2A73AC3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85,383</w:t>
            </w:r>
          </w:p>
        </w:tc>
        <w:tc>
          <w:tcPr>
            <w:tcW w:w="0" w:type="auto"/>
            <w:shd w:val="clear" w:color="auto" w:fill="auto"/>
            <w:vAlign w:val="bottom"/>
          </w:tcPr>
          <w:p w14:paraId="2A73AC3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4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756</w:t>
            </w:r>
          </w:p>
        </w:tc>
        <w:tc>
          <w:tcPr>
            <w:tcW w:w="0" w:type="auto"/>
            <w:shd w:val="clear" w:color="auto" w:fill="auto"/>
            <w:vAlign w:val="bottom"/>
          </w:tcPr>
          <w:p w14:paraId="2A73AC4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4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4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(92</w:t>
            </w:r>
          </w:p>
        </w:tc>
        <w:tc>
          <w:tcPr>
            <w:tcW w:w="0" w:type="auto"/>
            <w:shd w:val="clear" w:color="auto" w:fill="auto"/>
            <w:tcMar>
              <w:top w:w="40" w:type="dxa"/>
              <w:bottom w:w="40" w:type="dxa"/>
              <w:right w:w="40" w:type="dxa"/>
            </w:tcMar>
            <w:vAlign w:val="bottom"/>
          </w:tcPr>
          <w:p w14:paraId="2A73AC44"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AC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4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86,047</w:t>
            </w:r>
          </w:p>
        </w:tc>
        <w:tc>
          <w:tcPr>
            <w:tcW w:w="0" w:type="auto"/>
            <w:shd w:val="clear" w:color="auto" w:fill="auto"/>
            <w:vAlign w:val="bottom"/>
          </w:tcPr>
          <w:p w14:paraId="2A73AC4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4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4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123</w:t>
            </w:r>
          </w:p>
        </w:tc>
        <w:tc>
          <w:tcPr>
            <w:tcW w:w="0" w:type="auto"/>
            <w:shd w:val="clear" w:color="auto" w:fill="auto"/>
            <w:vAlign w:val="bottom"/>
          </w:tcPr>
          <w:p w14:paraId="2A73AC4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4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26,127</w:t>
            </w:r>
          </w:p>
        </w:tc>
        <w:tc>
          <w:tcPr>
            <w:tcW w:w="0" w:type="auto"/>
            <w:shd w:val="clear" w:color="auto" w:fill="auto"/>
            <w:vAlign w:val="bottom"/>
          </w:tcPr>
          <w:p w14:paraId="2A73AC4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C4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59,797</w:t>
            </w:r>
          </w:p>
        </w:tc>
        <w:tc>
          <w:tcPr>
            <w:tcW w:w="0" w:type="auto"/>
            <w:shd w:val="clear" w:color="auto" w:fill="auto"/>
            <w:vAlign w:val="bottom"/>
          </w:tcPr>
          <w:p w14:paraId="2A73AC50" w14:textId="77777777" w:rsidR="00FA5565" w:rsidRDefault="00FA5565">
            <w:pPr>
              <w:textAlignment w:val="bottom"/>
              <w:rPr>
                <w:rFonts w:ascii="Times New Roman" w:hAnsi="Times New Roman"/>
                <w:sz w:val="20"/>
                <w:szCs w:val="20"/>
              </w:rPr>
            </w:pPr>
          </w:p>
        </w:tc>
      </w:tr>
      <w:tr w:rsidR="00FA5565" w14:paraId="2A73AC67" w14:textId="77777777">
        <w:tc>
          <w:tcPr>
            <w:tcW w:w="0" w:type="auto"/>
            <w:shd w:val="clear" w:color="auto" w:fill="EFEFEF"/>
            <w:tcMar>
              <w:top w:w="40" w:type="dxa"/>
              <w:left w:w="240" w:type="dxa"/>
              <w:bottom w:w="40" w:type="dxa"/>
              <w:right w:w="40" w:type="dxa"/>
            </w:tcMar>
          </w:tcPr>
          <w:p w14:paraId="2A73AC52"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Municipal securities</w:t>
            </w:r>
          </w:p>
        </w:tc>
        <w:tc>
          <w:tcPr>
            <w:tcW w:w="0" w:type="auto"/>
            <w:gridSpan w:val="2"/>
            <w:shd w:val="clear" w:color="auto" w:fill="EFEFEF"/>
            <w:tcMar>
              <w:top w:w="40" w:type="dxa"/>
              <w:left w:w="40" w:type="dxa"/>
              <w:bottom w:w="40" w:type="dxa"/>
            </w:tcMar>
            <w:vAlign w:val="bottom"/>
          </w:tcPr>
          <w:p w14:paraId="2A73AC5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958</w:t>
            </w:r>
          </w:p>
        </w:tc>
        <w:tc>
          <w:tcPr>
            <w:tcW w:w="0" w:type="auto"/>
            <w:shd w:val="clear" w:color="auto" w:fill="EFEFEF"/>
            <w:vAlign w:val="bottom"/>
          </w:tcPr>
          <w:p w14:paraId="2A73AC5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5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5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w:t>
            </w:r>
          </w:p>
        </w:tc>
        <w:tc>
          <w:tcPr>
            <w:tcW w:w="0" w:type="auto"/>
            <w:shd w:val="clear" w:color="auto" w:fill="EFEFEF"/>
            <w:vAlign w:val="bottom"/>
          </w:tcPr>
          <w:p w14:paraId="2A73AC5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5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5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w:t>
            </w:r>
          </w:p>
        </w:tc>
        <w:tc>
          <w:tcPr>
            <w:tcW w:w="0" w:type="auto"/>
            <w:shd w:val="clear" w:color="auto" w:fill="EFEFEF"/>
            <w:tcMar>
              <w:top w:w="40" w:type="dxa"/>
              <w:bottom w:w="40" w:type="dxa"/>
              <w:right w:w="40" w:type="dxa"/>
            </w:tcMar>
            <w:vAlign w:val="bottom"/>
          </w:tcPr>
          <w:p w14:paraId="2A73AC5A"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AC5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5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965</w:t>
            </w:r>
          </w:p>
        </w:tc>
        <w:tc>
          <w:tcPr>
            <w:tcW w:w="0" w:type="auto"/>
            <w:shd w:val="clear" w:color="auto" w:fill="EFEFEF"/>
            <w:vAlign w:val="bottom"/>
          </w:tcPr>
          <w:p w14:paraId="2A73AC5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5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2A73AC6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6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6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68</w:t>
            </w:r>
          </w:p>
        </w:tc>
        <w:tc>
          <w:tcPr>
            <w:tcW w:w="0" w:type="auto"/>
            <w:shd w:val="clear" w:color="auto" w:fill="EFEFEF"/>
            <w:vAlign w:val="bottom"/>
          </w:tcPr>
          <w:p w14:paraId="2A73AC6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C6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897</w:t>
            </w:r>
          </w:p>
        </w:tc>
        <w:tc>
          <w:tcPr>
            <w:tcW w:w="0" w:type="auto"/>
            <w:shd w:val="clear" w:color="auto" w:fill="EFEFEF"/>
            <w:vAlign w:val="bottom"/>
          </w:tcPr>
          <w:p w14:paraId="2A73AC66" w14:textId="77777777" w:rsidR="00FA5565" w:rsidRDefault="00FA5565">
            <w:pPr>
              <w:textAlignment w:val="bottom"/>
              <w:rPr>
                <w:rFonts w:ascii="Times New Roman" w:hAnsi="Times New Roman"/>
                <w:sz w:val="20"/>
                <w:szCs w:val="20"/>
              </w:rPr>
            </w:pPr>
          </w:p>
        </w:tc>
      </w:tr>
      <w:tr w:rsidR="00FA5565" w14:paraId="2A73AC7D" w14:textId="77777777">
        <w:tc>
          <w:tcPr>
            <w:tcW w:w="0" w:type="auto"/>
            <w:shd w:val="clear" w:color="auto" w:fill="auto"/>
            <w:tcMar>
              <w:top w:w="40" w:type="dxa"/>
              <w:left w:w="240" w:type="dxa"/>
              <w:bottom w:w="40" w:type="dxa"/>
              <w:right w:w="40" w:type="dxa"/>
            </w:tcMar>
          </w:tcPr>
          <w:p w14:paraId="2A73AC68"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Mortgage- and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2A73AC6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14,180</w:t>
            </w:r>
          </w:p>
        </w:tc>
        <w:tc>
          <w:tcPr>
            <w:tcW w:w="0" w:type="auto"/>
            <w:tcBorders>
              <w:bottom w:val="single" w:sz="8" w:space="0" w:color="000000"/>
            </w:tcBorders>
            <w:shd w:val="clear" w:color="auto" w:fill="auto"/>
            <w:vAlign w:val="bottom"/>
          </w:tcPr>
          <w:p w14:paraId="2A73AC6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C6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67</w:t>
            </w:r>
          </w:p>
        </w:tc>
        <w:tc>
          <w:tcPr>
            <w:tcW w:w="0" w:type="auto"/>
            <w:tcBorders>
              <w:bottom w:val="single" w:sz="8" w:space="0" w:color="000000"/>
            </w:tcBorders>
            <w:shd w:val="clear" w:color="auto" w:fill="auto"/>
            <w:vAlign w:val="bottom"/>
          </w:tcPr>
          <w:p w14:paraId="2A73AC6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6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C6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(73</w:t>
            </w:r>
          </w:p>
        </w:tc>
        <w:tc>
          <w:tcPr>
            <w:tcW w:w="0" w:type="auto"/>
            <w:tcBorders>
              <w:bottom w:val="single" w:sz="8" w:space="0" w:color="000000"/>
            </w:tcBorders>
            <w:shd w:val="clear" w:color="auto" w:fill="auto"/>
            <w:tcMar>
              <w:top w:w="40" w:type="dxa"/>
              <w:bottom w:w="40" w:type="dxa"/>
              <w:right w:w="40" w:type="dxa"/>
            </w:tcMar>
            <w:vAlign w:val="bottom"/>
          </w:tcPr>
          <w:p w14:paraId="2A73AC70"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AC7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C7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14,174</w:t>
            </w:r>
          </w:p>
        </w:tc>
        <w:tc>
          <w:tcPr>
            <w:tcW w:w="0" w:type="auto"/>
            <w:tcBorders>
              <w:bottom w:val="single" w:sz="8" w:space="0" w:color="000000"/>
            </w:tcBorders>
            <w:shd w:val="clear" w:color="auto" w:fill="auto"/>
            <w:vAlign w:val="bottom"/>
          </w:tcPr>
          <w:p w14:paraId="2A73AC7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C7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single" w:sz="8" w:space="0" w:color="000000"/>
            </w:tcBorders>
            <w:shd w:val="clear" w:color="auto" w:fill="auto"/>
            <w:vAlign w:val="bottom"/>
          </w:tcPr>
          <w:p w14:paraId="2A73AC7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C78"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1,122</w:t>
            </w:r>
          </w:p>
        </w:tc>
        <w:tc>
          <w:tcPr>
            <w:tcW w:w="0" w:type="auto"/>
            <w:tcBorders>
              <w:bottom w:val="single" w:sz="8" w:space="0" w:color="000000"/>
            </w:tcBorders>
            <w:shd w:val="clear" w:color="auto" w:fill="auto"/>
            <w:vAlign w:val="bottom"/>
          </w:tcPr>
          <w:p w14:paraId="2A73AC7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7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AC7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13,052</w:t>
            </w:r>
          </w:p>
        </w:tc>
        <w:tc>
          <w:tcPr>
            <w:tcW w:w="0" w:type="auto"/>
            <w:tcBorders>
              <w:bottom w:val="single" w:sz="8" w:space="0" w:color="000000"/>
            </w:tcBorders>
            <w:shd w:val="clear" w:color="auto" w:fill="auto"/>
            <w:vAlign w:val="bottom"/>
          </w:tcPr>
          <w:p w14:paraId="2A73AC7C" w14:textId="77777777" w:rsidR="00FA5565" w:rsidRDefault="00FA5565">
            <w:pPr>
              <w:textAlignment w:val="bottom"/>
              <w:rPr>
                <w:rFonts w:ascii="Times New Roman" w:hAnsi="Times New Roman"/>
                <w:sz w:val="20"/>
                <w:szCs w:val="20"/>
              </w:rPr>
            </w:pPr>
          </w:p>
        </w:tc>
      </w:tr>
      <w:tr w:rsidR="00FA5565" w14:paraId="2A73AC93" w14:textId="77777777">
        <w:tc>
          <w:tcPr>
            <w:tcW w:w="0" w:type="auto"/>
            <w:shd w:val="clear" w:color="auto" w:fill="EFEFEF"/>
            <w:tcMar>
              <w:top w:w="40" w:type="dxa"/>
              <w:left w:w="560" w:type="dxa"/>
              <w:bottom w:w="40" w:type="dxa"/>
              <w:right w:w="40" w:type="dxa"/>
            </w:tcMar>
          </w:tcPr>
          <w:p w14:paraId="2A73AC7E"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Subtotal</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C7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176,876</w:t>
            </w:r>
          </w:p>
        </w:tc>
        <w:tc>
          <w:tcPr>
            <w:tcW w:w="0" w:type="auto"/>
            <w:tcBorders>
              <w:top w:val="single" w:sz="8" w:space="0" w:color="000000"/>
              <w:bottom w:val="single" w:sz="8" w:space="0" w:color="000000"/>
            </w:tcBorders>
            <w:shd w:val="clear" w:color="auto" w:fill="EFEFEF"/>
            <w:vAlign w:val="bottom"/>
          </w:tcPr>
          <w:p w14:paraId="2A73AC8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C8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1,202</w:t>
            </w:r>
          </w:p>
        </w:tc>
        <w:tc>
          <w:tcPr>
            <w:tcW w:w="0" w:type="auto"/>
            <w:tcBorders>
              <w:top w:val="single" w:sz="8" w:space="0" w:color="000000"/>
              <w:bottom w:val="single" w:sz="8" w:space="0" w:color="000000"/>
            </w:tcBorders>
            <w:shd w:val="clear" w:color="auto" w:fill="EFEFEF"/>
            <w:vAlign w:val="bottom"/>
          </w:tcPr>
          <w:p w14:paraId="2A73AC8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8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C8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(281</w:t>
            </w:r>
          </w:p>
        </w:tc>
        <w:tc>
          <w:tcPr>
            <w:tcW w:w="0" w:type="auto"/>
            <w:tcBorders>
              <w:top w:val="single" w:sz="8" w:space="0" w:color="000000"/>
              <w:bottom w:val="single" w:sz="8" w:space="0" w:color="000000"/>
            </w:tcBorders>
            <w:shd w:val="clear" w:color="auto" w:fill="EFEFEF"/>
            <w:tcMar>
              <w:top w:w="40" w:type="dxa"/>
              <w:bottom w:w="40" w:type="dxa"/>
              <w:right w:w="40" w:type="dxa"/>
            </w:tcMar>
            <w:vAlign w:val="bottom"/>
          </w:tcPr>
          <w:p w14:paraId="2A73AC86"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AC8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C88"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177,797</w:t>
            </w:r>
          </w:p>
        </w:tc>
        <w:tc>
          <w:tcPr>
            <w:tcW w:w="0" w:type="auto"/>
            <w:tcBorders>
              <w:top w:val="single" w:sz="8" w:space="0" w:color="000000"/>
              <w:bottom w:val="single" w:sz="8" w:space="0" w:color="000000"/>
            </w:tcBorders>
            <w:shd w:val="clear" w:color="auto" w:fill="EFEFEF"/>
            <w:vAlign w:val="bottom"/>
          </w:tcPr>
          <w:p w14:paraId="2A73AC8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8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C8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20,743</w:t>
            </w:r>
          </w:p>
        </w:tc>
        <w:tc>
          <w:tcPr>
            <w:tcW w:w="0" w:type="auto"/>
            <w:tcBorders>
              <w:top w:val="single" w:sz="8" w:space="0" w:color="000000"/>
              <w:bottom w:val="single" w:sz="8" w:space="0" w:color="000000"/>
            </w:tcBorders>
            <w:shd w:val="clear" w:color="auto" w:fill="EFEFEF"/>
            <w:vAlign w:val="bottom"/>
          </w:tcPr>
          <w:p w14:paraId="2A73AC8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C8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51,713</w:t>
            </w:r>
          </w:p>
        </w:tc>
        <w:tc>
          <w:tcPr>
            <w:tcW w:w="0" w:type="auto"/>
            <w:tcBorders>
              <w:top w:val="single" w:sz="8" w:space="0" w:color="000000"/>
              <w:bottom w:val="single" w:sz="8" w:space="0" w:color="000000"/>
            </w:tcBorders>
            <w:shd w:val="clear" w:color="auto" w:fill="EFEFEF"/>
            <w:vAlign w:val="bottom"/>
          </w:tcPr>
          <w:p w14:paraId="2A73AC8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C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FEFEF"/>
            <w:tcMar>
              <w:top w:w="40" w:type="dxa"/>
              <w:left w:w="40" w:type="dxa"/>
              <w:bottom w:w="40" w:type="dxa"/>
            </w:tcMar>
            <w:vAlign w:val="bottom"/>
          </w:tcPr>
          <w:p w14:paraId="2A73AC9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105,341</w:t>
            </w:r>
          </w:p>
        </w:tc>
        <w:tc>
          <w:tcPr>
            <w:tcW w:w="0" w:type="auto"/>
            <w:tcBorders>
              <w:top w:val="single" w:sz="8" w:space="0" w:color="000000"/>
              <w:bottom w:val="single" w:sz="8" w:space="0" w:color="000000"/>
            </w:tcBorders>
            <w:shd w:val="clear" w:color="auto" w:fill="EFEFEF"/>
            <w:vAlign w:val="bottom"/>
          </w:tcPr>
          <w:p w14:paraId="2A73AC92" w14:textId="77777777" w:rsidR="00FA5565" w:rsidRDefault="00FA5565">
            <w:pPr>
              <w:textAlignment w:val="bottom"/>
              <w:rPr>
                <w:rFonts w:ascii="Times New Roman" w:hAnsi="Times New Roman"/>
                <w:sz w:val="20"/>
                <w:szCs w:val="20"/>
              </w:rPr>
            </w:pPr>
          </w:p>
        </w:tc>
      </w:tr>
      <w:tr w:rsidR="00FA5565" w14:paraId="2A73ACB0" w14:textId="77777777">
        <w:tc>
          <w:tcPr>
            <w:tcW w:w="0" w:type="auto"/>
            <w:shd w:val="clear" w:color="auto" w:fill="auto"/>
            <w:tcMar>
              <w:top w:w="40" w:type="dxa"/>
              <w:left w:w="560" w:type="dxa"/>
              <w:bottom w:w="40" w:type="dxa"/>
              <w:right w:w="40" w:type="dxa"/>
            </w:tcMar>
            <w:vAlign w:val="bottom"/>
          </w:tcPr>
          <w:p w14:paraId="2A73AC94"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Total (3)</w:t>
            </w:r>
          </w:p>
        </w:tc>
        <w:tc>
          <w:tcPr>
            <w:tcW w:w="0" w:type="auto"/>
            <w:tcBorders>
              <w:bottom w:val="double" w:sz="6" w:space="0" w:color="000000"/>
            </w:tcBorders>
            <w:shd w:val="clear" w:color="auto" w:fill="auto"/>
            <w:tcMar>
              <w:top w:w="40" w:type="dxa"/>
              <w:left w:w="40" w:type="dxa"/>
              <w:bottom w:w="40" w:type="dxa"/>
            </w:tcMar>
            <w:vAlign w:val="bottom"/>
          </w:tcPr>
          <w:p w14:paraId="2A73AC95"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2A73AC9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204,977</w:t>
            </w:r>
          </w:p>
        </w:tc>
        <w:tc>
          <w:tcPr>
            <w:tcW w:w="0" w:type="auto"/>
            <w:tcBorders>
              <w:bottom w:val="double" w:sz="6" w:space="0" w:color="000000"/>
            </w:tcBorders>
            <w:shd w:val="clear" w:color="auto" w:fill="auto"/>
            <w:vAlign w:val="bottom"/>
          </w:tcPr>
          <w:p w14:paraId="2A73AC9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9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AC99"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2A73AC9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1,202</w:t>
            </w:r>
          </w:p>
        </w:tc>
        <w:tc>
          <w:tcPr>
            <w:tcW w:w="0" w:type="auto"/>
            <w:tcBorders>
              <w:bottom w:val="double" w:sz="6" w:space="0" w:color="000000"/>
            </w:tcBorders>
            <w:shd w:val="clear" w:color="auto" w:fill="auto"/>
            <w:vAlign w:val="bottom"/>
          </w:tcPr>
          <w:p w14:paraId="2A73AC9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AC9D"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2A73AC9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(281</w:t>
            </w:r>
          </w:p>
        </w:tc>
        <w:tc>
          <w:tcPr>
            <w:tcW w:w="0" w:type="auto"/>
            <w:tcBorders>
              <w:bottom w:val="double" w:sz="6" w:space="0" w:color="000000"/>
            </w:tcBorders>
            <w:shd w:val="clear" w:color="auto" w:fill="auto"/>
            <w:tcMar>
              <w:top w:w="40" w:type="dxa"/>
              <w:bottom w:w="40" w:type="dxa"/>
              <w:right w:w="40" w:type="dxa"/>
            </w:tcMar>
            <w:vAlign w:val="bottom"/>
          </w:tcPr>
          <w:p w14:paraId="2A73AC9F"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ACA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ACA1"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2A73ACA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205,898</w:t>
            </w:r>
          </w:p>
        </w:tc>
        <w:tc>
          <w:tcPr>
            <w:tcW w:w="0" w:type="auto"/>
            <w:tcBorders>
              <w:bottom w:val="double" w:sz="6" w:space="0" w:color="000000"/>
            </w:tcBorders>
            <w:shd w:val="clear" w:color="auto" w:fill="auto"/>
            <w:vAlign w:val="bottom"/>
          </w:tcPr>
          <w:p w14:paraId="2A73ACA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A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ACA5"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2A73ACA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48,844</w:t>
            </w:r>
          </w:p>
        </w:tc>
        <w:tc>
          <w:tcPr>
            <w:tcW w:w="0" w:type="auto"/>
            <w:tcBorders>
              <w:bottom w:val="double" w:sz="6" w:space="0" w:color="000000"/>
            </w:tcBorders>
            <w:shd w:val="clear" w:color="auto" w:fill="auto"/>
            <w:vAlign w:val="bottom"/>
          </w:tcPr>
          <w:p w14:paraId="2A73ACA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A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ACA9"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2A73ACA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51,713</w:t>
            </w:r>
          </w:p>
        </w:tc>
        <w:tc>
          <w:tcPr>
            <w:tcW w:w="0" w:type="auto"/>
            <w:tcBorders>
              <w:bottom w:val="double" w:sz="6" w:space="0" w:color="000000"/>
            </w:tcBorders>
            <w:shd w:val="clear" w:color="auto" w:fill="auto"/>
            <w:vAlign w:val="bottom"/>
          </w:tcPr>
          <w:p w14:paraId="2A73ACA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A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ACAD"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auto"/>
            <w:tcMar>
              <w:top w:w="40" w:type="dxa"/>
              <w:bottom w:w="40" w:type="dxa"/>
            </w:tcMar>
            <w:vAlign w:val="bottom"/>
          </w:tcPr>
          <w:p w14:paraId="2A73ACA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105,341</w:t>
            </w:r>
          </w:p>
        </w:tc>
        <w:tc>
          <w:tcPr>
            <w:tcW w:w="0" w:type="auto"/>
            <w:tcBorders>
              <w:bottom w:val="double" w:sz="6" w:space="0" w:color="000000"/>
            </w:tcBorders>
            <w:shd w:val="clear" w:color="auto" w:fill="auto"/>
            <w:vAlign w:val="bottom"/>
          </w:tcPr>
          <w:p w14:paraId="2A73ACAF" w14:textId="77777777" w:rsidR="00FA5565" w:rsidRDefault="00FA5565">
            <w:pPr>
              <w:textAlignment w:val="bottom"/>
              <w:rPr>
                <w:rFonts w:ascii="Times New Roman" w:hAnsi="Times New Roman"/>
                <w:sz w:val="20"/>
                <w:szCs w:val="20"/>
              </w:rPr>
            </w:pPr>
          </w:p>
        </w:tc>
      </w:tr>
    </w:tbl>
    <w:p w14:paraId="2A73ACB1" w14:textId="77777777" w:rsidR="00FA5565" w:rsidRDefault="00FA5565">
      <w:pPr>
        <w:rPr>
          <w:vanish/>
        </w:rPr>
      </w:pPr>
    </w:p>
    <w:tbl>
      <w:tblPr>
        <w:tblW w:w="5000" w:type="pct"/>
        <w:tblCellMar>
          <w:left w:w="0" w:type="dxa"/>
          <w:right w:w="0" w:type="dxa"/>
        </w:tblCellMar>
        <w:tblLook w:val="04A0" w:firstRow="1" w:lastRow="0" w:firstColumn="1" w:lastColumn="0" w:noHBand="0" w:noVBand="1"/>
      </w:tblPr>
      <w:tblGrid>
        <w:gridCol w:w="1265"/>
        <w:gridCol w:w="129"/>
        <w:gridCol w:w="588"/>
        <w:gridCol w:w="85"/>
        <w:gridCol w:w="129"/>
        <w:gridCol w:w="128"/>
        <w:gridCol w:w="703"/>
        <w:gridCol w:w="88"/>
        <w:gridCol w:w="129"/>
        <w:gridCol w:w="128"/>
        <w:gridCol w:w="703"/>
        <w:gridCol w:w="93"/>
        <w:gridCol w:w="129"/>
        <w:gridCol w:w="128"/>
        <w:gridCol w:w="572"/>
        <w:gridCol w:w="6"/>
        <w:gridCol w:w="129"/>
        <w:gridCol w:w="128"/>
        <w:gridCol w:w="791"/>
        <w:gridCol w:w="88"/>
        <w:gridCol w:w="129"/>
        <w:gridCol w:w="129"/>
        <w:gridCol w:w="744"/>
        <w:gridCol w:w="93"/>
        <w:gridCol w:w="129"/>
        <w:gridCol w:w="129"/>
        <w:gridCol w:w="724"/>
        <w:gridCol w:w="90"/>
      </w:tblGrid>
      <w:tr w:rsidR="00FA5565" w14:paraId="2A73ACB3" w14:textId="77777777">
        <w:tc>
          <w:tcPr>
            <w:tcW w:w="0" w:type="auto"/>
            <w:gridSpan w:val="28"/>
            <w:shd w:val="clear" w:color="auto" w:fill="auto"/>
            <w:vAlign w:val="center"/>
          </w:tcPr>
          <w:p w14:paraId="2A73ACB2" w14:textId="77777777" w:rsidR="00FA5565" w:rsidRDefault="00FA5565">
            <w:pPr>
              <w:rPr>
                <w:rFonts w:ascii="Times New Roman" w:hAnsi="Times New Roman"/>
                <w:sz w:val="20"/>
                <w:szCs w:val="20"/>
              </w:rPr>
            </w:pPr>
          </w:p>
        </w:tc>
      </w:tr>
      <w:tr w:rsidR="00FA5565" w14:paraId="2A73ACD0" w14:textId="77777777">
        <w:tc>
          <w:tcPr>
            <w:tcW w:w="1300" w:type="pct"/>
            <w:shd w:val="clear" w:color="auto" w:fill="auto"/>
            <w:vAlign w:val="center"/>
          </w:tcPr>
          <w:p w14:paraId="2A73ACB4" w14:textId="77777777" w:rsidR="00FA5565" w:rsidRDefault="00FA5565">
            <w:pPr>
              <w:rPr>
                <w:rFonts w:ascii="Times New Roman" w:hAnsi="Times New Roman"/>
                <w:sz w:val="20"/>
                <w:szCs w:val="20"/>
              </w:rPr>
            </w:pPr>
          </w:p>
        </w:tc>
        <w:tc>
          <w:tcPr>
            <w:tcW w:w="50" w:type="pct"/>
            <w:shd w:val="clear" w:color="auto" w:fill="auto"/>
            <w:vAlign w:val="center"/>
          </w:tcPr>
          <w:p w14:paraId="2A73ACB5" w14:textId="77777777" w:rsidR="00FA5565" w:rsidRDefault="00FA5565">
            <w:pPr>
              <w:rPr>
                <w:rFonts w:ascii="Times New Roman" w:hAnsi="Times New Roman"/>
                <w:sz w:val="20"/>
                <w:szCs w:val="20"/>
              </w:rPr>
            </w:pPr>
          </w:p>
        </w:tc>
        <w:tc>
          <w:tcPr>
            <w:tcW w:w="350" w:type="pct"/>
            <w:shd w:val="clear" w:color="auto" w:fill="auto"/>
            <w:vAlign w:val="center"/>
          </w:tcPr>
          <w:p w14:paraId="2A73ACB6" w14:textId="77777777" w:rsidR="00FA5565" w:rsidRDefault="00FA5565">
            <w:pPr>
              <w:rPr>
                <w:rFonts w:ascii="Times New Roman" w:hAnsi="Times New Roman"/>
                <w:sz w:val="20"/>
                <w:szCs w:val="20"/>
              </w:rPr>
            </w:pPr>
          </w:p>
        </w:tc>
        <w:tc>
          <w:tcPr>
            <w:tcW w:w="50" w:type="pct"/>
            <w:shd w:val="clear" w:color="auto" w:fill="auto"/>
            <w:vAlign w:val="center"/>
          </w:tcPr>
          <w:p w14:paraId="2A73ACB7" w14:textId="77777777" w:rsidR="00FA5565" w:rsidRDefault="00FA5565">
            <w:pPr>
              <w:rPr>
                <w:rFonts w:ascii="Times New Roman" w:hAnsi="Times New Roman"/>
                <w:sz w:val="20"/>
                <w:szCs w:val="20"/>
              </w:rPr>
            </w:pPr>
          </w:p>
        </w:tc>
        <w:tc>
          <w:tcPr>
            <w:tcW w:w="50" w:type="pct"/>
            <w:shd w:val="clear" w:color="auto" w:fill="auto"/>
            <w:vAlign w:val="center"/>
          </w:tcPr>
          <w:p w14:paraId="2A73ACB8" w14:textId="77777777" w:rsidR="00FA5565" w:rsidRDefault="00FA5565">
            <w:pPr>
              <w:rPr>
                <w:rFonts w:ascii="Times New Roman" w:hAnsi="Times New Roman"/>
                <w:sz w:val="20"/>
                <w:szCs w:val="20"/>
              </w:rPr>
            </w:pPr>
          </w:p>
        </w:tc>
        <w:tc>
          <w:tcPr>
            <w:tcW w:w="50" w:type="pct"/>
            <w:shd w:val="clear" w:color="auto" w:fill="auto"/>
            <w:vAlign w:val="center"/>
          </w:tcPr>
          <w:p w14:paraId="2A73ACB9" w14:textId="77777777" w:rsidR="00FA5565" w:rsidRDefault="00FA5565">
            <w:pPr>
              <w:rPr>
                <w:rFonts w:ascii="Times New Roman" w:hAnsi="Times New Roman"/>
                <w:sz w:val="20"/>
                <w:szCs w:val="20"/>
              </w:rPr>
            </w:pPr>
          </w:p>
        </w:tc>
        <w:tc>
          <w:tcPr>
            <w:tcW w:w="400" w:type="pct"/>
            <w:shd w:val="clear" w:color="auto" w:fill="auto"/>
            <w:vAlign w:val="center"/>
          </w:tcPr>
          <w:p w14:paraId="2A73ACBA" w14:textId="77777777" w:rsidR="00FA5565" w:rsidRDefault="00FA5565">
            <w:pPr>
              <w:rPr>
                <w:rFonts w:ascii="Times New Roman" w:hAnsi="Times New Roman"/>
                <w:sz w:val="20"/>
                <w:szCs w:val="20"/>
              </w:rPr>
            </w:pPr>
          </w:p>
        </w:tc>
        <w:tc>
          <w:tcPr>
            <w:tcW w:w="50" w:type="pct"/>
            <w:shd w:val="clear" w:color="auto" w:fill="auto"/>
            <w:vAlign w:val="center"/>
          </w:tcPr>
          <w:p w14:paraId="2A73ACBB" w14:textId="77777777" w:rsidR="00FA5565" w:rsidRDefault="00FA5565">
            <w:pPr>
              <w:rPr>
                <w:rFonts w:ascii="Times New Roman" w:hAnsi="Times New Roman"/>
                <w:sz w:val="20"/>
                <w:szCs w:val="20"/>
              </w:rPr>
            </w:pPr>
          </w:p>
        </w:tc>
        <w:tc>
          <w:tcPr>
            <w:tcW w:w="50" w:type="pct"/>
            <w:shd w:val="clear" w:color="auto" w:fill="auto"/>
            <w:vAlign w:val="center"/>
          </w:tcPr>
          <w:p w14:paraId="2A73ACBC" w14:textId="77777777" w:rsidR="00FA5565" w:rsidRDefault="00FA5565">
            <w:pPr>
              <w:rPr>
                <w:rFonts w:ascii="Times New Roman" w:hAnsi="Times New Roman"/>
                <w:sz w:val="20"/>
                <w:szCs w:val="20"/>
              </w:rPr>
            </w:pPr>
          </w:p>
        </w:tc>
        <w:tc>
          <w:tcPr>
            <w:tcW w:w="50" w:type="pct"/>
            <w:shd w:val="clear" w:color="auto" w:fill="auto"/>
            <w:vAlign w:val="center"/>
          </w:tcPr>
          <w:p w14:paraId="2A73ACBD" w14:textId="77777777" w:rsidR="00FA5565" w:rsidRDefault="00FA5565">
            <w:pPr>
              <w:rPr>
                <w:rFonts w:ascii="Times New Roman" w:hAnsi="Times New Roman"/>
                <w:sz w:val="20"/>
                <w:szCs w:val="20"/>
              </w:rPr>
            </w:pPr>
          </w:p>
        </w:tc>
        <w:tc>
          <w:tcPr>
            <w:tcW w:w="400" w:type="pct"/>
            <w:shd w:val="clear" w:color="auto" w:fill="auto"/>
            <w:vAlign w:val="center"/>
          </w:tcPr>
          <w:p w14:paraId="2A73ACBE" w14:textId="77777777" w:rsidR="00FA5565" w:rsidRDefault="00FA5565">
            <w:pPr>
              <w:rPr>
                <w:rFonts w:ascii="Times New Roman" w:hAnsi="Times New Roman"/>
                <w:sz w:val="20"/>
                <w:szCs w:val="20"/>
              </w:rPr>
            </w:pPr>
          </w:p>
        </w:tc>
        <w:tc>
          <w:tcPr>
            <w:tcW w:w="50" w:type="pct"/>
            <w:shd w:val="clear" w:color="auto" w:fill="auto"/>
            <w:vAlign w:val="center"/>
          </w:tcPr>
          <w:p w14:paraId="2A73ACBF" w14:textId="77777777" w:rsidR="00FA5565" w:rsidRDefault="00FA5565">
            <w:pPr>
              <w:rPr>
                <w:rFonts w:ascii="Times New Roman" w:hAnsi="Times New Roman"/>
                <w:sz w:val="20"/>
                <w:szCs w:val="20"/>
              </w:rPr>
            </w:pPr>
          </w:p>
        </w:tc>
        <w:tc>
          <w:tcPr>
            <w:tcW w:w="50" w:type="pct"/>
            <w:shd w:val="clear" w:color="auto" w:fill="auto"/>
            <w:vAlign w:val="center"/>
          </w:tcPr>
          <w:p w14:paraId="2A73ACC0" w14:textId="77777777" w:rsidR="00FA5565" w:rsidRDefault="00FA5565">
            <w:pPr>
              <w:rPr>
                <w:rFonts w:ascii="Times New Roman" w:hAnsi="Times New Roman"/>
                <w:sz w:val="20"/>
                <w:szCs w:val="20"/>
              </w:rPr>
            </w:pPr>
          </w:p>
        </w:tc>
        <w:tc>
          <w:tcPr>
            <w:tcW w:w="50" w:type="pct"/>
            <w:shd w:val="clear" w:color="auto" w:fill="auto"/>
            <w:vAlign w:val="center"/>
          </w:tcPr>
          <w:p w14:paraId="2A73ACC1" w14:textId="77777777" w:rsidR="00FA5565" w:rsidRDefault="00FA5565">
            <w:pPr>
              <w:rPr>
                <w:rFonts w:ascii="Times New Roman" w:hAnsi="Times New Roman"/>
                <w:sz w:val="20"/>
                <w:szCs w:val="20"/>
              </w:rPr>
            </w:pPr>
          </w:p>
        </w:tc>
        <w:tc>
          <w:tcPr>
            <w:tcW w:w="300" w:type="pct"/>
            <w:shd w:val="clear" w:color="auto" w:fill="auto"/>
            <w:vAlign w:val="center"/>
          </w:tcPr>
          <w:p w14:paraId="2A73ACC2" w14:textId="77777777" w:rsidR="00FA5565" w:rsidRDefault="00FA5565">
            <w:pPr>
              <w:rPr>
                <w:rFonts w:ascii="Times New Roman" w:hAnsi="Times New Roman"/>
                <w:sz w:val="20"/>
                <w:szCs w:val="20"/>
              </w:rPr>
            </w:pPr>
          </w:p>
        </w:tc>
        <w:tc>
          <w:tcPr>
            <w:tcW w:w="50" w:type="pct"/>
            <w:shd w:val="clear" w:color="auto" w:fill="auto"/>
            <w:vAlign w:val="center"/>
          </w:tcPr>
          <w:p w14:paraId="2A73ACC3" w14:textId="77777777" w:rsidR="00FA5565" w:rsidRDefault="00FA5565">
            <w:pPr>
              <w:rPr>
                <w:rFonts w:ascii="Times New Roman" w:hAnsi="Times New Roman"/>
                <w:sz w:val="20"/>
                <w:szCs w:val="20"/>
              </w:rPr>
            </w:pPr>
          </w:p>
        </w:tc>
        <w:tc>
          <w:tcPr>
            <w:tcW w:w="50" w:type="pct"/>
            <w:shd w:val="clear" w:color="auto" w:fill="auto"/>
            <w:vAlign w:val="center"/>
          </w:tcPr>
          <w:p w14:paraId="2A73ACC4" w14:textId="77777777" w:rsidR="00FA5565" w:rsidRDefault="00FA5565">
            <w:pPr>
              <w:rPr>
                <w:rFonts w:ascii="Times New Roman" w:hAnsi="Times New Roman"/>
                <w:sz w:val="20"/>
                <w:szCs w:val="20"/>
              </w:rPr>
            </w:pPr>
          </w:p>
        </w:tc>
        <w:tc>
          <w:tcPr>
            <w:tcW w:w="50" w:type="pct"/>
            <w:shd w:val="clear" w:color="auto" w:fill="auto"/>
            <w:vAlign w:val="center"/>
          </w:tcPr>
          <w:p w14:paraId="2A73ACC5" w14:textId="77777777" w:rsidR="00FA5565" w:rsidRDefault="00FA5565">
            <w:pPr>
              <w:rPr>
                <w:rFonts w:ascii="Times New Roman" w:hAnsi="Times New Roman"/>
                <w:sz w:val="20"/>
                <w:szCs w:val="20"/>
              </w:rPr>
            </w:pPr>
          </w:p>
        </w:tc>
        <w:tc>
          <w:tcPr>
            <w:tcW w:w="450" w:type="pct"/>
            <w:shd w:val="clear" w:color="auto" w:fill="auto"/>
            <w:vAlign w:val="center"/>
          </w:tcPr>
          <w:p w14:paraId="2A73ACC6" w14:textId="77777777" w:rsidR="00FA5565" w:rsidRDefault="00FA5565">
            <w:pPr>
              <w:rPr>
                <w:rFonts w:ascii="Times New Roman" w:hAnsi="Times New Roman"/>
                <w:sz w:val="20"/>
                <w:szCs w:val="20"/>
              </w:rPr>
            </w:pPr>
          </w:p>
        </w:tc>
        <w:tc>
          <w:tcPr>
            <w:tcW w:w="50" w:type="pct"/>
            <w:shd w:val="clear" w:color="auto" w:fill="auto"/>
            <w:vAlign w:val="center"/>
          </w:tcPr>
          <w:p w14:paraId="2A73ACC7" w14:textId="77777777" w:rsidR="00FA5565" w:rsidRDefault="00FA5565">
            <w:pPr>
              <w:rPr>
                <w:rFonts w:ascii="Times New Roman" w:hAnsi="Times New Roman"/>
                <w:sz w:val="20"/>
                <w:szCs w:val="20"/>
              </w:rPr>
            </w:pPr>
          </w:p>
        </w:tc>
        <w:tc>
          <w:tcPr>
            <w:tcW w:w="50" w:type="pct"/>
            <w:shd w:val="clear" w:color="auto" w:fill="auto"/>
            <w:vAlign w:val="center"/>
          </w:tcPr>
          <w:p w14:paraId="2A73ACC8" w14:textId="77777777" w:rsidR="00FA5565" w:rsidRDefault="00FA5565">
            <w:pPr>
              <w:rPr>
                <w:rFonts w:ascii="Times New Roman" w:hAnsi="Times New Roman"/>
                <w:sz w:val="20"/>
                <w:szCs w:val="20"/>
              </w:rPr>
            </w:pPr>
          </w:p>
        </w:tc>
        <w:tc>
          <w:tcPr>
            <w:tcW w:w="50" w:type="pct"/>
            <w:shd w:val="clear" w:color="auto" w:fill="auto"/>
            <w:vAlign w:val="center"/>
          </w:tcPr>
          <w:p w14:paraId="2A73ACC9" w14:textId="77777777" w:rsidR="00FA5565" w:rsidRDefault="00FA5565">
            <w:pPr>
              <w:rPr>
                <w:rFonts w:ascii="Times New Roman" w:hAnsi="Times New Roman"/>
                <w:sz w:val="20"/>
                <w:szCs w:val="20"/>
              </w:rPr>
            </w:pPr>
          </w:p>
        </w:tc>
        <w:tc>
          <w:tcPr>
            <w:tcW w:w="400" w:type="pct"/>
            <w:shd w:val="clear" w:color="auto" w:fill="auto"/>
            <w:vAlign w:val="center"/>
          </w:tcPr>
          <w:p w14:paraId="2A73ACCA" w14:textId="77777777" w:rsidR="00FA5565" w:rsidRDefault="00FA5565">
            <w:pPr>
              <w:rPr>
                <w:rFonts w:ascii="Times New Roman" w:hAnsi="Times New Roman"/>
                <w:sz w:val="20"/>
                <w:szCs w:val="20"/>
              </w:rPr>
            </w:pPr>
          </w:p>
        </w:tc>
        <w:tc>
          <w:tcPr>
            <w:tcW w:w="50" w:type="pct"/>
            <w:shd w:val="clear" w:color="auto" w:fill="auto"/>
            <w:vAlign w:val="center"/>
          </w:tcPr>
          <w:p w14:paraId="2A73ACCB" w14:textId="77777777" w:rsidR="00FA5565" w:rsidRDefault="00FA5565">
            <w:pPr>
              <w:rPr>
                <w:rFonts w:ascii="Times New Roman" w:hAnsi="Times New Roman"/>
                <w:sz w:val="20"/>
                <w:szCs w:val="20"/>
              </w:rPr>
            </w:pPr>
          </w:p>
        </w:tc>
        <w:tc>
          <w:tcPr>
            <w:tcW w:w="50" w:type="pct"/>
            <w:shd w:val="clear" w:color="auto" w:fill="auto"/>
            <w:vAlign w:val="center"/>
          </w:tcPr>
          <w:p w14:paraId="2A73ACCC" w14:textId="77777777" w:rsidR="00FA5565" w:rsidRDefault="00FA5565">
            <w:pPr>
              <w:rPr>
                <w:rFonts w:ascii="Times New Roman" w:hAnsi="Times New Roman"/>
                <w:sz w:val="20"/>
                <w:szCs w:val="20"/>
              </w:rPr>
            </w:pPr>
          </w:p>
        </w:tc>
        <w:tc>
          <w:tcPr>
            <w:tcW w:w="50" w:type="pct"/>
            <w:shd w:val="clear" w:color="auto" w:fill="auto"/>
            <w:vAlign w:val="center"/>
          </w:tcPr>
          <w:p w14:paraId="2A73ACCD" w14:textId="77777777" w:rsidR="00FA5565" w:rsidRDefault="00FA5565">
            <w:pPr>
              <w:rPr>
                <w:rFonts w:ascii="Times New Roman" w:hAnsi="Times New Roman"/>
                <w:sz w:val="20"/>
                <w:szCs w:val="20"/>
              </w:rPr>
            </w:pPr>
          </w:p>
        </w:tc>
        <w:tc>
          <w:tcPr>
            <w:tcW w:w="400" w:type="pct"/>
            <w:shd w:val="clear" w:color="auto" w:fill="auto"/>
            <w:vAlign w:val="center"/>
          </w:tcPr>
          <w:p w14:paraId="2A73ACCE" w14:textId="77777777" w:rsidR="00FA5565" w:rsidRDefault="00FA5565">
            <w:pPr>
              <w:rPr>
                <w:rFonts w:ascii="Times New Roman" w:hAnsi="Times New Roman"/>
                <w:sz w:val="20"/>
                <w:szCs w:val="20"/>
              </w:rPr>
            </w:pPr>
          </w:p>
        </w:tc>
        <w:tc>
          <w:tcPr>
            <w:tcW w:w="50" w:type="pct"/>
            <w:shd w:val="clear" w:color="auto" w:fill="auto"/>
            <w:vAlign w:val="center"/>
          </w:tcPr>
          <w:p w14:paraId="2A73ACCF" w14:textId="77777777" w:rsidR="00FA5565" w:rsidRDefault="00FA5565">
            <w:pPr>
              <w:rPr>
                <w:rFonts w:ascii="Times New Roman" w:hAnsi="Times New Roman"/>
                <w:sz w:val="20"/>
                <w:szCs w:val="20"/>
              </w:rPr>
            </w:pPr>
          </w:p>
        </w:tc>
      </w:tr>
      <w:tr w:rsidR="00FA5565" w14:paraId="2A73ACD3" w14:textId="77777777">
        <w:tc>
          <w:tcPr>
            <w:tcW w:w="0" w:type="auto"/>
            <w:shd w:val="clear" w:color="auto" w:fill="auto"/>
            <w:tcMar>
              <w:top w:w="40" w:type="dxa"/>
              <w:left w:w="40" w:type="dxa"/>
              <w:bottom w:w="40" w:type="dxa"/>
              <w:right w:w="40" w:type="dxa"/>
            </w:tcMar>
            <w:vAlign w:val="bottom"/>
          </w:tcPr>
          <w:p w14:paraId="2A73AC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7"/>
            <w:tcBorders>
              <w:bottom w:val="single" w:sz="8" w:space="0" w:color="000000"/>
            </w:tcBorders>
            <w:shd w:val="clear" w:color="auto" w:fill="auto"/>
            <w:tcMar>
              <w:top w:w="40" w:type="dxa"/>
              <w:left w:w="40" w:type="dxa"/>
              <w:bottom w:w="40" w:type="dxa"/>
            </w:tcMar>
            <w:vAlign w:val="bottom"/>
          </w:tcPr>
          <w:p w14:paraId="2A73ACD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r>
      <w:tr w:rsidR="00FA5565" w14:paraId="2A73ACEC" w14:textId="77777777">
        <w:tc>
          <w:tcPr>
            <w:tcW w:w="0" w:type="auto"/>
            <w:shd w:val="clear" w:color="auto" w:fill="auto"/>
            <w:tcMar>
              <w:top w:w="40" w:type="dxa"/>
              <w:left w:w="40" w:type="dxa"/>
              <w:bottom w:w="40" w:type="dxa"/>
              <w:right w:w="40" w:type="dxa"/>
            </w:tcMar>
            <w:vAlign w:val="bottom"/>
          </w:tcPr>
          <w:p w14:paraId="2A73AC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CD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Adjusted</w:t>
            </w:r>
          </w:p>
          <w:p w14:paraId="2A73ACD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Cost</w:t>
            </w:r>
          </w:p>
        </w:tc>
        <w:tc>
          <w:tcPr>
            <w:tcW w:w="0" w:type="auto"/>
            <w:shd w:val="clear" w:color="auto" w:fill="auto"/>
            <w:tcMar>
              <w:top w:w="40" w:type="dxa"/>
              <w:left w:w="40" w:type="dxa"/>
              <w:bottom w:w="40" w:type="dxa"/>
              <w:right w:w="40" w:type="dxa"/>
            </w:tcMar>
            <w:vAlign w:val="bottom"/>
          </w:tcPr>
          <w:p w14:paraId="2A73AC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CD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Unrealized</w:t>
            </w:r>
          </w:p>
          <w:p w14:paraId="2A73ACD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Gains</w:t>
            </w:r>
          </w:p>
        </w:tc>
        <w:tc>
          <w:tcPr>
            <w:tcW w:w="0" w:type="auto"/>
            <w:shd w:val="clear" w:color="auto" w:fill="auto"/>
            <w:tcMar>
              <w:top w:w="40" w:type="dxa"/>
              <w:left w:w="40" w:type="dxa"/>
              <w:bottom w:w="40" w:type="dxa"/>
              <w:right w:w="40" w:type="dxa"/>
            </w:tcMar>
            <w:vAlign w:val="bottom"/>
          </w:tcPr>
          <w:p w14:paraId="2A73ACD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CD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Unrealized</w:t>
            </w:r>
          </w:p>
          <w:p w14:paraId="2A73ACD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Losses</w:t>
            </w:r>
          </w:p>
        </w:tc>
        <w:tc>
          <w:tcPr>
            <w:tcW w:w="0" w:type="auto"/>
            <w:shd w:val="clear" w:color="auto" w:fill="auto"/>
            <w:tcMar>
              <w:top w:w="40" w:type="dxa"/>
              <w:left w:w="40" w:type="dxa"/>
              <w:bottom w:w="40" w:type="dxa"/>
              <w:right w:w="40" w:type="dxa"/>
            </w:tcMar>
            <w:vAlign w:val="bottom"/>
          </w:tcPr>
          <w:p w14:paraId="2A73AC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CDE"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Fair</w:t>
            </w:r>
          </w:p>
          <w:p w14:paraId="2A73ACD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Value</w:t>
            </w:r>
          </w:p>
        </w:tc>
        <w:tc>
          <w:tcPr>
            <w:tcW w:w="0" w:type="auto"/>
            <w:shd w:val="clear" w:color="auto" w:fill="auto"/>
            <w:tcMar>
              <w:top w:w="40" w:type="dxa"/>
              <w:left w:w="40" w:type="dxa"/>
              <w:bottom w:w="40" w:type="dxa"/>
              <w:right w:w="40" w:type="dxa"/>
            </w:tcMar>
            <w:vAlign w:val="bottom"/>
          </w:tcPr>
          <w:p w14:paraId="2A73ACE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CE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Cash and</w:t>
            </w:r>
          </w:p>
          <w:p w14:paraId="2A73ACE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Cash</w:t>
            </w:r>
          </w:p>
          <w:p w14:paraId="2A73ACE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Equivalents</w:t>
            </w:r>
          </w:p>
        </w:tc>
        <w:tc>
          <w:tcPr>
            <w:tcW w:w="0" w:type="auto"/>
            <w:shd w:val="clear" w:color="auto" w:fill="auto"/>
            <w:tcMar>
              <w:top w:w="40" w:type="dxa"/>
              <w:left w:w="40" w:type="dxa"/>
              <w:bottom w:w="40" w:type="dxa"/>
              <w:right w:w="40" w:type="dxa"/>
            </w:tcMar>
            <w:vAlign w:val="bottom"/>
          </w:tcPr>
          <w:p w14:paraId="2A73ACE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CE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Short-Term</w:t>
            </w:r>
          </w:p>
          <w:p w14:paraId="2A73ACE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Marketable</w:t>
            </w:r>
          </w:p>
          <w:p w14:paraId="2A73ACE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Securities</w:t>
            </w:r>
          </w:p>
        </w:tc>
        <w:tc>
          <w:tcPr>
            <w:tcW w:w="0" w:type="auto"/>
            <w:shd w:val="clear" w:color="auto" w:fill="auto"/>
            <w:tcMar>
              <w:top w:w="40" w:type="dxa"/>
              <w:left w:w="40" w:type="dxa"/>
              <w:bottom w:w="40" w:type="dxa"/>
              <w:right w:w="40" w:type="dxa"/>
            </w:tcMar>
            <w:vAlign w:val="bottom"/>
          </w:tcPr>
          <w:p w14:paraId="2A73ACE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CE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Long-Term</w:t>
            </w:r>
          </w:p>
          <w:p w14:paraId="2A73ACE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Marketable</w:t>
            </w:r>
          </w:p>
          <w:p w14:paraId="2A73ACE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Securities</w:t>
            </w:r>
          </w:p>
        </w:tc>
      </w:tr>
      <w:tr w:rsidR="00FA5565" w14:paraId="2A73AD09" w14:textId="77777777">
        <w:tc>
          <w:tcPr>
            <w:tcW w:w="0" w:type="auto"/>
            <w:shd w:val="clear" w:color="auto" w:fill="auto"/>
            <w:tcMar>
              <w:top w:w="40" w:type="dxa"/>
              <w:left w:w="40" w:type="dxa"/>
              <w:bottom w:w="40" w:type="dxa"/>
              <w:right w:w="40" w:type="dxa"/>
            </w:tcMar>
          </w:tcPr>
          <w:p w14:paraId="2A73ACED"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Cash</w:t>
            </w:r>
          </w:p>
        </w:tc>
        <w:tc>
          <w:tcPr>
            <w:tcW w:w="0" w:type="auto"/>
            <w:tcBorders>
              <w:top w:val="single" w:sz="8" w:space="0" w:color="000000"/>
            </w:tcBorders>
            <w:shd w:val="clear" w:color="auto" w:fill="auto"/>
            <w:tcMar>
              <w:top w:w="40" w:type="dxa"/>
              <w:left w:w="40" w:type="dxa"/>
              <w:bottom w:w="40" w:type="dxa"/>
            </w:tcMar>
            <w:vAlign w:val="bottom"/>
          </w:tcPr>
          <w:p w14:paraId="2A73ACEE"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CE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11,575</w:t>
            </w:r>
          </w:p>
        </w:tc>
        <w:tc>
          <w:tcPr>
            <w:tcW w:w="0" w:type="auto"/>
            <w:tcBorders>
              <w:top w:val="single" w:sz="8" w:space="0" w:color="000000"/>
            </w:tcBorders>
            <w:shd w:val="clear" w:color="auto" w:fill="auto"/>
            <w:vAlign w:val="bottom"/>
          </w:tcPr>
          <w:p w14:paraId="2A73ACF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CF2"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CF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2A73ACF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F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CF6"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CF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2A73ACF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F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CFA"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CF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11,575</w:t>
            </w:r>
          </w:p>
        </w:tc>
        <w:tc>
          <w:tcPr>
            <w:tcW w:w="0" w:type="auto"/>
            <w:tcBorders>
              <w:top w:val="single" w:sz="8" w:space="0" w:color="000000"/>
            </w:tcBorders>
            <w:shd w:val="clear" w:color="auto" w:fill="auto"/>
            <w:vAlign w:val="bottom"/>
          </w:tcPr>
          <w:p w14:paraId="2A73ACF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C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CFE"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CF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11,575</w:t>
            </w:r>
          </w:p>
        </w:tc>
        <w:tc>
          <w:tcPr>
            <w:tcW w:w="0" w:type="auto"/>
            <w:tcBorders>
              <w:top w:val="single" w:sz="8" w:space="0" w:color="000000"/>
            </w:tcBorders>
            <w:shd w:val="clear" w:color="auto" w:fill="auto"/>
            <w:vAlign w:val="bottom"/>
          </w:tcPr>
          <w:p w14:paraId="2A73AD0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D02"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D0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2A73AD0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0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D06"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tcMar>
              <w:top w:w="40" w:type="dxa"/>
              <w:bottom w:w="40" w:type="dxa"/>
            </w:tcMar>
            <w:vAlign w:val="bottom"/>
          </w:tcPr>
          <w:p w14:paraId="2A73AD0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tcBorders>
            <w:shd w:val="clear" w:color="auto" w:fill="auto"/>
            <w:vAlign w:val="bottom"/>
          </w:tcPr>
          <w:p w14:paraId="2A73AD08" w14:textId="77777777" w:rsidR="00FA5565" w:rsidRDefault="00FA5565">
            <w:pPr>
              <w:textAlignment w:val="bottom"/>
              <w:rPr>
                <w:rFonts w:ascii="Times New Roman" w:hAnsi="Times New Roman"/>
                <w:sz w:val="20"/>
                <w:szCs w:val="20"/>
              </w:rPr>
            </w:pPr>
          </w:p>
        </w:tc>
      </w:tr>
      <w:tr w:rsidR="00FA5565" w14:paraId="2A73AD18" w14:textId="77777777">
        <w:tc>
          <w:tcPr>
            <w:tcW w:w="0" w:type="auto"/>
            <w:shd w:val="clear" w:color="auto" w:fill="EFEFEF"/>
            <w:tcMar>
              <w:top w:w="40" w:type="dxa"/>
              <w:left w:w="40" w:type="dxa"/>
              <w:bottom w:w="40" w:type="dxa"/>
              <w:right w:w="40" w:type="dxa"/>
            </w:tcMar>
            <w:vAlign w:val="bottom"/>
          </w:tcPr>
          <w:p w14:paraId="2A73AD0A" w14:textId="77777777" w:rsidR="00FA5565" w:rsidRDefault="00D804D1">
            <w:pPr>
              <w:ind w:hanging="240"/>
              <w:textAlignment w:val="bottom"/>
              <w:rPr>
                <w:rFonts w:ascii="Times New Roman" w:hAnsi="Times New Roman"/>
                <w:sz w:val="16"/>
                <w:szCs w:val="16"/>
              </w:rPr>
            </w:pPr>
            <w:r>
              <w:rPr>
                <w:rFonts w:ascii="Helvetica" w:eastAsia="Helvetica" w:hAnsi="Helvetica" w:cs="Helvetica"/>
                <w:sz w:val="16"/>
                <w:szCs w:val="16"/>
              </w:rPr>
              <w:t>Level 1 (1):</w:t>
            </w:r>
          </w:p>
        </w:tc>
        <w:tc>
          <w:tcPr>
            <w:tcW w:w="0" w:type="auto"/>
            <w:gridSpan w:val="3"/>
            <w:shd w:val="clear" w:color="auto" w:fill="EFEFEF"/>
            <w:tcMar>
              <w:top w:w="40" w:type="dxa"/>
              <w:left w:w="40" w:type="dxa"/>
              <w:bottom w:w="40" w:type="dxa"/>
              <w:right w:w="40" w:type="dxa"/>
            </w:tcMar>
            <w:vAlign w:val="bottom"/>
          </w:tcPr>
          <w:p w14:paraId="2A73AD0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0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0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1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1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1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1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1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1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D2E" w14:textId="77777777">
        <w:tc>
          <w:tcPr>
            <w:tcW w:w="0" w:type="auto"/>
            <w:shd w:val="clear" w:color="auto" w:fill="auto"/>
            <w:tcMar>
              <w:top w:w="40" w:type="dxa"/>
              <w:left w:w="240" w:type="dxa"/>
              <w:bottom w:w="40" w:type="dxa"/>
              <w:right w:w="40" w:type="dxa"/>
            </w:tcMar>
          </w:tcPr>
          <w:p w14:paraId="2A73AD19"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Money market funds</w:t>
            </w:r>
          </w:p>
        </w:tc>
        <w:tc>
          <w:tcPr>
            <w:tcW w:w="0" w:type="auto"/>
            <w:gridSpan w:val="2"/>
            <w:shd w:val="clear" w:color="auto" w:fill="auto"/>
            <w:tcMar>
              <w:top w:w="40" w:type="dxa"/>
              <w:left w:w="40" w:type="dxa"/>
              <w:bottom w:w="40" w:type="dxa"/>
            </w:tcMar>
            <w:vAlign w:val="bottom"/>
          </w:tcPr>
          <w:p w14:paraId="2A73AD1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8,083</w:t>
            </w:r>
          </w:p>
        </w:tc>
        <w:tc>
          <w:tcPr>
            <w:tcW w:w="0" w:type="auto"/>
            <w:shd w:val="clear" w:color="auto" w:fill="auto"/>
            <w:vAlign w:val="bottom"/>
          </w:tcPr>
          <w:p w14:paraId="2A73AD1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1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1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1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2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2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2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2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8,083</w:t>
            </w:r>
          </w:p>
        </w:tc>
        <w:tc>
          <w:tcPr>
            <w:tcW w:w="0" w:type="auto"/>
            <w:shd w:val="clear" w:color="auto" w:fill="auto"/>
            <w:vAlign w:val="bottom"/>
          </w:tcPr>
          <w:p w14:paraId="2A73AD2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2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2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8,083</w:t>
            </w:r>
          </w:p>
        </w:tc>
        <w:tc>
          <w:tcPr>
            <w:tcW w:w="0" w:type="auto"/>
            <w:shd w:val="clear" w:color="auto" w:fill="auto"/>
            <w:vAlign w:val="bottom"/>
          </w:tcPr>
          <w:p w14:paraId="2A73AD2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2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2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2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2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2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2D" w14:textId="77777777" w:rsidR="00FA5565" w:rsidRDefault="00FA5565">
            <w:pPr>
              <w:textAlignment w:val="bottom"/>
              <w:rPr>
                <w:rFonts w:ascii="Times New Roman" w:hAnsi="Times New Roman"/>
                <w:sz w:val="20"/>
                <w:szCs w:val="20"/>
              </w:rPr>
            </w:pPr>
          </w:p>
        </w:tc>
      </w:tr>
      <w:tr w:rsidR="00FA5565" w14:paraId="2A73AD44" w14:textId="77777777">
        <w:tc>
          <w:tcPr>
            <w:tcW w:w="0" w:type="auto"/>
            <w:shd w:val="clear" w:color="auto" w:fill="EFEFEF"/>
            <w:tcMar>
              <w:top w:w="40" w:type="dxa"/>
              <w:left w:w="240" w:type="dxa"/>
              <w:bottom w:w="40" w:type="dxa"/>
              <w:right w:w="40" w:type="dxa"/>
            </w:tcMar>
          </w:tcPr>
          <w:p w14:paraId="2A73AD2F"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Mutual funds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D3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799</w:t>
            </w:r>
          </w:p>
        </w:tc>
        <w:tc>
          <w:tcPr>
            <w:tcW w:w="0" w:type="auto"/>
            <w:tcBorders>
              <w:bottom w:val="single" w:sz="8" w:space="0" w:color="000000"/>
            </w:tcBorders>
            <w:shd w:val="clear" w:color="auto" w:fill="EFEFEF"/>
            <w:vAlign w:val="bottom"/>
          </w:tcPr>
          <w:p w14:paraId="2A73AD3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D3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single" w:sz="8" w:space="0" w:color="000000"/>
            </w:tcBorders>
            <w:shd w:val="clear" w:color="auto" w:fill="EFEFEF"/>
            <w:vAlign w:val="bottom"/>
          </w:tcPr>
          <w:p w14:paraId="2A73AD3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D3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(116</w:t>
            </w:r>
          </w:p>
        </w:tc>
        <w:tc>
          <w:tcPr>
            <w:tcW w:w="0" w:type="auto"/>
            <w:tcBorders>
              <w:bottom w:val="single" w:sz="8" w:space="0" w:color="000000"/>
            </w:tcBorders>
            <w:shd w:val="clear" w:color="auto" w:fill="EFEFEF"/>
            <w:tcMar>
              <w:top w:w="40" w:type="dxa"/>
              <w:bottom w:w="40" w:type="dxa"/>
              <w:right w:w="40" w:type="dxa"/>
            </w:tcMar>
            <w:vAlign w:val="bottom"/>
          </w:tcPr>
          <w:p w14:paraId="2A73AD37"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AD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D3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683</w:t>
            </w:r>
          </w:p>
        </w:tc>
        <w:tc>
          <w:tcPr>
            <w:tcW w:w="0" w:type="auto"/>
            <w:tcBorders>
              <w:bottom w:val="single" w:sz="8" w:space="0" w:color="000000"/>
            </w:tcBorders>
            <w:shd w:val="clear" w:color="auto" w:fill="EFEFEF"/>
            <w:vAlign w:val="bottom"/>
          </w:tcPr>
          <w:p w14:paraId="2A73AD3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D3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single" w:sz="8" w:space="0" w:color="000000"/>
            </w:tcBorders>
            <w:shd w:val="clear" w:color="auto" w:fill="EFEFEF"/>
            <w:vAlign w:val="bottom"/>
          </w:tcPr>
          <w:p w14:paraId="2A73AD3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3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D3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683</w:t>
            </w:r>
          </w:p>
        </w:tc>
        <w:tc>
          <w:tcPr>
            <w:tcW w:w="0" w:type="auto"/>
            <w:tcBorders>
              <w:bottom w:val="single" w:sz="8" w:space="0" w:color="000000"/>
            </w:tcBorders>
            <w:shd w:val="clear" w:color="auto" w:fill="EFEFEF"/>
            <w:vAlign w:val="bottom"/>
          </w:tcPr>
          <w:p w14:paraId="2A73AD4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4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D4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single" w:sz="8" w:space="0" w:color="000000"/>
            </w:tcBorders>
            <w:shd w:val="clear" w:color="auto" w:fill="EFEFEF"/>
            <w:vAlign w:val="bottom"/>
          </w:tcPr>
          <w:p w14:paraId="2A73AD43" w14:textId="77777777" w:rsidR="00FA5565" w:rsidRDefault="00FA5565">
            <w:pPr>
              <w:textAlignment w:val="bottom"/>
              <w:rPr>
                <w:rFonts w:ascii="Times New Roman" w:hAnsi="Times New Roman"/>
                <w:sz w:val="20"/>
                <w:szCs w:val="20"/>
              </w:rPr>
            </w:pPr>
          </w:p>
        </w:tc>
      </w:tr>
      <w:tr w:rsidR="00FA5565" w14:paraId="2A73AD5A" w14:textId="77777777">
        <w:tc>
          <w:tcPr>
            <w:tcW w:w="0" w:type="auto"/>
            <w:shd w:val="clear" w:color="auto" w:fill="auto"/>
            <w:tcMar>
              <w:top w:w="40" w:type="dxa"/>
              <w:left w:w="880" w:type="dxa"/>
              <w:bottom w:w="40" w:type="dxa"/>
              <w:right w:w="40" w:type="dxa"/>
            </w:tcMar>
          </w:tcPr>
          <w:p w14:paraId="2A73AD45"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Subtotal</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D4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8,882</w:t>
            </w:r>
          </w:p>
        </w:tc>
        <w:tc>
          <w:tcPr>
            <w:tcW w:w="0" w:type="auto"/>
            <w:tcBorders>
              <w:top w:val="single" w:sz="8" w:space="0" w:color="000000"/>
              <w:bottom w:val="single" w:sz="8" w:space="0" w:color="000000"/>
            </w:tcBorders>
            <w:shd w:val="clear" w:color="auto" w:fill="auto"/>
            <w:vAlign w:val="bottom"/>
          </w:tcPr>
          <w:p w14:paraId="2A73AD4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4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D4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auto"/>
            <w:vAlign w:val="bottom"/>
          </w:tcPr>
          <w:p w14:paraId="2A73AD4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D4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(116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2A73AD4D"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AD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D4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8,766</w:t>
            </w:r>
          </w:p>
        </w:tc>
        <w:tc>
          <w:tcPr>
            <w:tcW w:w="0" w:type="auto"/>
            <w:tcBorders>
              <w:top w:val="single" w:sz="8" w:space="0" w:color="000000"/>
              <w:bottom w:val="single" w:sz="8" w:space="0" w:color="000000"/>
            </w:tcBorders>
            <w:shd w:val="clear" w:color="auto" w:fill="auto"/>
            <w:vAlign w:val="bottom"/>
          </w:tcPr>
          <w:p w14:paraId="2A73AD5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5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D5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8,083</w:t>
            </w:r>
          </w:p>
        </w:tc>
        <w:tc>
          <w:tcPr>
            <w:tcW w:w="0" w:type="auto"/>
            <w:tcBorders>
              <w:top w:val="single" w:sz="8" w:space="0" w:color="000000"/>
              <w:bottom w:val="single" w:sz="8" w:space="0" w:color="000000"/>
            </w:tcBorders>
            <w:shd w:val="clear" w:color="auto" w:fill="auto"/>
            <w:vAlign w:val="bottom"/>
          </w:tcPr>
          <w:p w14:paraId="2A73AD5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5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D5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683</w:t>
            </w:r>
          </w:p>
        </w:tc>
        <w:tc>
          <w:tcPr>
            <w:tcW w:w="0" w:type="auto"/>
            <w:tcBorders>
              <w:top w:val="single" w:sz="8" w:space="0" w:color="000000"/>
              <w:bottom w:val="single" w:sz="8" w:space="0" w:color="000000"/>
            </w:tcBorders>
            <w:shd w:val="clear" w:color="auto" w:fill="auto"/>
            <w:vAlign w:val="bottom"/>
          </w:tcPr>
          <w:p w14:paraId="2A73AD5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D58"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single" w:sz="8" w:space="0" w:color="000000"/>
            </w:tcBorders>
            <w:shd w:val="clear" w:color="auto" w:fill="auto"/>
            <w:vAlign w:val="bottom"/>
          </w:tcPr>
          <w:p w14:paraId="2A73AD59" w14:textId="77777777" w:rsidR="00FA5565" w:rsidRDefault="00FA5565">
            <w:pPr>
              <w:textAlignment w:val="bottom"/>
              <w:rPr>
                <w:rFonts w:ascii="Times New Roman" w:hAnsi="Times New Roman"/>
                <w:sz w:val="20"/>
                <w:szCs w:val="20"/>
              </w:rPr>
            </w:pPr>
          </w:p>
        </w:tc>
      </w:tr>
      <w:tr w:rsidR="00FA5565" w14:paraId="2A73AD69" w14:textId="77777777">
        <w:tc>
          <w:tcPr>
            <w:tcW w:w="0" w:type="auto"/>
            <w:shd w:val="clear" w:color="auto" w:fill="EFEFEF"/>
            <w:tcMar>
              <w:top w:w="40" w:type="dxa"/>
              <w:left w:w="40" w:type="dxa"/>
              <w:bottom w:w="40" w:type="dxa"/>
              <w:right w:w="40" w:type="dxa"/>
            </w:tcMar>
            <w:vAlign w:val="bottom"/>
          </w:tcPr>
          <w:p w14:paraId="2A73AD5B" w14:textId="77777777" w:rsidR="00FA5565" w:rsidRDefault="00D804D1">
            <w:pPr>
              <w:ind w:hanging="240"/>
              <w:textAlignment w:val="bottom"/>
              <w:rPr>
                <w:rFonts w:ascii="Times New Roman" w:hAnsi="Times New Roman"/>
                <w:sz w:val="16"/>
                <w:szCs w:val="16"/>
              </w:rPr>
            </w:pPr>
            <w:r>
              <w:rPr>
                <w:rFonts w:ascii="Helvetica" w:eastAsia="Helvetica" w:hAnsi="Helvetica" w:cs="Helvetica"/>
                <w:sz w:val="16"/>
                <w:szCs w:val="16"/>
              </w:rPr>
              <w:t>Level 2 (2):</w:t>
            </w:r>
          </w:p>
        </w:tc>
        <w:tc>
          <w:tcPr>
            <w:tcW w:w="0" w:type="auto"/>
            <w:gridSpan w:val="3"/>
            <w:shd w:val="clear" w:color="auto" w:fill="EFEFEF"/>
            <w:tcMar>
              <w:top w:w="40" w:type="dxa"/>
              <w:left w:w="40" w:type="dxa"/>
              <w:bottom w:w="40" w:type="dxa"/>
              <w:right w:w="40" w:type="dxa"/>
            </w:tcMar>
            <w:vAlign w:val="bottom"/>
          </w:tcPr>
          <w:p w14:paraId="2A73AD5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5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6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6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6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6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6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D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D6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D7F" w14:textId="77777777">
        <w:tc>
          <w:tcPr>
            <w:tcW w:w="0" w:type="auto"/>
            <w:shd w:val="clear" w:color="auto" w:fill="auto"/>
            <w:tcMar>
              <w:top w:w="40" w:type="dxa"/>
              <w:left w:w="240" w:type="dxa"/>
              <w:bottom w:w="40" w:type="dxa"/>
              <w:right w:w="40" w:type="dxa"/>
            </w:tcMar>
          </w:tcPr>
          <w:p w14:paraId="2A73AD6A"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U.S. Treasury securities</w:t>
            </w:r>
          </w:p>
        </w:tc>
        <w:tc>
          <w:tcPr>
            <w:tcW w:w="0" w:type="auto"/>
            <w:gridSpan w:val="2"/>
            <w:shd w:val="clear" w:color="auto" w:fill="auto"/>
            <w:tcMar>
              <w:top w:w="40" w:type="dxa"/>
              <w:left w:w="40" w:type="dxa"/>
              <w:bottom w:w="40" w:type="dxa"/>
            </w:tcMar>
            <w:vAlign w:val="bottom"/>
          </w:tcPr>
          <w:p w14:paraId="2A73AD6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47,296</w:t>
            </w:r>
          </w:p>
        </w:tc>
        <w:tc>
          <w:tcPr>
            <w:tcW w:w="0" w:type="auto"/>
            <w:shd w:val="clear" w:color="auto" w:fill="auto"/>
            <w:vAlign w:val="bottom"/>
          </w:tcPr>
          <w:p w14:paraId="2A73AD6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6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6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7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7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(1,202</w:t>
            </w:r>
          </w:p>
        </w:tc>
        <w:tc>
          <w:tcPr>
            <w:tcW w:w="0" w:type="auto"/>
            <w:shd w:val="clear" w:color="auto" w:fill="auto"/>
            <w:tcMar>
              <w:top w:w="40" w:type="dxa"/>
              <w:bottom w:w="40" w:type="dxa"/>
              <w:right w:w="40" w:type="dxa"/>
            </w:tcMar>
            <w:vAlign w:val="bottom"/>
          </w:tcPr>
          <w:p w14:paraId="2A73AD72"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AD7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7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46,094</w:t>
            </w:r>
          </w:p>
        </w:tc>
        <w:tc>
          <w:tcPr>
            <w:tcW w:w="0" w:type="auto"/>
            <w:shd w:val="clear" w:color="auto" w:fill="auto"/>
            <w:vAlign w:val="bottom"/>
          </w:tcPr>
          <w:p w14:paraId="2A73AD7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7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7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1,613</w:t>
            </w:r>
          </w:p>
        </w:tc>
        <w:tc>
          <w:tcPr>
            <w:tcW w:w="0" w:type="auto"/>
            <w:shd w:val="clear" w:color="auto" w:fill="auto"/>
            <w:vAlign w:val="bottom"/>
          </w:tcPr>
          <w:p w14:paraId="2A73AD7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7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7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7,606</w:t>
            </w:r>
          </w:p>
        </w:tc>
        <w:tc>
          <w:tcPr>
            <w:tcW w:w="0" w:type="auto"/>
            <w:shd w:val="clear" w:color="auto" w:fill="auto"/>
            <w:vAlign w:val="bottom"/>
          </w:tcPr>
          <w:p w14:paraId="2A73AD7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7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7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36,875</w:t>
            </w:r>
          </w:p>
        </w:tc>
        <w:tc>
          <w:tcPr>
            <w:tcW w:w="0" w:type="auto"/>
            <w:shd w:val="clear" w:color="auto" w:fill="auto"/>
            <w:vAlign w:val="bottom"/>
          </w:tcPr>
          <w:p w14:paraId="2A73AD7E" w14:textId="77777777" w:rsidR="00FA5565" w:rsidRDefault="00FA5565">
            <w:pPr>
              <w:textAlignment w:val="bottom"/>
              <w:rPr>
                <w:rFonts w:ascii="Times New Roman" w:hAnsi="Times New Roman"/>
                <w:sz w:val="20"/>
                <w:szCs w:val="20"/>
              </w:rPr>
            </w:pPr>
          </w:p>
        </w:tc>
      </w:tr>
      <w:tr w:rsidR="00FA5565" w14:paraId="2A73AD95" w14:textId="77777777">
        <w:tc>
          <w:tcPr>
            <w:tcW w:w="0" w:type="auto"/>
            <w:shd w:val="clear" w:color="auto" w:fill="EFEFEF"/>
            <w:tcMar>
              <w:top w:w="40" w:type="dxa"/>
              <w:left w:w="240" w:type="dxa"/>
              <w:bottom w:w="40" w:type="dxa"/>
              <w:right w:w="40" w:type="dxa"/>
            </w:tcMar>
          </w:tcPr>
          <w:p w14:paraId="2A73AD80"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U.S. agency securities</w:t>
            </w:r>
          </w:p>
        </w:tc>
        <w:tc>
          <w:tcPr>
            <w:tcW w:w="0" w:type="auto"/>
            <w:gridSpan w:val="2"/>
            <w:shd w:val="clear" w:color="auto" w:fill="EFEFEF"/>
            <w:tcMar>
              <w:top w:w="40" w:type="dxa"/>
              <w:left w:w="40" w:type="dxa"/>
              <w:bottom w:w="40" w:type="dxa"/>
            </w:tcMar>
            <w:vAlign w:val="bottom"/>
          </w:tcPr>
          <w:p w14:paraId="2A73AD8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4,127</w:t>
            </w:r>
          </w:p>
        </w:tc>
        <w:tc>
          <w:tcPr>
            <w:tcW w:w="0" w:type="auto"/>
            <w:shd w:val="clear" w:color="auto" w:fill="EFEFEF"/>
            <w:vAlign w:val="bottom"/>
          </w:tcPr>
          <w:p w14:paraId="2A73AD8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8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8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2A73AD8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8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8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(48</w:t>
            </w:r>
          </w:p>
        </w:tc>
        <w:tc>
          <w:tcPr>
            <w:tcW w:w="0" w:type="auto"/>
            <w:shd w:val="clear" w:color="auto" w:fill="EFEFEF"/>
            <w:tcMar>
              <w:top w:w="40" w:type="dxa"/>
              <w:bottom w:w="40" w:type="dxa"/>
              <w:right w:w="40" w:type="dxa"/>
            </w:tcMar>
            <w:vAlign w:val="bottom"/>
          </w:tcPr>
          <w:p w14:paraId="2A73AD88"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AD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8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4,079</w:t>
            </w:r>
          </w:p>
        </w:tc>
        <w:tc>
          <w:tcPr>
            <w:tcW w:w="0" w:type="auto"/>
            <w:shd w:val="clear" w:color="auto" w:fill="EFEFEF"/>
            <w:vAlign w:val="bottom"/>
          </w:tcPr>
          <w:p w14:paraId="2A73AD8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8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1,732</w:t>
            </w:r>
          </w:p>
        </w:tc>
        <w:tc>
          <w:tcPr>
            <w:tcW w:w="0" w:type="auto"/>
            <w:shd w:val="clear" w:color="auto" w:fill="EFEFEF"/>
            <w:vAlign w:val="bottom"/>
          </w:tcPr>
          <w:p w14:paraId="2A73AD8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9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360</w:t>
            </w:r>
          </w:p>
        </w:tc>
        <w:tc>
          <w:tcPr>
            <w:tcW w:w="0" w:type="auto"/>
            <w:shd w:val="clear" w:color="auto" w:fill="EFEFEF"/>
            <w:vAlign w:val="bottom"/>
          </w:tcPr>
          <w:p w14:paraId="2A73AD9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9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9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1,987</w:t>
            </w:r>
          </w:p>
        </w:tc>
        <w:tc>
          <w:tcPr>
            <w:tcW w:w="0" w:type="auto"/>
            <w:shd w:val="clear" w:color="auto" w:fill="EFEFEF"/>
            <w:vAlign w:val="bottom"/>
          </w:tcPr>
          <w:p w14:paraId="2A73AD94" w14:textId="77777777" w:rsidR="00FA5565" w:rsidRDefault="00FA5565">
            <w:pPr>
              <w:textAlignment w:val="bottom"/>
              <w:rPr>
                <w:rFonts w:ascii="Times New Roman" w:hAnsi="Times New Roman"/>
                <w:sz w:val="20"/>
                <w:szCs w:val="20"/>
              </w:rPr>
            </w:pPr>
          </w:p>
        </w:tc>
      </w:tr>
      <w:tr w:rsidR="00FA5565" w14:paraId="2A73ADAB" w14:textId="77777777">
        <w:tc>
          <w:tcPr>
            <w:tcW w:w="0" w:type="auto"/>
            <w:shd w:val="clear" w:color="auto" w:fill="auto"/>
            <w:tcMar>
              <w:top w:w="40" w:type="dxa"/>
              <w:left w:w="240" w:type="dxa"/>
              <w:bottom w:w="40" w:type="dxa"/>
              <w:right w:w="40" w:type="dxa"/>
            </w:tcMar>
          </w:tcPr>
          <w:p w14:paraId="2A73AD96"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Non-U.S. government securities</w:t>
            </w:r>
          </w:p>
        </w:tc>
        <w:tc>
          <w:tcPr>
            <w:tcW w:w="0" w:type="auto"/>
            <w:gridSpan w:val="2"/>
            <w:shd w:val="clear" w:color="auto" w:fill="auto"/>
            <w:tcMar>
              <w:top w:w="40" w:type="dxa"/>
              <w:left w:w="40" w:type="dxa"/>
              <w:bottom w:w="40" w:type="dxa"/>
            </w:tcMar>
            <w:vAlign w:val="bottom"/>
          </w:tcPr>
          <w:p w14:paraId="2A73AD9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21,601</w:t>
            </w:r>
          </w:p>
        </w:tc>
        <w:tc>
          <w:tcPr>
            <w:tcW w:w="0" w:type="auto"/>
            <w:shd w:val="clear" w:color="auto" w:fill="auto"/>
            <w:vAlign w:val="bottom"/>
          </w:tcPr>
          <w:p w14:paraId="2A73AD9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9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49</w:t>
            </w:r>
          </w:p>
        </w:tc>
        <w:tc>
          <w:tcPr>
            <w:tcW w:w="0" w:type="auto"/>
            <w:shd w:val="clear" w:color="auto" w:fill="auto"/>
            <w:vAlign w:val="bottom"/>
          </w:tcPr>
          <w:p w14:paraId="2A73AD9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9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(250</w:t>
            </w:r>
          </w:p>
        </w:tc>
        <w:tc>
          <w:tcPr>
            <w:tcW w:w="0" w:type="auto"/>
            <w:shd w:val="clear" w:color="auto" w:fill="auto"/>
            <w:tcMar>
              <w:top w:w="40" w:type="dxa"/>
              <w:bottom w:w="40" w:type="dxa"/>
              <w:right w:w="40" w:type="dxa"/>
            </w:tcMar>
            <w:vAlign w:val="bottom"/>
          </w:tcPr>
          <w:p w14:paraId="2A73AD9E"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AD9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A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21,400</w:t>
            </w:r>
          </w:p>
        </w:tc>
        <w:tc>
          <w:tcPr>
            <w:tcW w:w="0" w:type="auto"/>
            <w:shd w:val="clear" w:color="auto" w:fill="auto"/>
            <w:vAlign w:val="bottom"/>
          </w:tcPr>
          <w:p w14:paraId="2A73ADA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A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A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A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A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3,355</w:t>
            </w:r>
          </w:p>
        </w:tc>
        <w:tc>
          <w:tcPr>
            <w:tcW w:w="0" w:type="auto"/>
            <w:shd w:val="clear" w:color="auto" w:fill="auto"/>
            <w:vAlign w:val="bottom"/>
          </w:tcPr>
          <w:p w14:paraId="2A73ADA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A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A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18,045</w:t>
            </w:r>
          </w:p>
        </w:tc>
        <w:tc>
          <w:tcPr>
            <w:tcW w:w="0" w:type="auto"/>
            <w:shd w:val="clear" w:color="auto" w:fill="auto"/>
            <w:vAlign w:val="bottom"/>
          </w:tcPr>
          <w:p w14:paraId="2A73ADAA" w14:textId="77777777" w:rsidR="00FA5565" w:rsidRDefault="00FA5565">
            <w:pPr>
              <w:textAlignment w:val="bottom"/>
              <w:rPr>
                <w:rFonts w:ascii="Times New Roman" w:hAnsi="Times New Roman"/>
                <w:sz w:val="20"/>
                <w:szCs w:val="20"/>
              </w:rPr>
            </w:pPr>
          </w:p>
        </w:tc>
      </w:tr>
      <w:tr w:rsidR="00FA5565" w14:paraId="2A73ADC1" w14:textId="77777777">
        <w:tc>
          <w:tcPr>
            <w:tcW w:w="0" w:type="auto"/>
            <w:shd w:val="clear" w:color="auto" w:fill="EFEFEF"/>
            <w:tcMar>
              <w:top w:w="40" w:type="dxa"/>
              <w:left w:w="240" w:type="dxa"/>
              <w:bottom w:w="40" w:type="dxa"/>
              <w:right w:w="40" w:type="dxa"/>
            </w:tcMar>
          </w:tcPr>
          <w:p w14:paraId="2A73ADAC"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Certificates of deposit and time deposits</w:t>
            </w:r>
          </w:p>
        </w:tc>
        <w:tc>
          <w:tcPr>
            <w:tcW w:w="0" w:type="auto"/>
            <w:gridSpan w:val="2"/>
            <w:shd w:val="clear" w:color="auto" w:fill="EFEFEF"/>
            <w:tcMar>
              <w:top w:w="40" w:type="dxa"/>
              <w:left w:w="40" w:type="dxa"/>
              <w:bottom w:w="40" w:type="dxa"/>
            </w:tcMar>
            <w:vAlign w:val="bottom"/>
          </w:tcPr>
          <w:p w14:paraId="2A73ADA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3,074</w:t>
            </w:r>
          </w:p>
        </w:tc>
        <w:tc>
          <w:tcPr>
            <w:tcW w:w="0" w:type="auto"/>
            <w:shd w:val="clear" w:color="auto" w:fill="EFEFEF"/>
            <w:vAlign w:val="bottom"/>
          </w:tcPr>
          <w:p w14:paraId="2A73ADA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A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B0"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2A73ADB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B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B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2A73ADB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B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B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3,074</w:t>
            </w:r>
          </w:p>
        </w:tc>
        <w:tc>
          <w:tcPr>
            <w:tcW w:w="0" w:type="auto"/>
            <w:shd w:val="clear" w:color="auto" w:fill="EFEFEF"/>
            <w:vAlign w:val="bottom"/>
          </w:tcPr>
          <w:p w14:paraId="2A73ADB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B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B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1,247</w:t>
            </w:r>
          </w:p>
        </w:tc>
        <w:tc>
          <w:tcPr>
            <w:tcW w:w="0" w:type="auto"/>
            <w:shd w:val="clear" w:color="auto" w:fill="EFEFEF"/>
            <w:vAlign w:val="bottom"/>
          </w:tcPr>
          <w:p w14:paraId="2A73ADB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B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B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1,330</w:t>
            </w:r>
          </w:p>
        </w:tc>
        <w:tc>
          <w:tcPr>
            <w:tcW w:w="0" w:type="auto"/>
            <w:shd w:val="clear" w:color="auto" w:fill="EFEFEF"/>
            <w:vAlign w:val="bottom"/>
          </w:tcPr>
          <w:p w14:paraId="2A73ADB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B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497</w:t>
            </w:r>
          </w:p>
        </w:tc>
        <w:tc>
          <w:tcPr>
            <w:tcW w:w="0" w:type="auto"/>
            <w:shd w:val="clear" w:color="auto" w:fill="EFEFEF"/>
            <w:vAlign w:val="bottom"/>
          </w:tcPr>
          <w:p w14:paraId="2A73ADC0" w14:textId="77777777" w:rsidR="00FA5565" w:rsidRDefault="00FA5565">
            <w:pPr>
              <w:textAlignment w:val="bottom"/>
              <w:rPr>
                <w:rFonts w:ascii="Times New Roman" w:hAnsi="Times New Roman"/>
                <w:sz w:val="20"/>
                <w:szCs w:val="20"/>
              </w:rPr>
            </w:pPr>
          </w:p>
        </w:tc>
      </w:tr>
      <w:tr w:rsidR="00FA5565" w14:paraId="2A73ADD7" w14:textId="77777777">
        <w:tc>
          <w:tcPr>
            <w:tcW w:w="0" w:type="auto"/>
            <w:shd w:val="clear" w:color="auto" w:fill="auto"/>
            <w:tcMar>
              <w:top w:w="40" w:type="dxa"/>
              <w:left w:w="240" w:type="dxa"/>
              <w:bottom w:w="40" w:type="dxa"/>
              <w:right w:w="40" w:type="dxa"/>
            </w:tcMar>
          </w:tcPr>
          <w:p w14:paraId="2A73ADC2"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Commercial paper</w:t>
            </w:r>
          </w:p>
        </w:tc>
        <w:tc>
          <w:tcPr>
            <w:tcW w:w="0" w:type="auto"/>
            <w:gridSpan w:val="2"/>
            <w:shd w:val="clear" w:color="auto" w:fill="auto"/>
            <w:tcMar>
              <w:top w:w="40" w:type="dxa"/>
              <w:left w:w="40" w:type="dxa"/>
              <w:bottom w:w="40" w:type="dxa"/>
            </w:tcMar>
            <w:vAlign w:val="bottom"/>
          </w:tcPr>
          <w:p w14:paraId="2A73ADC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2,573</w:t>
            </w:r>
          </w:p>
        </w:tc>
        <w:tc>
          <w:tcPr>
            <w:tcW w:w="0" w:type="auto"/>
            <w:shd w:val="clear" w:color="auto" w:fill="auto"/>
            <w:vAlign w:val="bottom"/>
          </w:tcPr>
          <w:p w14:paraId="2A73ADC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C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C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C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C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C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2,573</w:t>
            </w:r>
          </w:p>
        </w:tc>
        <w:tc>
          <w:tcPr>
            <w:tcW w:w="0" w:type="auto"/>
            <w:shd w:val="clear" w:color="auto" w:fill="auto"/>
            <w:vAlign w:val="bottom"/>
          </w:tcPr>
          <w:p w14:paraId="2A73ADC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C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C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1,663</w:t>
            </w:r>
          </w:p>
        </w:tc>
        <w:tc>
          <w:tcPr>
            <w:tcW w:w="0" w:type="auto"/>
            <w:shd w:val="clear" w:color="auto" w:fill="auto"/>
            <w:vAlign w:val="bottom"/>
          </w:tcPr>
          <w:p w14:paraId="2A73ADD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D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910</w:t>
            </w:r>
          </w:p>
        </w:tc>
        <w:tc>
          <w:tcPr>
            <w:tcW w:w="0" w:type="auto"/>
            <w:shd w:val="clear" w:color="auto" w:fill="auto"/>
            <w:vAlign w:val="bottom"/>
          </w:tcPr>
          <w:p w14:paraId="2A73ADD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D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D6" w14:textId="77777777" w:rsidR="00FA5565" w:rsidRDefault="00FA5565">
            <w:pPr>
              <w:textAlignment w:val="bottom"/>
              <w:rPr>
                <w:rFonts w:ascii="Times New Roman" w:hAnsi="Times New Roman"/>
                <w:sz w:val="20"/>
                <w:szCs w:val="20"/>
              </w:rPr>
            </w:pPr>
          </w:p>
        </w:tc>
      </w:tr>
      <w:tr w:rsidR="00FA5565" w14:paraId="2A73ADED" w14:textId="77777777">
        <w:tc>
          <w:tcPr>
            <w:tcW w:w="0" w:type="auto"/>
            <w:shd w:val="clear" w:color="auto" w:fill="EFEFEF"/>
            <w:tcMar>
              <w:top w:w="40" w:type="dxa"/>
              <w:left w:w="240" w:type="dxa"/>
              <w:bottom w:w="40" w:type="dxa"/>
              <w:right w:w="40" w:type="dxa"/>
            </w:tcMar>
          </w:tcPr>
          <w:p w14:paraId="2A73ADD8"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Corporate debt securities</w:t>
            </w:r>
          </w:p>
        </w:tc>
        <w:tc>
          <w:tcPr>
            <w:tcW w:w="0" w:type="auto"/>
            <w:gridSpan w:val="2"/>
            <w:shd w:val="clear" w:color="auto" w:fill="EFEFEF"/>
            <w:tcMar>
              <w:top w:w="40" w:type="dxa"/>
              <w:left w:w="40" w:type="dxa"/>
              <w:bottom w:w="40" w:type="dxa"/>
            </w:tcMar>
            <w:vAlign w:val="bottom"/>
          </w:tcPr>
          <w:p w14:paraId="2A73ADD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123,001</w:t>
            </w:r>
          </w:p>
        </w:tc>
        <w:tc>
          <w:tcPr>
            <w:tcW w:w="0" w:type="auto"/>
            <w:shd w:val="clear" w:color="auto" w:fill="EFEFEF"/>
            <w:vAlign w:val="bottom"/>
          </w:tcPr>
          <w:p w14:paraId="2A73ADD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D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152</w:t>
            </w:r>
          </w:p>
        </w:tc>
        <w:tc>
          <w:tcPr>
            <w:tcW w:w="0" w:type="auto"/>
            <w:shd w:val="clear" w:color="auto" w:fill="EFEFEF"/>
            <w:vAlign w:val="bottom"/>
          </w:tcPr>
          <w:p w14:paraId="2A73ADD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D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D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(2,038</w:t>
            </w:r>
          </w:p>
        </w:tc>
        <w:tc>
          <w:tcPr>
            <w:tcW w:w="0" w:type="auto"/>
            <w:shd w:val="clear" w:color="auto" w:fill="EFEFEF"/>
            <w:tcMar>
              <w:top w:w="40" w:type="dxa"/>
              <w:bottom w:w="40" w:type="dxa"/>
              <w:right w:w="40" w:type="dxa"/>
            </w:tcMar>
            <w:vAlign w:val="bottom"/>
          </w:tcPr>
          <w:p w14:paraId="2A73ADE0"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AD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E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121,115</w:t>
            </w:r>
          </w:p>
        </w:tc>
        <w:tc>
          <w:tcPr>
            <w:tcW w:w="0" w:type="auto"/>
            <w:shd w:val="clear" w:color="auto" w:fill="EFEFEF"/>
            <w:vAlign w:val="bottom"/>
          </w:tcPr>
          <w:p w14:paraId="2A73ADE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E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E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2A73ADE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E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E8"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25,162</w:t>
            </w:r>
          </w:p>
        </w:tc>
        <w:tc>
          <w:tcPr>
            <w:tcW w:w="0" w:type="auto"/>
            <w:shd w:val="clear" w:color="auto" w:fill="EFEFEF"/>
            <w:vAlign w:val="bottom"/>
          </w:tcPr>
          <w:p w14:paraId="2A73ADE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D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ADE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95,953</w:t>
            </w:r>
          </w:p>
        </w:tc>
        <w:tc>
          <w:tcPr>
            <w:tcW w:w="0" w:type="auto"/>
            <w:shd w:val="clear" w:color="auto" w:fill="EFEFEF"/>
            <w:vAlign w:val="bottom"/>
          </w:tcPr>
          <w:p w14:paraId="2A73ADEC" w14:textId="77777777" w:rsidR="00FA5565" w:rsidRDefault="00FA5565">
            <w:pPr>
              <w:textAlignment w:val="bottom"/>
              <w:rPr>
                <w:rFonts w:ascii="Times New Roman" w:hAnsi="Times New Roman"/>
                <w:sz w:val="20"/>
                <w:szCs w:val="20"/>
              </w:rPr>
            </w:pPr>
          </w:p>
        </w:tc>
      </w:tr>
      <w:tr w:rsidR="00FA5565" w14:paraId="2A73AE03" w14:textId="77777777">
        <w:tc>
          <w:tcPr>
            <w:tcW w:w="0" w:type="auto"/>
            <w:shd w:val="clear" w:color="auto" w:fill="auto"/>
            <w:tcMar>
              <w:top w:w="40" w:type="dxa"/>
              <w:left w:w="240" w:type="dxa"/>
              <w:bottom w:w="40" w:type="dxa"/>
              <w:right w:w="40" w:type="dxa"/>
            </w:tcMar>
          </w:tcPr>
          <w:p w14:paraId="2A73ADEE"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Municipal securities</w:t>
            </w:r>
          </w:p>
        </w:tc>
        <w:tc>
          <w:tcPr>
            <w:tcW w:w="0" w:type="auto"/>
            <w:gridSpan w:val="2"/>
            <w:shd w:val="clear" w:color="auto" w:fill="auto"/>
            <w:tcMar>
              <w:top w:w="40" w:type="dxa"/>
              <w:left w:w="40" w:type="dxa"/>
              <w:bottom w:w="40" w:type="dxa"/>
            </w:tcMar>
            <w:vAlign w:val="bottom"/>
          </w:tcPr>
          <w:p w14:paraId="2A73ADE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946</w:t>
            </w:r>
          </w:p>
        </w:tc>
        <w:tc>
          <w:tcPr>
            <w:tcW w:w="0" w:type="auto"/>
            <w:shd w:val="clear" w:color="auto" w:fill="auto"/>
            <w:vAlign w:val="bottom"/>
          </w:tcPr>
          <w:p w14:paraId="2A73ADF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F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F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F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F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(12</w:t>
            </w:r>
          </w:p>
        </w:tc>
        <w:tc>
          <w:tcPr>
            <w:tcW w:w="0" w:type="auto"/>
            <w:shd w:val="clear" w:color="auto" w:fill="auto"/>
            <w:tcMar>
              <w:top w:w="40" w:type="dxa"/>
              <w:bottom w:w="40" w:type="dxa"/>
              <w:right w:w="40" w:type="dxa"/>
            </w:tcMar>
            <w:vAlign w:val="bottom"/>
          </w:tcPr>
          <w:p w14:paraId="2A73ADF6"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ADF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F8"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934</w:t>
            </w:r>
          </w:p>
        </w:tc>
        <w:tc>
          <w:tcPr>
            <w:tcW w:w="0" w:type="auto"/>
            <w:shd w:val="clear" w:color="auto" w:fill="auto"/>
            <w:vAlign w:val="bottom"/>
          </w:tcPr>
          <w:p w14:paraId="2A73ADF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F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F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vAlign w:val="bottom"/>
          </w:tcPr>
          <w:p w14:paraId="2A73ADF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D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DF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178</w:t>
            </w:r>
          </w:p>
        </w:tc>
        <w:tc>
          <w:tcPr>
            <w:tcW w:w="0" w:type="auto"/>
            <w:shd w:val="clear" w:color="auto" w:fill="auto"/>
            <w:vAlign w:val="bottom"/>
          </w:tcPr>
          <w:p w14:paraId="2A73ADF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E0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AE0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756</w:t>
            </w:r>
          </w:p>
        </w:tc>
        <w:tc>
          <w:tcPr>
            <w:tcW w:w="0" w:type="auto"/>
            <w:shd w:val="clear" w:color="auto" w:fill="auto"/>
            <w:vAlign w:val="bottom"/>
          </w:tcPr>
          <w:p w14:paraId="2A73AE02" w14:textId="77777777" w:rsidR="00FA5565" w:rsidRDefault="00FA5565">
            <w:pPr>
              <w:textAlignment w:val="bottom"/>
              <w:rPr>
                <w:rFonts w:ascii="Times New Roman" w:hAnsi="Times New Roman"/>
                <w:sz w:val="20"/>
                <w:szCs w:val="20"/>
              </w:rPr>
            </w:pPr>
          </w:p>
        </w:tc>
      </w:tr>
      <w:tr w:rsidR="00FA5565" w14:paraId="2A73AE19" w14:textId="77777777">
        <w:tc>
          <w:tcPr>
            <w:tcW w:w="0" w:type="auto"/>
            <w:shd w:val="clear" w:color="auto" w:fill="EFEFEF"/>
            <w:tcMar>
              <w:top w:w="40" w:type="dxa"/>
              <w:left w:w="240" w:type="dxa"/>
              <w:bottom w:w="40" w:type="dxa"/>
              <w:right w:w="40" w:type="dxa"/>
            </w:tcMar>
          </w:tcPr>
          <w:p w14:paraId="2A73AE04"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Mortgage- and asset-backed securities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E0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18,105</w:t>
            </w:r>
          </w:p>
        </w:tc>
        <w:tc>
          <w:tcPr>
            <w:tcW w:w="0" w:type="auto"/>
            <w:tcBorders>
              <w:bottom w:val="single" w:sz="8" w:space="0" w:color="000000"/>
            </w:tcBorders>
            <w:shd w:val="clear" w:color="auto" w:fill="EFEFEF"/>
            <w:vAlign w:val="bottom"/>
          </w:tcPr>
          <w:p w14:paraId="2A73AE0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E0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E08"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w:t>
            </w:r>
          </w:p>
        </w:tc>
        <w:tc>
          <w:tcPr>
            <w:tcW w:w="0" w:type="auto"/>
            <w:tcBorders>
              <w:bottom w:val="single" w:sz="8" w:space="0" w:color="000000"/>
            </w:tcBorders>
            <w:shd w:val="clear" w:color="auto" w:fill="EFEFEF"/>
            <w:vAlign w:val="bottom"/>
          </w:tcPr>
          <w:p w14:paraId="2A73AE0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E0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E0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(623</w:t>
            </w:r>
          </w:p>
        </w:tc>
        <w:tc>
          <w:tcPr>
            <w:tcW w:w="0" w:type="auto"/>
            <w:tcBorders>
              <w:bottom w:val="single" w:sz="8" w:space="0" w:color="000000"/>
            </w:tcBorders>
            <w:shd w:val="clear" w:color="auto" w:fill="EFEFEF"/>
            <w:tcMar>
              <w:top w:w="40" w:type="dxa"/>
              <w:bottom w:w="40" w:type="dxa"/>
              <w:right w:w="40" w:type="dxa"/>
            </w:tcMar>
            <w:vAlign w:val="bottom"/>
          </w:tcPr>
          <w:p w14:paraId="2A73AE0C"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AE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E0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17,490</w:t>
            </w:r>
          </w:p>
        </w:tc>
        <w:tc>
          <w:tcPr>
            <w:tcW w:w="0" w:type="auto"/>
            <w:tcBorders>
              <w:bottom w:val="single" w:sz="8" w:space="0" w:color="000000"/>
            </w:tcBorders>
            <w:shd w:val="clear" w:color="auto" w:fill="EFEFEF"/>
            <w:vAlign w:val="bottom"/>
          </w:tcPr>
          <w:p w14:paraId="2A73AE0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E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E1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single" w:sz="8" w:space="0" w:color="000000"/>
            </w:tcBorders>
            <w:shd w:val="clear" w:color="auto" w:fill="EFEFEF"/>
            <w:vAlign w:val="bottom"/>
          </w:tcPr>
          <w:p w14:paraId="2A73AE1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E1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E1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804</w:t>
            </w:r>
          </w:p>
        </w:tc>
        <w:tc>
          <w:tcPr>
            <w:tcW w:w="0" w:type="auto"/>
            <w:tcBorders>
              <w:bottom w:val="single" w:sz="8" w:space="0" w:color="000000"/>
            </w:tcBorders>
            <w:shd w:val="clear" w:color="auto" w:fill="EFEFEF"/>
            <w:vAlign w:val="bottom"/>
          </w:tcPr>
          <w:p w14:paraId="2A73AE1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E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AE1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16,686</w:t>
            </w:r>
          </w:p>
        </w:tc>
        <w:tc>
          <w:tcPr>
            <w:tcW w:w="0" w:type="auto"/>
            <w:tcBorders>
              <w:bottom w:val="single" w:sz="8" w:space="0" w:color="000000"/>
            </w:tcBorders>
            <w:shd w:val="clear" w:color="auto" w:fill="EFEFEF"/>
            <w:vAlign w:val="bottom"/>
          </w:tcPr>
          <w:p w14:paraId="2A73AE18" w14:textId="77777777" w:rsidR="00FA5565" w:rsidRDefault="00FA5565">
            <w:pPr>
              <w:textAlignment w:val="bottom"/>
              <w:rPr>
                <w:rFonts w:ascii="Times New Roman" w:hAnsi="Times New Roman"/>
                <w:sz w:val="20"/>
                <w:szCs w:val="20"/>
              </w:rPr>
            </w:pPr>
          </w:p>
        </w:tc>
      </w:tr>
      <w:tr w:rsidR="00FA5565" w14:paraId="2A73AE2F" w14:textId="77777777">
        <w:tc>
          <w:tcPr>
            <w:tcW w:w="0" w:type="auto"/>
            <w:shd w:val="clear" w:color="auto" w:fill="auto"/>
            <w:tcMar>
              <w:top w:w="40" w:type="dxa"/>
              <w:left w:w="560" w:type="dxa"/>
              <w:bottom w:w="40" w:type="dxa"/>
              <w:right w:w="40" w:type="dxa"/>
            </w:tcMar>
          </w:tcPr>
          <w:p w14:paraId="2A73AE1A" w14:textId="77777777" w:rsidR="00FA5565" w:rsidRDefault="00D804D1">
            <w:pPr>
              <w:ind w:hanging="240"/>
              <w:textAlignment w:val="top"/>
              <w:rPr>
                <w:rFonts w:ascii="Times New Roman" w:hAnsi="Times New Roman"/>
                <w:sz w:val="16"/>
                <w:szCs w:val="16"/>
              </w:rPr>
            </w:pPr>
            <w:r>
              <w:rPr>
                <w:rFonts w:ascii="Helvetica" w:eastAsia="Helvetica" w:hAnsi="Helvetica" w:cs="Helvetica"/>
                <w:sz w:val="16"/>
                <w:szCs w:val="16"/>
              </w:rPr>
              <w:t>Subtotal</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E1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220,723</w:t>
            </w:r>
          </w:p>
        </w:tc>
        <w:tc>
          <w:tcPr>
            <w:tcW w:w="0" w:type="auto"/>
            <w:tcBorders>
              <w:top w:val="single" w:sz="8" w:space="0" w:color="000000"/>
              <w:bottom w:val="single" w:sz="8" w:space="0" w:color="000000"/>
            </w:tcBorders>
            <w:shd w:val="clear" w:color="auto" w:fill="auto"/>
            <w:vAlign w:val="bottom"/>
          </w:tcPr>
          <w:p w14:paraId="2A73AE1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E1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E1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209</w:t>
            </w:r>
          </w:p>
        </w:tc>
        <w:tc>
          <w:tcPr>
            <w:tcW w:w="0" w:type="auto"/>
            <w:tcBorders>
              <w:top w:val="single" w:sz="8" w:space="0" w:color="000000"/>
              <w:bottom w:val="single" w:sz="8" w:space="0" w:color="000000"/>
            </w:tcBorders>
            <w:shd w:val="clear" w:color="auto" w:fill="auto"/>
            <w:vAlign w:val="bottom"/>
          </w:tcPr>
          <w:p w14:paraId="2A73AE1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E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E21"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(4,173</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2A73AE22"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AE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E2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216,759</w:t>
            </w:r>
          </w:p>
        </w:tc>
        <w:tc>
          <w:tcPr>
            <w:tcW w:w="0" w:type="auto"/>
            <w:tcBorders>
              <w:top w:val="single" w:sz="8" w:space="0" w:color="000000"/>
              <w:bottom w:val="single" w:sz="8" w:space="0" w:color="000000"/>
            </w:tcBorders>
            <w:shd w:val="clear" w:color="auto" w:fill="auto"/>
            <w:vAlign w:val="bottom"/>
          </w:tcPr>
          <w:p w14:paraId="2A73AE2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E2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E2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6,255</w:t>
            </w:r>
          </w:p>
        </w:tc>
        <w:tc>
          <w:tcPr>
            <w:tcW w:w="0" w:type="auto"/>
            <w:tcBorders>
              <w:top w:val="single" w:sz="8" w:space="0" w:color="000000"/>
              <w:bottom w:val="single" w:sz="8" w:space="0" w:color="000000"/>
            </w:tcBorders>
            <w:shd w:val="clear" w:color="auto" w:fill="auto"/>
            <w:vAlign w:val="bottom"/>
          </w:tcPr>
          <w:p w14:paraId="2A73AE2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E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E2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39,705</w:t>
            </w:r>
          </w:p>
        </w:tc>
        <w:tc>
          <w:tcPr>
            <w:tcW w:w="0" w:type="auto"/>
            <w:tcBorders>
              <w:top w:val="single" w:sz="8" w:space="0" w:color="000000"/>
              <w:bottom w:val="single" w:sz="8" w:space="0" w:color="000000"/>
            </w:tcBorders>
            <w:shd w:val="clear" w:color="auto" w:fill="auto"/>
            <w:vAlign w:val="bottom"/>
          </w:tcPr>
          <w:p w14:paraId="2A73AE2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E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AE2D"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170,799</w:t>
            </w:r>
          </w:p>
        </w:tc>
        <w:tc>
          <w:tcPr>
            <w:tcW w:w="0" w:type="auto"/>
            <w:tcBorders>
              <w:top w:val="single" w:sz="8" w:space="0" w:color="000000"/>
              <w:bottom w:val="single" w:sz="8" w:space="0" w:color="000000"/>
            </w:tcBorders>
            <w:shd w:val="clear" w:color="auto" w:fill="auto"/>
            <w:vAlign w:val="bottom"/>
          </w:tcPr>
          <w:p w14:paraId="2A73AE2E" w14:textId="77777777" w:rsidR="00FA5565" w:rsidRDefault="00FA5565">
            <w:pPr>
              <w:textAlignment w:val="bottom"/>
              <w:rPr>
                <w:rFonts w:ascii="Times New Roman" w:hAnsi="Times New Roman"/>
                <w:sz w:val="20"/>
                <w:szCs w:val="20"/>
              </w:rPr>
            </w:pPr>
          </w:p>
        </w:tc>
      </w:tr>
      <w:tr w:rsidR="00D804D1" w14:paraId="2A73AE4C" w14:textId="77777777">
        <w:tc>
          <w:tcPr>
            <w:tcW w:w="0" w:type="auto"/>
            <w:shd w:val="clear" w:color="auto" w:fill="EFEFEF"/>
            <w:tcMar>
              <w:top w:w="40" w:type="dxa"/>
              <w:left w:w="560" w:type="dxa"/>
              <w:bottom w:w="40" w:type="dxa"/>
              <w:right w:w="40" w:type="dxa"/>
            </w:tcMar>
            <w:vAlign w:val="bottom"/>
          </w:tcPr>
          <w:p w14:paraId="2A73AE30"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Total (3)</w:t>
            </w:r>
          </w:p>
        </w:tc>
        <w:tc>
          <w:tcPr>
            <w:tcW w:w="0" w:type="auto"/>
            <w:tcBorders>
              <w:bottom w:val="double" w:sz="6" w:space="0" w:color="000000"/>
            </w:tcBorders>
            <w:shd w:val="clear" w:color="auto" w:fill="EFEFEF"/>
            <w:tcMar>
              <w:top w:w="40" w:type="dxa"/>
              <w:left w:w="40" w:type="dxa"/>
              <w:bottom w:w="40" w:type="dxa"/>
            </w:tcMar>
            <w:vAlign w:val="bottom"/>
          </w:tcPr>
          <w:p w14:paraId="2A73AE31"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EFEFEF"/>
            <w:tcMar>
              <w:top w:w="40" w:type="dxa"/>
              <w:bottom w:w="40" w:type="dxa"/>
            </w:tcMar>
            <w:vAlign w:val="bottom"/>
          </w:tcPr>
          <w:p w14:paraId="2A73AE3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241,180</w:t>
            </w:r>
          </w:p>
        </w:tc>
        <w:tc>
          <w:tcPr>
            <w:tcW w:w="0" w:type="auto"/>
            <w:tcBorders>
              <w:bottom w:val="double" w:sz="6" w:space="0" w:color="000000"/>
            </w:tcBorders>
            <w:shd w:val="clear" w:color="auto" w:fill="EFEFEF"/>
            <w:vAlign w:val="bottom"/>
          </w:tcPr>
          <w:p w14:paraId="2A73AE3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E3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E35"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EFEFEF"/>
            <w:tcMar>
              <w:top w:w="40" w:type="dxa"/>
              <w:bottom w:w="40" w:type="dxa"/>
            </w:tcMar>
            <w:vAlign w:val="bottom"/>
          </w:tcPr>
          <w:p w14:paraId="2A73AE3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209</w:t>
            </w:r>
          </w:p>
        </w:tc>
        <w:tc>
          <w:tcPr>
            <w:tcW w:w="0" w:type="auto"/>
            <w:tcBorders>
              <w:bottom w:val="double" w:sz="6" w:space="0" w:color="000000"/>
            </w:tcBorders>
            <w:shd w:val="clear" w:color="auto" w:fill="EFEFEF"/>
            <w:vAlign w:val="bottom"/>
          </w:tcPr>
          <w:p w14:paraId="2A73AE3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E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E39"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EFEFEF"/>
            <w:tcMar>
              <w:top w:w="40" w:type="dxa"/>
              <w:bottom w:w="40" w:type="dxa"/>
            </w:tcMar>
            <w:vAlign w:val="bottom"/>
          </w:tcPr>
          <w:p w14:paraId="2A73AE3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(4,289</w:t>
            </w:r>
          </w:p>
        </w:tc>
        <w:tc>
          <w:tcPr>
            <w:tcW w:w="0" w:type="auto"/>
            <w:tcBorders>
              <w:bottom w:val="double" w:sz="6" w:space="0" w:color="000000"/>
            </w:tcBorders>
            <w:shd w:val="clear" w:color="auto" w:fill="EFEFEF"/>
            <w:tcMar>
              <w:top w:w="40" w:type="dxa"/>
              <w:bottom w:w="40" w:type="dxa"/>
              <w:right w:w="40" w:type="dxa"/>
            </w:tcMar>
            <w:vAlign w:val="bottom"/>
          </w:tcPr>
          <w:p w14:paraId="2A73AE3B"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AE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E3D"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EFEFEF"/>
            <w:tcMar>
              <w:top w:w="40" w:type="dxa"/>
              <w:bottom w:w="40" w:type="dxa"/>
            </w:tcMar>
            <w:vAlign w:val="bottom"/>
          </w:tcPr>
          <w:p w14:paraId="2A73AE3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237,100</w:t>
            </w:r>
          </w:p>
        </w:tc>
        <w:tc>
          <w:tcPr>
            <w:tcW w:w="0" w:type="auto"/>
            <w:tcBorders>
              <w:bottom w:val="double" w:sz="6" w:space="0" w:color="000000"/>
            </w:tcBorders>
            <w:shd w:val="clear" w:color="auto" w:fill="EFEFEF"/>
            <w:vAlign w:val="bottom"/>
          </w:tcPr>
          <w:p w14:paraId="2A73AE3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E4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E41"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EFEFEF"/>
            <w:tcMar>
              <w:top w:w="40" w:type="dxa"/>
              <w:bottom w:w="40" w:type="dxa"/>
            </w:tcMar>
            <w:vAlign w:val="bottom"/>
          </w:tcPr>
          <w:p w14:paraId="2A73AE4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25,913</w:t>
            </w:r>
          </w:p>
        </w:tc>
        <w:tc>
          <w:tcPr>
            <w:tcW w:w="0" w:type="auto"/>
            <w:tcBorders>
              <w:bottom w:val="double" w:sz="6" w:space="0" w:color="000000"/>
            </w:tcBorders>
            <w:shd w:val="clear" w:color="auto" w:fill="EFEFEF"/>
            <w:vAlign w:val="bottom"/>
          </w:tcPr>
          <w:p w14:paraId="2A73AE4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E4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E45"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EFEFEF"/>
            <w:tcMar>
              <w:top w:w="40" w:type="dxa"/>
              <w:bottom w:w="40" w:type="dxa"/>
            </w:tcMar>
            <w:vAlign w:val="bottom"/>
          </w:tcPr>
          <w:p w14:paraId="2A73AE4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40,388</w:t>
            </w:r>
          </w:p>
        </w:tc>
        <w:tc>
          <w:tcPr>
            <w:tcW w:w="0" w:type="auto"/>
            <w:tcBorders>
              <w:bottom w:val="double" w:sz="6" w:space="0" w:color="000000"/>
            </w:tcBorders>
            <w:shd w:val="clear" w:color="auto" w:fill="EFEFEF"/>
            <w:vAlign w:val="bottom"/>
          </w:tcPr>
          <w:p w14:paraId="2A73AE4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E4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AE49"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bottom w:val="double" w:sz="6" w:space="0" w:color="000000"/>
            </w:tcBorders>
            <w:shd w:val="clear" w:color="auto" w:fill="EFEFEF"/>
            <w:tcMar>
              <w:top w:w="40" w:type="dxa"/>
              <w:bottom w:w="40" w:type="dxa"/>
            </w:tcMar>
            <w:vAlign w:val="bottom"/>
          </w:tcPr>
          <w:p w14:paraId="2A73AE4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170,799</w:t>
            </w:r>
          </w:p>
        </w:tc>
        <w:tc>
          <w:tcPr>
            <w:tcW w:w="0" w:type="auto"/>
            <w:tcBorders>
              <w:bottom w:val="double" w:sz="6" w:space="0" w:color="000000"/>
            </w:tcBorders>
            <w:shd w:val="clear" w:color="auto" w:fill="EFEFEF"/>
            <w:vAlign w:val="bottom"/>
          </w:tcPr>
          <w:p w14:paraId="2A73AE4B" w14:textId="77777777" w:rsidR="00FA5565" w:rsidRDefault="00FA5565">
            <w:pPr>
              <w:textAlignment w:val="bottom"/>
              <w:rPr>
                <w:rFonts w:ascii="Times New Roman" w:hAnsi="Times New Roman"/>
                <w:sz w:val="20"/>
                <w:szCs w:val="20"/>
              </w:rPr>
            </w:pPr>
          </w:p>
        </w:tc>
      </w:tr>
    </w:tbl>
    <w:p w14:paraId="2A73AE4D" w14:textId="77777777" w:rsidR="00FA5565" w:rsidRDefault="00FA5565">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E50" w14:textId="77777777">
        <w:trPr>
          <w:tblCellSpacing w:w="0" w:type="dxa"/>
        </w:trPr>
        <w:tc>
          <w:tcPr>
            <w:tcW w:w="960" w:type="dxa"/>
            <w:shd w:val="clear" w:color="auto" w:fill="auto"/>
            <w:vAlign w:val="center"/>
          </w:tcPr>
          <w:p w14:paraId="2A73AE4E" w14:textId="77777777" w:rsidR="00FA5565" w:rsidRDefault="00FA5565">
            <w:pPr>
              <w:rPr>
                <w:rFonts w:ascii="Times New Roman" w:hAnsi="Times New Roman"/>
                <w:sz w:val="20"/>
                <w:szCs w:val="20"/>
              </w:rPr>
            </w:pPr>
          </w:p>
        </w:tc>
        <w:tc>
          <w:tcPr>
            <w:tcW w:w="0" w:type="auto"/>
            <w:shd w:val="clear" w:color="auto" w:fill="auto"/>
            <w:vAlign w:val="center"/>
          </w:tcPr>
          <w:p w14:paraId="2A73AE4F" w14:textId="77777777" w:rsidR="00FA5565" w:rsidRDefault="00FA5565">
            <w:pPr>
              <w:rPr>
                <w:rFonts w:ascii="Times New Roman" w:hAnsi="Times New Roman"/>
                <w:sz w:val="20"/>
                <w:szCs w:val="20"/>
              </w:rPr>
            </w:pPr>
          </w:p>
        </w:tc>
      </w:tr>
      <w:tr w:rsidR="00FA5565" w14:paraId="2A73AE53" w14:textId="77777777">
        <w:trPr>
          <w:tblCellSpacing w:w="0" w:type="dxa"/>
        </w:trPr>
        <w:tc>
          <w:tcPr>
            <w:tcW w:w="0" w:type="auto"/>
            <w:shd w:val="clear" w:color="auto" w:fill="auto"/>
          </w:tcPr>
          <w:p w14:paraId="2A73AE51"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AE52"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Level 1 fair value estimates are based on quoted prices in active markets for identical </w:t>
            </w:r>
            <w:r>
              <w:rPr>
                <w:rFonts w:ascii="Helvetica" w:eastAsia="Helvetica" w:hAnsi="Helvetica" w:cs="Helvetica"/>
                <w:sz w:val="16"/>
                <w:szCs w:val="16"/>
              </w:rPr>
              <w:t>assets or liabilities.</w:t>
            </w:r>
          </w:p>
        </w:tc>
      </w:tr>
    </w:tbl>
    <w:p w14:paraId="2A73AE54"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E57" w14:textId="77777777">
        <w:trPr>
          <w:tblCellSpacing w:w="0" w:type="dxa"/>
        </w:trPr>
        <w:tc>
          <w:tcPr>
            <w:tcW w:w="960" w:type="dxa"/>
            <w:shd w:val="clear" w:color="auto" w:fill="auto"/>
            <w:vAlign w:val="center"/>
          </w:tcPr>
          <w:p w14:paraId="2A73AE55" w14:textId="77777777" w:rsidR="00FA5565" w:rsidRDefault="00FA5565">
            <w:pPr>
              <w:rPr>
                <w:rFonts w:ascii="Times New Roman" w:hAnsi="Times New Roman"/>
                <w:sz w:val="20"/>
                <w:szCs w:val="20"/>
              </w:rPr>
            </w:pPr>
          </w:p>
        </w:tc>
        <w:tc>
          <w:tcPr>
            <w:tcW w:w="0" w:type="auto"/>
            <w:shd w:val="clear" w:color="auto" w:fill="auto"/>
            <w:vAlign w:val="center"/>
          </w:tcPr>
          <w:p w14:paraId="2A73AE56" w14:textId="77777777" w:rsidR="00FA5565" w:rsidRDefault="00FA5565">
            <w:pPr>
              <w:rPr>
                <w:rFonts w:ascii="Times New Roman" w:hAnsi="Times New Roman"/>
                <w:sz w:val="20"/>
                <w:szCs w:val="20"/>
              </w:rPr>
            </w:pPr>
          </w:p>
        </w:tc>
      </w:tr>
      <w:tr w:rsidR="00FA5565" w14:paraId="2A73AE5A" w14:textId="77777777">
        <w:trPr>
          <w:tblCellSpacing w:w="0" w:type="dxa"/>
        </w:trPr>
        <w:tc>
          <w:tcPr>
            <w:tcW w:w="0" w:type="auto"/>
            <w:shd w:val="clear" w:color="auto" w:fill="auto"/>
          </w:tcPr>
          <w:p w14:paraId="2A73AE58"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2A73AE59"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Level 2 fair value estimates are based on observable inputs other than quoted prices in active markets for identical assets and liabilities, quoted prices for identical or similar assets or liabilities in inactive </w:t>
            </w:r>
            <w:r>
              <w:rPr>
                <w:rFonts w:ascii="Helvetica" w:eastAsia="Helvetica" w:hAnsi="Helvetica" w:cs="Helvetica"/>
                <w:sz w:val="16"/>
                <w:szCs w:val="16"/>
              </w:rPr>
              <w:t>markets, or other inputs that are observable or can be corroborated by observable market data for substantially the full term of the assets or liabilities.</w:t>
            </w:r>
          </w:p>
        </w:tc>
      </w:tr>
    </w:tbl>
    <w:p w14:paraId="2A73AE5B"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E5E" w14:textId="77777777">
        <w:trPr>
          <w:tblCellSpacing w:w="0" w:type="dxa"/>
        </w:trPr>
        <w:tc>
          <w:tcPr>
            <w:tcW w:w="960" w:type="dxa"/>
            <w:shd w:val="clear" w:color="auto" w:fill="auto"/>
            <w:vAlign w:val="center"/>
          </w:tcPr>
          <w:p w14:paraId="2A73AE5C" w14:textId="77777777" w:rsidR="00FA5565" w:rsidRDefault="00FA5565">
            <w:pPr>
              <w:rPr>
                <w:rFonts w:ascii="Times New Roman" w:hAnsi="Times New Roman"/>
                <w:sz w:val="20"/>
                <w:szCs w:val="20"/>
              </w:rPr>
            </w:pPr>
          </w:p>
        </w:tc>
        <w:tc>
          <w:tcPr>
            <w:tcW w:w="0" w:type="auto"/>
            <w:shd w:val="clear" w:color="auto" w:fill="auto"/>
            <w:vAlign w:val="center"/>
          </w:tcPr>
          <w:p w14:paraId="2A73AE5D" w14:textId="77777777" w:rsidR="00FA5565" w:rsidRDefault="00FA5565">
            <w:pPr>
              <w:rPr>
                <w:rFonts w:ascii="Times New Roman" w:hAnsi="Times New Roman"/>
                <w:sz w:val="20"/>
                <w:szCs w:val="20"/>
              </w:rPr>
            </w:pPr>
          </w:p>
        </w:tc>
      </w:tr>
      <w:tr w:rsidR="00FA5565" w14:paraId="2A73AE61" w14:textId="77777777">
        <w:trPr>
          <w:tblCellSpacing w:w="0" w:type="dxa"/>
        </w:trPr>
        <w:tc>
          <w:tcPr>
            <w:tcW w:w="0" w:type="auto"/>
            <w:shd w:val="clear" w:color="auto" w:fill="auto"/>
          </w:tcPr>
          <w:p w14:paraId="2A73AE5F"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(3)</w:t>
            </w:r>
          </w:p>
        </w:tc>
        <w:tc>
          <w:tcPr>
            <w:tcW w:w="0" w:type="auto"/>
            <w:shd w:val="clear" w:color="auto" w:fill="auto"/>
          </w:tcPr>
          <w:p w14:paraId="2A73AE60"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As of September 28, 2019 and September 29, 2018, total cash, cash equivalents and </w:t>
            </w:r>
            <w:r>
              <w:rPr>
                <w:rFonts w:ascii="Helvetica" w:eastAsia="Helvetica" w:hAnsi="Helvetica" w:cs="Helvetica"/>
                <w:sz w:val="16"/>
                <w:szCs w:val="16"/>
              </w:rPr>
              <w:t>marketable securities included $18.9 billion and $20.3 billion, respectively, that was restricted from general use, related to the State Aid Decision (refer to Note 5, “Income Taxes”) and other agreements.</w:t>
            </w:r>
          </w:p>
        </w:tc>
      </w:tr>
    </w:tbl>
    <w:p w14:paraId="2A73AE62" w14:textId="77777777" w:rsidR="00FA5565" w:rsidRDefault="00FA5565">
      <w:pPr>
        <w:rPr>
          <w:rFonts w:ascii="Times New Roman" w:hAnsi="Times New Roman"/>
          <w:sz w:val="20"/>
          <w:szCs w:val="20"/>
        </w:rPr>
      </w:pPr>
    </w:p>
    <w:p w14:paraId="2A73AE63"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38</w:t>
      </w:r>
    </w:p>
    <w:p w14:paraId="2A73AE64" w14:textId="77777777" w:rsidR="00FA5565" w:rsidRDefault="00D804D1">
      <w:r>
        <w:rPr>
          <w:rFonts w:ascii="Times New Roman" w:hAnsi="Times New Roman"/>
          <w:sz w:val="16"/>
          <w:szCs w:val="16"/>
        </w:rPr>
        <w:pict w14:anchorId="2A73C0C2">
          <v:rect id="_x0000_i1064" style="width:415.3pt;height:1.5pt" o:hralign="center" o:hrstd="t" o:hr="t" fillcolor="#a0a0a0" stroked="f"/>
        </w:pict>
      </w:r>
    </w:p>
    <w:p w14:paraId="2A73AE65" w14:textId="77777777" w:rsidR="00FA5565" w:rsidRDefault="00FA5565">
      <w:pPr>
        <w:rPr>
          <w:rFonts w:ascii="Times New Roman" w:hAnsi="Times New Roman"/>
          <w:sz w:val="20"/>
          <w:szCs w:val="20"/>
        </w:rPr>
      </w:pPr>
    </w:p>
    <w:p w14:paraId="2A73AE6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w:t>
      </w:r>
      <w:r>
        <w:rPr>
          <w:rFonts w:ascii="Helvetica" w:eastAsia="Helvetica" w:hAnsi="Helvetica" w:cs="Helvetica"/>
          <w:sz w:val="18"/>
          <w:szCs w:val="18"/>
        </w:rPr>
        <w:t>Company may sell certain of its marketable debt securities prior to their stated maturities for reasons including, but not limited to, managing liquidity, credit risk, duration and asset allocation. The maturities of the Company’s long-term marketable debt</w:t>
      </w:r>
      <w:r>
        <w:rPr>
          <w:rFonts w:ascii="Helvetica" w:eastAsia="Helvetica" w:hAnsi="Helvetica" w:cs="Helvetica"/>
          <w:sz w:val="18"/>
          <w:szCs w:val="18"/>
        </w:rPr>
        <w:t xml:space="preserve"> securities generally range from one to five years.</w:t>
      </w:r>
    </w:p>
    <w:p w14:paraId="2A73AE6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tables show information about the Company’s marketable securities that had been in a continuous unrealized loss position for less than 12 months and for 12 months or greater as of September </w:t>
      </w:r>
      <w:r>
        <w:rPr>
          <w:rFonts w:ascii="Helvetica" w:eastAsia="Helvetica" w:hAnsi="Helvetica" w:cs="Helvetica"/>
          <w:sz w:val="18"/>
          <w:szCs w:val="18"/>
        </w:rPr>
        <w:t>28, 2019 and September 29, 2018 (in millions):</w:t>
      </w:r>
    </w:p>
    <w:tbl>
      <w:tblPr>
        <w:tblW w:w="5000" w:type="pct"/>
        <w:tblCellMar>
          <w:left w:w="0" w:type="dxa"/>
          <w:right w:w="0" w:type="dxa"/>
        </w:tblCellMar>
        <w:tblLook w:val="04A0" w:firstRow="1" w:lastRow="0" w:firstColumn="1" w:lastColumn="0" w:noHBand="0" w:noVBand="1"/>
      </w:tblPr>
      <w:tblGrid>
        <w:gridCol w:w="3907"/>
        <w:gridCol w:w="141"/>
        <w:gridCol w:w="1249"/>
        <w:gridCol w:w="100"/>
        <w:gridCol w:w="130"/>
        <w:gridCol w:w="141"/>
        <w:gridCol w:w="1249"/>
        <w:gridCol w:w="100"/>
        <w:gridCol w:w="130"/>
        <w:gridCol w:w="141"/>
        <w:gridCol w:w="918"/>
        <w:gridCol w:w="100"/>
      </w:tblGrid>
      <w:tr w:rsidR="00FA5565" w14:paraId="2A73AE69" w14:textId="77777777">
        <w:tc>
          <w:tcPr>
            <w:tcW w:w="0" w:type="auto"/>
            <w:gridSpan w:val="12"/>
            <w:shd w:val="clear" w:color="auto" w:fill="auto"/>
            <w:vAlign w:val="center"/>
          </w:tcPr>
          <w:p w14:paraId="2A73AE68" w14:textId="77777777" w:rsidR="00FA5565" w:rsidRDefault="00FA5565">
            <w:pPr>
              <w:rPr>
                <w:rFonts w:ascii="Times New Roman" w:hAnsi="Times New Roman"/>
                <w:sz w:val="20"/>
                <w:szCs w:val="20"/>
              </w:rPr>
            </w:pPr>
          </w:p>
        </w:tc>
      </w:tr>
      <w:tr w:rsidR="00FA5565" w14:paraId="2A73AE76" w14:textId="77777777">
        <w:tc>
          <w:tcPr>
            <w:tcW w:w="2400" w:type="pct"/>
            <w:shd w:val="clear" w:color="auto" w:fill="auto"/>
            <w:vAlign w:val="center"/>
          </w:tcPr>
          <w:p w14:paraId="2A73AE6A" w14:textId="77777777" w:rsidR="00FA5565" w:rsidRDefault="00FA5565">
            <w:pPr>
              <w:rPr>
                <w:rFonts w:ascii="Times New Roman" w:hAnsi="Times New Roman"/>
                <w:sz w:val="20"/>
                <w:szCs w:val="20"/>
              </w:rPr>
            </w:pPr>
          </w:p>
        </w:tc>
        <w:tc>
          <w:tcPr>
            <w:tcW w:w="50" w:type="pct"/>
            <w:shd w:val="clear" w:color="auto" w:fill="auto"/>
            <w:vAlign w:val="center"/>
          </w:tcPr>
          <w:p w14:paraId="2A73AE6B" w14:textId="77777777" w:rsidR="00FA5565" w:rsidRDefault="00FA5565">
            <w:pPr>
              <w:rPr>
                <w:rFonts w:ascii="Times New Roman" w:hAnsi="Times New Roman"/>
                <w:sz w:val="20"/>
                <w:szCs w:val="20"/>
              </w:rPr>
            </w:pPr>
          </w:p>
        </w:tc>
        <w:tc>
          <w:tcPr>
            <w:tcW w:w="800" w:type="pct"/>
            <w:shd w:val="clear" w:color="auto" w:fill="auto"/>
            <w:vAlign w:val="center"/>
          </w:tcPr>
          <w:p w14:paraId="2A73AE6C" w14:textId="77777777" w:rsidR="00FA5565" w:rsidRDefault="00FA5565">
            <w:pPr>
              <w:rPr>
                <w:rFonts w:ascii="Times New Roman" w:hAnsi="Times New Roman"/>
                <w:sz w:val="20"/>
                <w:szCs w:val="20"/>
              </w:rPr>
            </w:pPr>
          </w:p>
        </w:tc>
        <w:tc>
          <w:tcPr>
            <w:tcW w:w="50" w:type="pct"/>
            <w:shd w:val="clear" w:color="auto" w:fill="auto"/>
            <w:vAlign w:val="center"/>
          </w:tcPr>
          <w:p w14:paraId="2A73AE6D" w14:textId="77777777" w:rsidR="00FA5565" w:rsidRDefault="00FA5565">
            <w:pPr>
              <w:rPr>
                <w:rFonts w:ascii="Times New Roman" w:hAnsi="Times New Roman"/>
                <w:sz w:val="20"/>
                <w:szCs w:val="20"/>
              </w:rPr>
            </w:pPr>
          </w:p>
        </w:tc>
        <w:tc>
          <w:tcPr>
            <w:tcW w:w="50" w:type="pct"/>
            <w:shd w:val="clear" w:color="auto" w:fill="auto"/>
            <w:vAlign w:val="center"/>
          </w:tcPr>
          <w:p w14:paraId="2A73AE6E" w14:textId="77777777" w:rsidR="00FA5565" w:rsidRDefault="00FA5565">
            <w:pPr>
              <w:rPr>
                <w:rFonts w:ascii="Times New Roman" w:hAnsi="Times New Roman"/>
                <w:sz w:val="20"/>
                <w:szCs w:val="20"/>
              </w:rPr>
            </w:pPr>
          </w:p>
        </w:tc>
        <w:tc>
          <w:tcPr>
            <w:tcW w:w="50" w:type="pct"/>
            <w:shd w:val="clear" w:color="auto" w:fill="auto"/>
            <w:vAlign w:val="center"/>
          </w:tcPr>
          <w:p w14:paraId="2A73AE6F" w14:textId="77777777" w:rsidR="00FA5565" w:rsidRDefault="00FA5565">
            <w:pPr>
              <w:rPr>
                <w:rFonts w:ascii="Times New Roman" w:hAnsi="Times New Roman"/>
                <w:sz w:val="20"/>
                <w:szCs w:val="20"/>
              </w:rPr>
            </w:pPr>
          </w:p>
        </w:tc>
        <w:tc>
          <w:tcPr>
            <w:tcW w:w="800" w:type="pct"/>
            <w:shd w:val="clear" w:color="auto" w:fill="auto"/>
            <w:vAlign w:val="center"/>
          </w:tcPr>
          <w:p w14:paraId="2A73AE70" w14:textId="77777777" w:rsidR="00FA5565" w:rsidRDefault="00FA5565">
            <w:pPr>
              <w:rPr>
                <w:rFonts w:ascii="Times New Roman" w:hAnsi="Times New Roman"/>
                <w:sz w:val="20"/>
                <w:szCs w:val="20"/>
              </w:rPr>
            </w:pPr>
          </w:p>
        </w:tc>
        <w:tc>
          <w:tcPr>
            <w:tcW w:w="50" w:type="pct"/>
            <w:shd w:val="clear" w:color="auto" w:fill="auto"/>
            <w:vAlign w:val="center"/>
          </w:tcPr>
          <w:p w14:paraId="2A73AE71" w14:textId="77777777" w:rsidR="00FA5565" w:rsidRDefault="00FA5565">
            <w:pPr>
              <w:rPr>
                <w:rFonts w:ascii="Times New Roman" w:hAnsi="Times New Roman"/>
                <w:sz w:val="20"/>
                <w:szCs w:val="20"/>
              </w:rPr>
            </w:pPr>
          </w:p>
        </w:tc>
        <w:tc>
          <w:tcPr>
            <w:tcW w:w="50" w:type="pct"/>
            <w:shd w:val="clear" w:color="auto" w:fill="auto"/>
            <w:vAlign w:val="center"/>
          </w:tcPr>
          <w:p w14:paraId="2A73AE72" w14:textId="77777777" w:rsidR="00FA5565" w:rsidRDefault="00FA5565">
            <w:pPr>
              <w:rPr>
                <w:rFonts w:ascii="Times New Roman" w:hAnsi="Times New Roman"/>
                <w:sz w:val="20"/>
                <w:szCs w:val="20"/>
              </w:rPr>
            </w:pPr>
          </w:p>
        </w:tc>
        <w:tc>
          <w:tcPr>
            <w:tcW w:w="50" w:type="pct"/>
            <w:shd w:val="clear" w:color="auto" w:fill="auto"/>
            <w:vAlign w:val="center"/>
          </w:tcPr>
          <w:p w14:paraId="2A73AE73" w14:textId="77777777" w:rsidR="00FA5565" w:rsidRDefault="00FA5565">
            <w:pPr>
              <w:rPr>
                <w:rFonts w:ascii="Times New Roman" w:hAnsi="Times New Roman"/>
                <w:sz w:val="20"/>
                <w:szCs w:val="20"/>
              </w:rPr>
            </w:pPr>
          </w:p>
        </w:tc>
        <w:tc>
          <w:tcPr>
            <w:tcW w:w="600" w:type="pct"/>
            <w:shd w:val="clear" w:color="auto" w:fill="auto"/>
            <w:vAlign w:val="center"/>
          </w:tcPr>
          <w:p w14:paraId="2A73AE74" w14:textId="77777777" w:rsidR="00FA5565" w:rsidRDefault="00FA5565">
            <w:pPr>
              <w:rPr>
                <w:rFonts w:ascii="Times New Roman" w:hAnsi="Times New Roman"/>
                <w:sz w:val="20"/>
                <w:szCs w:val="20"/>
              </w:rPr>
            </w:pPr>
          </w:p>
        </w:tc>
        <w:tc>
          <w:tcPr>
            <w:tcW w:w="50" w:type="pct"/>
            <w:shd w:val="clear" w:color="auto" w:fill="auto"/>
            <w:vAlign w:val="center"/>
          </w:tcPr>
          <w:p w14:paraId="2A73AE75" w14:textId="77777777" w:rsidR="00FA5565" w:rsidRDefault="00FA5565">
            <w:pPr>
              <w:rPr>
                <w:rFonts w:ascii="Times New Roman" w:hAnsi="Times New Roman"/>
                <w:sz w:val="20"/>
                <w:szCs w:val="20"/>
              </w:rPr>
            </w:pPr>
          </w:p>
        </w:tc>
      </w:tr>
      <w:tr w:rsidR="00FA5565" w14:paraId="2A73AE79" w14:textId="77777777">
        <w:tc>
          <w:tcPr>
            <w:tcW w:w="0" w:type="auto"/>
            <w:shd w:val="clear" w:color="auto" w:fill="auto"/>
            <w:tcMar>
              <w:top w:w="40" w:type="dxa"/>
              <w:left w:w="40" w:type="dxa"/>
              <w:bottom w:w="40" w:type="dxa"/>
              <w:right w:w="40" w:type="dxa"/>
            </w:tcMar>
            <w:vAlign w:val="bottom"/>
          </w:tcPr>
          <w:p w14:paraId="2A73AE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2A73AE7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r>
      <w:tr w:rsidR="00FA5565" w14:paraId="2A73AE7C" w14:textId="77777777">
        <w:tc>
          <w:tcPr>
            <w:tcW w:w="0" w:type="auto"/>
            <w:shd w:val="clear" w:color="auto" w:fill="auto"/>
            <w:tcMar>
              <w:top w:w="40" w:type="dxa"/>
              <w:left w:w="40" w:type="dxa"/>
              <w:bottom w:w="40" w:type="dxa"/>
              <w:right w:w="40" w:type="dxa"/>
            </w:tcMar>
            <w:vAlign w:val="bottom"/>
          </w:tcPr>
          <w:p w14:paraId="2A73AE7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2A73AE7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Continuous Unrealized Losses</w:t>
            </w:r>
          </w:p>
        </w:tc>
      </w:tr>
      <w:tr w:rsidR="00FA5565" w14:paraId="2A73AE83" w14:textId="77777777">
        <w:tc>
          <w:tcPr>
            <w:tcW w:w="0" w:type="auto"/>
            <w:shd w:val="clear" w:color="auto" w:fill="auto"/>
            <w:tcMar>
              <w:top w:w="40" w:type="dxa"/>
              <w:left w:w="40" w:type="dxa"/>
              <w:bottom w:w="40" w:type="dxa"/>
              <w:right w:w="40" w:type="dxa"/>
            </w:tcMar>
            <w:vAlign w:val="bottom"/>
          </w:tcPr>
          <w:p w14:paraId="2A73AE7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E7E"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Less than 12 Months</w:t>
            </w:r>
          </w:p>
        </w:tc>
        <w:tc>
          <w:tcPr>
            <w:tcW w:w="0" w:type="auto"/>
            <w:shd w:val="clear" w:color="auto" w:fill="auto"/>
            <w:tcMar>
              <w:top w:w="40" w:type="dxa"/>
              <w:left w:w="40" w:type="dxa"/>
              <w:bottom w:w="40" w:type="dxa"/>
              <w:right w:w="40" w:type="dxa"/>
            </w:tcMar>
            <w:vAlign w:val="bottom"/>
          </w:tcPr>
          <w:p w14:paraId="2A73AE7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E80"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12 Months or Greater</w:t>
            </w:r>
          </w:p>
        </w:tc>
        <w:tc>
          <w:tcPr>
            <w:tcW w:w="0" w:type="auto"/>
            <w:shd w:val="clear" w:color="auto" w:fill="auto"/>
            <w:tcMar>
              <w:top w:w="40" w:type="dxa"/>
              <w:left w:w="40" w:type="dxa"/>
              <w:bottom w:w="40" w:type="dxa"/>
              <w:right w:w="40" w:type="dxa"/>
            </w:tcMar>
            <w:vAlign w:val="bottom"/>
          </w:tcPr>
          <w:p w14:paraId="2A73AE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E8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Total</w:t>
            </w:r>
          </w:p>
        </w:tc>
      </w:tr>
      <w:tr w:rsidR="00FA5565" w14:paraId="2A73AE90" w14:textId="77777777">
        <w:tc>
          <w:tcPr>
            <w:tcW w:w="0" w:type="auto"/>
            <w:shd w:val="clear" w:color="auto" w:fill="auto"/>
            <w:tcMar>
              <w:top w:w="40" w:type="dxa"/>
              <w:left w:w="40" w:type="dxa"/>
              <w:bottom w:w="40" w:type="dxa"/>
              <w:right w:w="40" w:type="dxa"/>
            </w:tcMar>
          </w:tcPr>
          <w:p w14:paraId="2A73AE8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Fair value of marketable debt securities</w:t>
            </w:r>
          </w:p>
        </w:tc>
        <w:tc>
          <w:tcPr>
            <w:tcW w:w="0" w:type="auto"/>
            <w:shd w:val="clear" w:color="auto" w:fill="auto"/>
            <w:tcMar>
              <w:top w:w="40" w:type="dxa"/>
              <w:left w:w="40" w:type="dxa"/>
              <w:bottom w:w="40" w:type="dxa"/>
            </w:tcMar>
            <w:vAlign w:val="bottom"/>
          </w:tcPr>
          <w:p w14:paraId="2A73AE8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E8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28,151</w:t>
            </w:r>
          </w:p>
        </w:tc>
        <w:tc>
          <w:tcPr>
            <w:tcW w:w="0" w:type="auto"/>
            <w:shd w:val="clear" w:color="auto" w:fill="auto"/>
            <w:vAlign w:val="bottom"/>
          </w:tcPr>
          <w:p w14:paraId="2A73AE8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E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E8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E8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28,167</w:t>
            </w:r>
          </w:p>
        </w:tc>
        <w:tc>
          <w:tcPr>
            <w:tcW w:w="0" w:type="auto"/>
            <w:shd w:val="clear" w:color="auto" w:fill="auto"/>
            <w:vAlign w:val="bottom"/>
          </w:tcPr>
          <w:p w14:paraId="2A73AE8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E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E8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E8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56,318</w:t>
            </w:r>
          </w:p>
        </w:tc>
        <w:tc>
          <w:tcPr>
            <w:tcW w:w="0" w:type="auto"/>
            <w:tcBorders>
              <w:top w:val="single" w:sz="8" w:space="0" w:color="000000"/>
            </w:tcBorders>
            <w:shd w:val="clear" w:color="auto" w:fill="auto"/>
            <w:vAlign w:val="bottom"/>
          </w:tcPr>
          <w:p w14:paraId="2A73AE8F" w14:textId="77777777" w:rsidR="00FA5565" w:rsidRDefault="00FA5565">
            <w:pPr>
              <w:textAlignment w:val="bottom"/>
              <w:rPr>
                <w:rFonts w:ascii="Times New Roman" w:hAnsi="Times New Roman"/>
                <w:sz w:val="20"/>
                <w:szCs w:val="20"/>
              </w:rPr>
            </w:pPr>
          </w:p>
        </w:tc>
      </w:tr>
      <w:tr w:rsidR="00FA5565" w14:paraId="2A73AE9D" w14:textId="77777777">
        <w:tc>
          <w:tcPr>
            <w:tcW w:w="0" w:type="auto"/>
            <w:shd w:val="clear" w:color="auto" w:fill="EFEFEF"/>
            <w:tcMar>
              <w:top w:w="40" w:type="dxa"/>
              <w:left w:w="40" w:type="dxa"/>
              <w:bottom w:w="40" w:type="dxa"/>
              <w:right w:w="40" w:type="dxa"/>
            </w:tcMar>
          </w:tcPr>
          <w:p w14:paraId="2A73AE9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Unrealized losses</w:t>
            </w:r>
          </w:p>
        </w:tc>
        <w:tc>
          <w:tcPr>
            <w:tcW w:w="0" w:type="auto"/>
            <w:shd w:val="clear" w:color="auto" w:fill="EFEFEF"/>
            <w:tcMar>
              <w:top w:w="40" w:type="dxa"/>
              <w:left w:w="40" w:type="dxa"/>
              <w:bottom w:w="40" w:type="dxa"/>
            </w:tcMar>
            <w:vAlign w:val="bottom"/>
          </w:tcPr>
          <w:p w14:paraId="2A73AE9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E9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(138</w:t>
            </w:r>
          </w:p>
        </w:tc>
        <w:tc>
          <w:tcPr>
            <w:tcW w:w="0" w:type="auto"/>
            <w:shd w:val="clear" w:color="auto" w:fill="EFEFEF"/>
            <w:tcMar>
              <w:top w:w="40" w:type="dxa"/>
              <w:bottom w:w="40" w:type="dxa"/>
              <w:right w:w="40" w:type="dxa"/>
            </w:tcMar>
            <w:vAlign w:val="bottom"/>
          </w:tcPr>
          <w:p w14:paraId="2A73AE9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E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E9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E9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(143</w:t>
            </w:r>
          </w:p>
        </w:tc>
        <w:tc>
          <w:tcPr>
            <w:tcW w:w="0" w:type="auto"/>
            <w:shd w:val="clear" w:color="auto" w:fill="EFEFEF"/>
            <w:tcMar>
              <w:top w:w="40" w:type="dxa"/>
              <w:bottom w:w="40" w:type="dxa"/>
              <w:right w:w="40" w:type="dxa"/>
            </w:tcMar>
            <w:vAlign w:val="bottom"/>
          </w:tcPr>
          <w:p w14:paraId="2A73AE9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E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E9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E9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(281</w:t>
            </w:r>
          </w:p>
        </w:tc>
        <w:tc>
          <w:tcPr>
            <w:tcW w:w="0" w:type="auto"/>
            <w:shd w:val="clear" w:color="auto" w:fill="EFEFEF"/>
            <w:tcMar>
              <w:top w:w="40" w:type="dxa"/>
              <w:bottom w:w="40" w:type="dxa"/>
              <w:right w:w="40" w:type="dxa"/>
            </w:tcMar>
            <w:vAlign w:val="bottom"/>
          </w:tcPr>
          <w:p w14:paraId="2A73AE9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bl>
    <w:p w14:paraId="2A73AE9E" w14:textId="77777777" w:rsidR="00FA5565" w:rsidRDefault="00FA5565">
      <w:pPr>
        <w:rPr>
          <w:vanish/>
        </w:rPr>
      </w:pPr>
    </w:p>
    <w:tbl>
      <w:tblPr>
        <w:tblW w:w="5000" w:type="pct"/>
        <w:tblCellMar>
          <w:left w:w="0" w:type="dxa"/>
          <w:right w:w="0" w:type="dxa"/>
        </w:tblCellMar>
        <w:tblLook w:val="04A0" w:firstRow="1" w:lastRow="0" w:firstColumn="1" w:lastColumn="0" w:noHBand="0" w:noVBand="1"/>
      </w:tblPr>
      <w:tblGrid>
        <w:gridCol w:w="3907"/>
        <w:gridCol w:w="141"/>
        <w:gridCol w:w="1249"/>
        <w:gridCol w:w="100"/>
        <w:gridCol w:w="130"/>
        <w:gridCol w:w="141"/>
        <w:gridCol w:w="1249"/>
        <w:gridCol w:w="100"/>
        <w:gridCol w:w="130"/>
        <w:gridCol w:w="141"/>
        <w:gridCol w:w="918"/>
        <w:gridCol w:w="100"/>
      </w:tblGrid>
      <w:tr w:rsidR="00FA5565" w14:paraId="2A73AEA0" w14:textId="77777777">
        <w:tc>
          <w:tcPr>
            <w:tcW w:w="0" w:type="auto"/>
            <w:gridSpan w:val="12"/>
            <w:shd w:val="clear" w:color="auto" w:fill="auto"/>
            <w:vAlign w:val="center"/>
          </w:tcPr>
          <w:p w14:paraId="2A73AE9F" w14:textId="77777777" w:rsidR="00FA5565" w:rsidRDefault="00FA5565">
            <w:pPr>
              <w:rPr>
                <w:rFonts w:ascii="Times New Roman" w:hAnsi="Times New Roman"/>
                <w:sz w:val="20"/>
                <w:szCs w:val="20"/>
              </w:rPr>
            </w:pPr>
          </w:p>
        </w:tc>
      </w:tr>
      <w:tr w:rsidR="00FA5565" w14:paraId="2A73AEAD" w14:textId="77777777">
        <w:tc>
          <w:tcPr>
            <w:tcW w:w="2400" w:type="pct"/>
            <w:shd w:val="clear" w:color="auto" w:fill="auto"/>
            <w:vAlign w:val="center"/>
          </w:tcPr>
          <w:p w14:paraId="2A73AEA1" w14:textId="77777777" w:rsidR="00FA5565" w:rsidRDefault="00FA5565">
            <w:pPr>
              <w:rPr>
                <w:rFonts w:ascii="Times New Roman" w:hAnsi="Times New Roman"/>
                <w:sz w:val="20"/>
                <w:szCs w:val="20"/>
              </w:rPr>
            </w:pPr>
          </w:p>
        </w:tc>
        <w:tc>
          <w:tcPr>
            <w:tcW w:w="50" w:type="pct"/>
            <w:shd w:val="clear" w:color="auto" w:fill="auto"/>
            <w:vAlign w:val="center"/>
          </w:tcPr>
          <w:p w14:paraId="2A73AEA2" w14:textId="77777777" w:rsidR="00FA5565" w:rsidRDefault="00FA5565">
            <w:pPr>
              <w:rPr>
                <w:rFonts w:ascii="Times New Roman" w:hAnsi="Times New Roman"/>
                <w:sz w:val="20"/>
                <w:szCs w:val="20"/>
              </w:rPr>
            </w:pPr>
          </w:p>
        </w:tc>
        <w:tc>
          <w:tcPr>
            <w:tcW w:w="800" w:type="pct"/>
            <w:shd w:val="clear" w:color="auto" w:fill="auto"/>
            <w:vAlign w:val="center"/>
          </w:tcPr>
          <w:p w14:paraId="2A73AEA3" w14:textId="77777777" w:rsidR="00FA5565" w:rsidRDefault="00FA5565">
            <w:pPr>
              <w:rPr>
                <w:rFonts w:ascii="Times New Roman" w:hAnsi="Times New Roman"/>
                <w:sz w:val="20"/>
                <w:szCs w:val="20"/>
              </w:rPr>
            </w:pPr>
          </w:p>
        </w:tc>
        <w:tc>
          <w:tcPr>
            <w:tcW w:w="50" w:type="pct"/>
            <w:shd w:val="clear" w:color="auto" w:fill="auto"/>
            <w:vAlign w:val="center"/>
          </w:tcPr>
          <w:p w14:paraId="2A73AEA4" w14:textId="77777777" w:rsidR="00FA5565" w:rsidRDefault="00FA5565">
            <w:pPr>
              <w:rPr>
                <w:rFonts w:ascii="Times New Roman" w:hAnsi="Times New Roman"/>
                <w:sz w:val="20"/>
                <w:szCs w:val="20"/>
              </w:rPr>
            </w:pPr>
          </w:p>
        </w:tc>
        <w:tc>
          <w:tcPr>
            <w:tcW w:w="50" w:type="pct"/>
            <w:shd w:val="clear" w:color="auto" w:fill="auto"/>
            <w:vAlign w:val="center"/>
          </w:tcPr>
          <w:p w14:paraId="2A73AEA5" w14:textId="77777777" w:rsidR="00FA5565" w:rsidRDefault="00FA5565">
            <w:pPr>
              <w:rPr>
                <w:rFonts w:ascii="Times New Roman" w:hAnsi="Times New Roman"/>
                <w:sz w:val="20"/>
                <w:szCs w:val="20"/>
              </w:rPr>
            </w:pPr>
          </w:p>
        </w:tc>
        <w:tc>
          <w:tcPr>
            <w:tcW w:w="50" w:type="pct"/>
            <w:shd w:val="clear" w:color="auto" w:fill="auto"/>
            <w:vAlign w:val="center"/>
          </w:tcPr>
          <w:p w14:paraId="2A73AEA6" w14:textId="77777777" w:rsidR="00FA5565" w:rsidRDefault="00FA5565">
            <w:pPr>
              <w:rPr>
                <w:rFonts w:ascii="Times New Roman" w:hAnsi="Times New Roman"/>
                <w:sz w:val="20"/>
                <w:szCs w:val="20"/>
              </w:rPr>
            </w:pPr>
          </w:p>
        </w:tc>
        <w:tc>
          <w:tcPr>
            <w:tcW w:w="800" w:type="pct"/>
            <w:shd w:val="clear" w:color="auto" w:fill="auto"/>
            <w:vAlign w:val="center"/>
          </w:tcPr>
          <w:p w14:paraId="2A73AEA7" w14:textId="77777777" w:rsidR="00FA5565" w:rsidRDefault="00FA5565">
            <w:pPr>
              <w:rPr>
                <w:rFonts w:ascii="Times New Roman" w:hAnsi="Times New Roman"/>
                <w:sz w:val="20"/>
                <w:szCs w:val="20"/>
              </w:rPr>
            </w:pPr>
          </w:p>
        </w:tc>
        <w:tc>
          <w:tcPr>
            <w:tcW w:w="50" w:type="pct"/>
            <w:shd w:val="clear" w:color="auto" w:fill="auto"/>
            <w:vAlign w:val="center"/>
          </w:tcPr>
          <w:p w14:paraId="2A73AEA8" w14:textId="77777777" w:rsidR="00FA5565" w:rsidRDefault="00FA5565">
            <w:pPr>
              <w:rPr>
                <w:rFonts w:ascii="Times New Roman" w:hAnsi="Times New Roman"/>
                <w:sz w:val="20"/>
                <w:szCs w:val="20"/>
              </w:rPr>
            </w:pPr>
          </w:p>
        </w:tc>
        <w:tc>
          <w:tcPr>
            <w:tcW w:w="50" w:type="pct"/>
            <w:shd w:val="clear" w:color="auto" w:fill="auto"/>
            <w:vAlign w:val="center"/>
          </w:tcPr>
          <w:p w14:paraId="2A73AEA9" w14:textId="77777777" w:rsidR="00FA5565" w:rsidRDefault="00FA5565">
            <w:pPr>
              <w:rPr>
                <w:rFonts w:ascii="Times New Roman" w:hAnsi="Times New Roman"/>
                <w:sz w:val="20"/>
                <w:szCs w:val="20"/>
              </w:rPr>
            </w:pPr>
          </w:p>
        </w:tc>
        <w:tc>
          <w:tcPr>
            <w:tcW w:w="50" w:type="pct"/>
            <w:shd w:val="clear" w:color="auto" w:fill="auto"/>
            <w:vAlign w:val="center"/>
          </w:tcPr>
          <w:p w14:paraId="2A73AEAA" w14:textId="77777777" w:rsidR="00FA5565" w:rsidRDefault="00FA5565">
            <w:pPr>
              <w:rPr>
                <w:rFonts w:ascii="Times New Roman" w:hAnsi="Times New Roman"/>
                <w:sz w:val="20"/>
                <w:szCs w:val="20"/>
              </w:rPr>
            </w:pPr>
          </w:p>
        </w:tc>
        <w:tc>
          <w:tcPr>
            <w:tcW w:w="600" w:type="pct"/>
            <w:shd w:val="clear" w:color="auto" w:fill="auto"/>
            <w:vAlign w:val="center"/>
          </w:tcPr>
          <w:p w14:paraId="2A73AEAB" w14:textId="77777777" w:rsidR="00FA5565" w:rsidRDefault="00FA5565">
            <w:pPr>
              <w:rPr>
                <w:rFonts w:ascii="Times New Roman" w:hAnsi="Times New Roman"/>
                <w:sz w:val="20"/>
                <w:szCs w:val="20"/>
              </w:rPr>
            </w:pPr>
          </w:p>
        </w:tc>
        <w:tc>
          <w:tcPr>
            <w:tcW w:w="50" w:type="pct"/>
            <w:shd w:val="clear" w:color="auto" w:fill="auto"/>
            <w:vAlign w:val="center"/>
          </w:tcPr>
          <w:p w14:paraId="2A73AEAC" w14:textId="77777777" w:rsidR="00FA5565" w:rsidRDefault="00FA5565">
            <w:pPr>
              <w:rPr>
                <w:rFonts w:ascii="Times New Roman" w:hAnsi="Times New Roman"/>
                <w:sz w:val="20"/>
                <w:szCs w:val="20"/>
              </w:rPr>
            </w:pPr>
          </w:p>
        </w:tc>
      </w:tr>
      <w:tr w:rsidR="00FA5565" w14:paraId="2A73AEB0" w14:textId="77777777">
        <w:tc>
          <w:tcPr>
            <w:tcW w:w="0" w:type="auto"/>
            <w:shd w:val="clear" w:color="auto" w:fill="auto"/>
            <w:tcMar>
              <w:top w:w="40" w:type="dxa"/>
              <w:left w:w="40" w:type="dxa"/>
              <w:bottom w:w="40" w:type="dxa"/>
              <w:right w:w="40" w:type="dxa"/>
            </w:tcMar>
            <w:vAlign w:val="bottom"/>
          </w:tcPr>
          <w:p w14:paraId="2A73AEA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2A73AEA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r>
      <w:tr w:rsidR="00FA5565" w14:paraId="2A73AEB3" w14:textId="77777777">
        <w:tc>
          <w:tcPr>
            <w:tcW w:w="0" w:type="auto"/>
            <w:shd w:val="clear" w:color="auto" w:fill="auto"/>
            <w:tcMar>
              <w:top w:w="40" w:type="dxa"/>
              <w:left w:w="40" w:type="dxa"/>
              <w:bottom w:w="40" w:type="dxa"/>
              <w:right w:w="40" w:type="dxa"/>
            </w:tcMar>
            <w:vAlign w:val="bottom"/>
          </w:tcPr>
          <w:p w14:paraId="2A73AE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2A73AEB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Continuous Unrealized Losses</w:t>
            </w:r>
          </w:p>
        </w:tc>
      </w:tr>
      <w:tr w:rsidR="00FA5565" w14:paraId="2A73AEBA" w14:textId="77777777">
        <w:tc>
          <w:tcPr>
            <w:tcW w:w="0" w:type="auto"/>
            <w:shd w:val="clear" w:color="auto" w:fill="auto"/>
            <w:tcMar>
              <w:top w:w="40" w:type="dxa"/>
              <w:left w:w="40" w:type="dxa"/>
              <w:bottom w:w="40" w:type="dxa"/>
              <w:right w:w="40" w:type="dxa"/>
            </w:tcMar>
            <w:vAlign w:val="bottom"/>
          </w:tcPr>
          <w:p w14:paraId="2A73AEB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EB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Less than 12 Months</w:t>
            </w:r>
          </w:p>
        </w:tc>
        <w:tc>
          <w:tcPr>
            <w:tcW w:w="0" w:type="auto"/>
            <w:shd w:val="clear" w:color="auto" w:fill="auto"/>
            <w:tcMar>
              <w:top w:w="40" w:type="dxa"/>
              <w:left w:w="40" w:type="dxa"/>
              <w:bottom w:w="40" w:type="dxa"/>
              <w:right w:w="40" w:type="dxa"/>
            </w:tcMar>
            <w:vAlign w:val="bottom"/>
          </w:tcPr>
          <w:p w14:paraId="2A73AE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EB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12 Months or Greater</w:t>
            </w:r>
          </w:p>
        </w:tc>
        <w:tc>
          <w:tcPr>
            <w:tcW w:w="0" w:type="auto"/>
            <w:shd w:val="clear" w:color="auto" w:fill="auto"/>
            <w:tcMar>
              <w:top w:w="40" w:type="dxa"/>
              <w:left w:w="40" w:type="dxa"/>
              <w:bottom w:w="40" w:type="dxa"/>
              <w:right w:w="40" w:type="dxa"/>
            </w:tcMar>
            <w:vAlign w:val="bottom"/>
          </w:tcPr>
          <w:p w14:paraId="2A73AEB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EB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Total</w:t>
            </w:r>
          </w:p>
        </w:tc>
      </w:tr>
      <w:tr w:rsidR="00FA5565" w14:paraId="2A73AEC7" w14:textId="77777777">
        <w:tc>
          <w:tcPr>
            <w:tcW w:w="0" w:type="auto"/>
            <w:shd w:val="clear" w:color="auto" w:fill="auto"/>
            <w:tcMar>
              <w:top w:w="40" w:type="dxa"/>
              <w:left w:w="40" w:type="dxa"/>
              <w:bottom w:w="40" w:type="dxa"/>
              <w:right w:w="40" w:type="dxa"/>
            </w:tcMar>
          </w:tcPr>
          <w:p w14:paraId="2A73AEB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Fair value of marketable securities</w:t>
            </w:r>
          </w:p>
        </w:tc>
        <w:tc>
          <w:tcPr>
            <w:tcW w:w="0" w:type="auto"/>
            <w:shd w:val="clear" w:color="auto" w:fill="auto"/>
            <w:tcMar>
              <w:top w:w="40" w:type="dxa"/>
              <w:left w:w="40" w:type="dxa"/>
              <w:bottom w:w="40" w:type="dxa"/>
            </w:tcMar>
            <w:vAlign w:val="bottom"/>
          </w:tcPr>
          <w:p w14:paraId="2A73AEB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EB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126,238</w:t>
            </w:r>
          </w:p>
        </w:tc>
        <w:tc>
          <w:tcPr>
            <w:tcW w:w="0" w:type="auto"/>
            <w:shd w:val="clear" w:color="auto" w:fill="auto"/>
            <w:vAlign w:val="bottom"/>
          </w:tcPr>
          <w:p w14:paraId="2A73AEB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EB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EC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EC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60,599</w:t>
            </w:r>
          </w:p>
        </w:tc>
        <w:tc>
          <w:tcPr>
            <w:tcW w:w="0" w:type="auto"/>
            <w:shd w:val="clear" w:color="auto" w:fill="auto"/>
            <w:vAlign w:val="bottom"/>
          </w:tcPr>
          <w:p w14:paraId="2A73AEC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E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AEC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EC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186,837</w:t>
            </w:r>
          </w:p>
        </w:tc>
        <w:tc>
          <w:tcPr>
            <w:tcW w:w="0" w:type="auto"/>
            <w:tcBorders>
              <w:top w:val="single" w:sz="8" w:space="0" w:color="000000"/>
            </w:tcBorders>
            <w:shd w:val="clear" w:color="auto" w:fill="auto"/>
            <w:vAlign w:val="bottom"/>
          </w:tcPr>
          <w:p w14:paraId="2A73AEC6" w14:textId="77777777" w:rsidR="00FA5565" w:rsidRDefault="00FA5565">
            <w:pPr>
              <w:textAlignment w:val="bottom"/>
              <w:rPr>
                <w:rFonts w:ascii="Times New Roman" w:hAnsi="Times New Roman"/>
                <w:sz w:val="20"/>
                <w:szCs w:val="20"/>
              </w:rPr>
            </w:pPr>
          </w:p>
        </w:tc>
      </w:tr>
      <w:tr w:rsidR="00FA5565" w14:paraId="2A73AED4" w14:textId="77777777">
        <w:tc>
          <w:tcPr>
            <w:tcW w:w="0" w:type="auto"/>
            <w:shd w:val="clear" w:color="auto" w:fill="EFEFEF"/>
            <w:tcMar>
              <w:top w:w="40" w:type="dxa"/>
              <w:left w:w="40" w:type="dxa"/>
              <w:bottom w:w="40" w:type="dxa"/>
              <w:right w:w="40" w:type="dxa"/>
            </w:tcMar>
          </w:tcPr>
          <w:p w14:paraId="2A73AEC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Unrealized losses</w:t>
            </w:r>
          </w:p>
        </w:tc>
        <w:tc>
          <w:tcPr>
            <w:tcW w:w="0" w:type="auto"/>
            <w:shd w:val="clear" w:color="auto" w:fill="EFEFEF"/>
            <w:tcMar>
              <w:top w:w="40" w:type="dxa"/>
              <w:left w:w="40" w:type="dxa"/>
              <w:bottom w:w="40" w:type="dxa"/>
            </w:tcMar>
            <w:vAlign w:val="bottom"/>
          </w:tcPr>
          <w:p w14:paraId="2A73AEC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EC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(2,400</w:t>
            </w:r>
          </w:p>
        </w:tc>
        <w:tc>
          <w:tcPr>
            <w:tcW w:w="0" w:type="auto"/>
            <w:shd w:val="clear" w:color="auto" w:fill="EFEFEF"/>
            <w:tcMar>
              <w:top w:w="40" w:type="dxa"/>
              <w:bottom w:w="40" w:type="dxa"/>
              <w:right w:w="40" w:type="dxa"/>
            </w:tcMar>
            <w:vAlign w:val="bottom"/>
          </w:tcPr>
          <w:p w14:paraId="2A73AEC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EC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EC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EC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(1,889</w:t>
            </w:r>
          </w:p>
        </w:tc>
        <w:tc>
          <w:tcPr>
            <w:tcW w:w="0" w:type="auto"/>
            <w:shd w:val="clear" w:color="auto" w:fill="EFEFEF"/>
            <w:tcMar>
              <w:top w:w="40" w:type="dxa"/>
              <w:bottom w:w="40" w:type="dxa"/>
              <w:right w:w="40" w:type="dxa"/>
            </w:tcMar>
            <w:vAlign w:val="bottom"/>
          </w:tcPr>
          <w:p w14:paraId="2A73AEC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AED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ED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ED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(4,289</w:t>
            </w:r>
          </w:p>
        </w:tc>
        <w:tc>
          <w:tcPr>
            <w:tcW w:w="0" w:type="auto"/>
            <w:shd w:val="clear" w:color="auto" w:fill="EFEFEF"/>
            <w:tcMar>
              <w:top w:w="40" w:type="dxa"/>
              <w:bottom w:w="40" w:type="dxa"/>
              <w:right w:w="40" w:type="dxa"/>
            </w:tcMar>
            <w:vAlign w:val="bottom"/>
          </w:tcPr>
          <w:p w14:paraId="2A73AED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bl>
    <w:p w14:paraId="2A73AED5" w14:textId="77777777" w:rsidR="00FA5565" w:rsidRDefault="00FA5565">
      <w:pPr>
        <w:spacing w:line="288" w:lineRule="auto"/>
        <w:jc w:val="both"/>
        <w:rPr>
          <w:rFonts w:ascii="Times New Roman" w:hAnsi="Times New Roman"/>
          <w:sz w:val="20"/>
          <w:szCs w:val="20"/>
        </w:rPr>
      </w:pPr>
    </w:p>
    <w:p w14:paraId="2A73AED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typically invests in highly rated securities, with the primary objective of minimizing the potential risk of principal loss. The Company’s investment policy generally requires securities to be investment grade and </w:t>
      </w:r>
      <w:r>
        <w:rPr>
          <w:rFonts w:ascii="Helvetica" w:eastAsia="Helvetica" w:hAnsi="Helvetica" w:cs="Helvetica"/>
          <w:sz w:val="18"/>
          <w:szCs w:val="18"/>
        </w:rPr>
        <w:t>limits the amount of credit exposure to any one issuer. Fair values were determined for each individual security in the investment portfolio. When evaluating a marketable debt security for other-than-temporary impairment, the Company reviews factors such a</w:t>
      </w:r>
      <w:r>
        <w:rPr>
          <w:rFonts w:ascii="Helvetica" w:eastAsia="Helvetica" w:hAnsi="Helvetica" w:cs="Helvetica"/>
          <w:sz w:val="18"/>
          <w:szCs w:val="18"/>
        </w:rPr>
        <w:t>s the duration and extent to which the fair value of the security is less than its cost, the financial condition of the issuer and any changes thereto, and the Company’s intent to sell, or whether it will more likely than not be required to sell, the secur</w:t>
      </w:r>
      <w:r>
        <w:rPr>
          <w:rFonts w:ascii="Helvetica" w:eastAsia="Helvetica" w:hAnsi="Helvetica" w:cs="Helvetica"/>
          <w:sz w:val="18"/>
          <w:szCs w:val="18"/>
        </w:rPr>
        <w:t>ity before recovery of its amortized cost basis. As of September 28, 2019, the Company does not consider any of its marketable debt securities to be other-than-temporarily impaired.</w:t>
      </w:r>
    </w:p>
    <w:p w14:paraId="2A73AED7"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Non-Marketable Securities</w:t>
      </w:r>
    </w:p>
    <w:p w14:paraId="2A73AED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holds non-marketable equity securiti</w:t>
      </w:r>
      <w:r>
        <w:rPr>
          <w:rFonts w:ascii="Helvetica" w:eastAsia="Helvetica" w:hAnsi="Helvetica" w:cs="Helvetica"/>
          <w:sz w:val="18"/>
          <w:szCs w:val="18"/>
        </w:rPr>
        <w:t>es of certain privately held companies without readily determinable fair values. As of September 28, 2019, the Company’s non-marketable equity securities had a carrying value of $2.9 billion.</w:t>
      </w:r>
    </w:p>
    <w:p w14:paraId="2A73AED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Restricted Cash</w:t>
      </w:r>
    </w:p>
    <w:p w14:paraId="2A73AED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 reconciliation of the Company’s cash and cash </w:t>
      </w:r>
      <w:r>
        <w:rPr>
          <w:rFonts w:ascii="Helvetica" w:eastAsia="Helvetica" w:hAnsi="Helvetica" w:cs="Helvetica"/>
          <w:sz w:val="18"/>
          <w:szCs w:val="18"/>
        </w:rPr>
        <w:t>equivalents in the Consolidated Balance Sheet to cash, cash equivalents and restricted cash in the Consolidated Statement of Cash Flows as of September 28, 2019 is as follows (in millions):</w:t>
      </w:r>
    </w:p>
    <w:tbl>
      <w:tblPr>
        <w:tblW w:w="5000" w:type="pct"/>
        <w:tblCellMar>
          <w:left w:w="0" w:type="dxa"/>
          <w:right w:w="0" w:type="dxa"/>
        </w:tblCellMar>
        <w:tblLook w:val="04A0" w:firstRow="1" w:lastRow="0" w:firstColumn="1" w:lastColumn="0" w:noHBand="0" w:noVBand="1"/>
      </w:tblPr>
      <w:tblGrid>
        <w:gridCol w:w="7123"/>
        <w:gridCol w:w="141"/>
        <w:gridCol w:w="978"/>
        <w:gridCol w:w="64"/>
      </w:tblGrid>
      <w:tr w:rsidR="00FA5565" w14:paraId="2A73AEDC" w14:textId="77777777">
        <w:tc>
          <w:tcPr>
            <w:tcW w:w="0" w:type="auto"/>
            <w:gridSpan w:val="4"/>
            <w:shd w:val="clear" w:color="auto" w:fill="auto"/>
            <w:vAlign w:val="center"/>
          </w:tcPr>
          <w:p w14:paraId="2A73AEDB" w14:textId="77777777" w:rsidR="00FA5565" w:rsidRDefault="00FA5565">
            <w:pPr>
              <w:rPr>
                <w:rFonts w:ascii="Times New Roman" w:hAnsi="Times New Roman"/>
                <w:sz w:val="20"/>
                <w:szCs w:val="20"/>
              </w:rPr>
            </w:pPr>
          </w:p>
        </w:tc>
      </w:tr>
      <w:tr w:rsidR="00FA5565" w14:paraId="2A73AEE1" w14:textId="77777777">
        <w:tc>
          <w:tcPr>
            <w:tcW w:w="4300" w:type="pct"/>
            <w:shd w:val="clear" w:color="auto" w:fill="auto"/>
            <w:vAlign w:val="center"/>
          </w:tcPr>
          <w:p w14:paraId="2A73AEDD" w14:textId="77777777" w:rsidR="00FA5565" w:rsidRDefault="00FA5565">
            <w:pPr>
              <w:rPr>
                <w:rFonts w:ascii="Times New Roman" w:hAnsi="Times New Roman"/>
                <w:sz w:val="20"/>
                <w:szCs w:val="20"/>
              </w:rPr>
            </w:pPr>
          </w:p>
        </w:tc>
        <w:tc>
          <w:tcPr>
            <w:tcW w:w="50" w:type="pct"/>
            <w:shd w:val="clear" w:color="auto" w:fill="auto"/>
            <w:vAlign w:val="center"/>
          </w:tcPr>
          <w:p w14:paraId="2A73AEDE" w14:textId="77777777" w:rsidR="00FA5565" w:rsidRDefault="00FA5565">
            <w:pPr>
              <w:rPr>
                <w:rFonts w:ascii="Times New Roman" w:hAnsi="Times New Roman"/>
                <w:sz w:val="20"/>
                <w:szCs w:val="20"/>
              </w:rPr>
            </w:pPr>
          </w:p>
        </w:tc>
        <w:tc>
          <w:tcPr>
            <w:tcW w:w="600" w:type="pct"/>
            <w:shd w:val="clear" w:color="auto" w:fill="auto"/>
            <w:vAlign w:val="center"/>
          </w:tcPr>
          <w:p w14:paraId="2A73AEDF" w14:textId="77777777" w:rsidR="00FA5565" w:rsidRDefault="00FA5565">
            <w:pPr>
              <w:rPr>
                <w:rFonts w:ascii="Times New Roman" w:hAnsi="Times New Roman"/>
                <w:sz w:val="20"/>
                <w:szCs w:val="20"/>
              </w:rPr>
            </w:pPr>
          </w:p>
        </w:tc>
        <w:tc>
          <w:tcPr>
            <w:tcW w:w="50" w:type="pct"/>
            <w:shd w:val="clear" w:color="auto" w:fill="auto"/>
            <w:vAlign w:val="center"/>
          </w:tcPr>
          <w:p w14:paraId="2A73AEE0" w14:textId="77777777" w:rsidR="00FA5565" w:rsidRDefault="00FA5565">
            <w:pPr>
              <w:rPr>
                <w:rFonts w:ascii="Times New Roman" w:hAnsi="Times New Roman"/>
                <w:sz w:val="20"/>
                <w:szCs w:val="20"/>
              </w:rPr>
            </w:pPr>
          </w:p>
        </w:tc>
      </w:tr>
      <w:tr w:rsidR="00FA5565" w14:paraId="2A73AEE4" w14:textId="77777777">
        <w:tc>
          <w:tcPr>
            <w:tcW w:w="0" w:type="auto"/>
            <w:shd w:val="clear" w:color="auto" w:fill="auto"/>
            <w:tcMar>
              <w:top w:w="40" w:type="dxa"/>
              <w:left w:w="40" w:type="dxa"/>
              <w:bottom w:w="40" w:type="dxa"/>
              <w:right w:w="40" w:type="dxa"/>
            </w:tcMar>
            <w:vAlign w:val="bottom"/>
          </w:tcPr>
          <w:p w14:paraId="2A73AEE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EE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r>
      <w:tr w:rsidR="00FA5565" w14:paraId="2A73AEE9" w14:textId="77777777">
        <w:tc>
          <w:tcPr>
            <w:tcW w:w="0" w:type="auto"/>
            <w:shd w:val="clear" w:color="auto" w:fill="auto"/>
            <w:tcMar>
              <w:top w:w="40" w:type="dxa"/>
              <w:left w:w="40" w:type="dxa"/>
              <w:bottom w:w="40" w:type="dxa"/>
              <w:right w:w="40" w:type="dxa"/>
            </w:tcMar>
            <w:vAlign w:val="bottom"/>
          </w:tcPr>
          <w:p w14:paraId="2A73AEE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Cash and cash equivalents</w:t>
            </w:r>
          </w:p>
        </w:tc>
        <w:tc>
          <w:tcPr>
            <w:tcW w:w="0" w:type="auto"/>
            <w:tcBorders>
              <w:top w:val="single" w:sz="8" w:space="0" w:color="000000"/>
            </w:tcBorders>
            <w:shd w:val="clear" w:color="auto" w:fill="auto"/>
            <w:tcMar>
              <w:top w:w="40" w:type="dxa"/>
              <w:left w:w="40" w:type="dxa"/>
              <w:bottom w:w="40" w:type="dxa"/>
            </w:tcMar>
            <w:vAlign w:val="bottom"/>
          </w:tcPr>
          <w:p w14:paraId="2A73AEE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AEE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48,844</w:t>
            </w:r>
          </w:p>
        </w:tc>
        <w:tc>
          <w:tcPr>
            <w:tcW w:w="0" w:type="auto"/>
            <w:tcBorders>
              <w:top w:val="single" w:sz="8" w:space="0" w:color="000000"/>
            </w:tcBorders>
            <w:shd w:val="clear" w:color="auto" w:fill="auto"/>
            <w:vAlign w:val="bottom"/>
          </w:tcPr>
          <w:p w14:paraId="2A73AEE8" w14:textId="77777777" w:rsidR="00FA5565" w:rsidRDefault="00FA5565">
            <w:pPr>
              <w:textAlignment w:val="bottom"/>
              <w:rPr>
                <w:rFonts w:ascii="Times New Roman" w:hAnsi="Times New Roman"/>
                <w:sz w:val="20"/>
                <w:szCs w:val="20"/>
              </w:rPr>
            </w:pPr>
          </w:p>
        </w:tc>
      </w:tr>
      <w:tr w:rsidR="00FA5565" w14:paraId="2A73AEED" w14:textId="77777777">
        <w:tc>
          <w:tcPr>
            <w:tcW w:w="0" w:type="auto"/>
            <w:shd w:val="clear" w:color="auto" w:fill="EFEFEF"/>
            <w:tcMar>
              <w:top w:w="40" w:type="dxa"/>
              <w:left w:w="40" w:type="dxa"/>
              <w:bottom w:w="40" w:type="dxa"/>
              <w:right w:w="40" w:type="dxa"/>
            </w:tcMar>
            <w:vAlign w:val="bottom"/>
          </w:tcPr>
          <w:p w14:paraId="2A73AEE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Restricted cash included in other current assets</w:t>
            </w:r>
          </w:p>
        </w:tc>
        <w:tc>
          <w:tcPr>
            <w:tcW w:w="0" w:type="auto"/>
            <w:gridSpan w:val="2"/>
            <w:shd w:val="clear" w:color="auto" w:fill="EFEFEF"/>
            <w:tcMar>
              <w:top w:w="40" w:type="dxa"/>
              <w:left w:w="40" w:type="dxa"/>
              <w:bottom w:w="40" w:type="dxa"/>
            </w:tcMar>
            <w:vAlign w:val="bottom"/>
          </w:tcPr>
          <w:p w14:paraId="2A73AEE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w:t>
            </w:r>
          </w:p>
        </w:tc>
        <w:tc>
          <w:tcPr>
            <w:tcW w:w="0" w:type="auto"/>
            <w:shd w:val="clear" w:color="auto" w:fill="EFEFEF"/>
            <w:vAlign w:val="bottom"/>
          </w:tcPr>
          <w:p w14:paraId="2A73AEEC" w14:textId="77777777" w:rsidR="00FA5565" w:rsidRDefault="00FA5565">
            <w:pPr>
              <w:textAlignment w:val="bottom"/>
              <w:rPr>
                <w:rFonts w:ascii="Times New Roman" w:hAnsi="Times New Roman"/>
                <w:sz w:val="20"/>
                <w:szCs w:val="20"/>
              </w:rPr>
            </w:pPr>
          </w:p>
        </w:tc>
      </w:tr>
      <w:tr w:rsidR="00FA5565" w14:paraId="2A73AEF1" w14:textId="77777777">
        <w:tc>
          <w:tcPr>
            <w:tcW w:w="0" w:type="auto"/>
            <w:shd w:val="clear" w:color="auto" w:fill="auto"/>
            <w:tcMar>
              <w:top w:w="40" w:type="dxa"/>
              <w:left w:w="40" w:type="dxa"/>
              <w:bottom w:w="40" w:type="dxa"/>
              <w:right w:w="40" w:type="dxa"/>
            </w:tcMar>
            <w:vAlign w:val="bottom"/>
          </w:tcPr>
          <w:p w14:paraId="2A73AEE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Restricted cash included in other non-current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2A73AEE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1,357</w:t>
            </w:r>
          </w:p>
        </w:tc>
        <w:tc>
          <w:tcPr>
            <w:tcW w:w="0" w:type="auto"/>
            <w:tcBorders>
              <w:bottom w:val="single" w:sz="8" w:space="0" w:color="000000"/>
            </w:tcBorders>
            <w:shd w:val="clear" w:color="auto" w:fill="auto"/>
            <w:vAlign w:val="bottom"/>
          </w:tcPr>
          <w:p w14:paraId="2A73AEF0" w14:textId="77777777" w:rsidR="00FA5565" w:rsidRDefault="00FA5565">
            <w:pPr>
              <w:textAlignment w:val="bottom"/>
              <w:rPr>
                <w:rFonts w:ascii="Times New Roman" w:hAnsi="Times New Roman"/>
                <w:sz w:val="20"/>
                <w:szCs w:val="20"/>
              </w:rPr>
            </w:pPr>
          </w:p>
        </w:tc>
      </w:tr>
      <w:tr w:rsidR="00FA5565" w14:paraId="2A73AEF6" w14:textId="77777777">
        <w:tc>
          <w:tcPr>
            <w:tcW w:w="0" w:type="auto"/>
            <w:shd w:val="clear" w:color="auto" w:fill="EFEFEF"/>
            <w:tcMar>
              <w:top w:w="40" w:type="dxa"/>
              <w:left w:w="40" w:type="dxa"/>
              <w:bottom w:w="40" w:type="dxa"/>
              <w:right w:w="40" w:type="dxa"/>
            </w:tcMar>
            <w:vAlign w:val="bottom"/>
          </w:tcPr>
          <w:p w14:paraId="2A73AEF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Cash, cash equivalents and restricted cash</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AEF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AEF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50,224</w:t>
            </w:r>
          </w:p>
        </w:tc>
        <w:tc>
          <w:tcPr>
            <w:tcW w:w="0" w:type="auto"/>
            <w:tcBorders>
              <w:top w:val="single" w:sz="8" w:space="0" w:color="000000"/>
              <w:bottom w:val="double" w:sz="6" w:space="0" w:color="000000"/>
            </w:tcBorders>
            <w:shd w:val="clear" w:color="auto" w:fill="EFEFEF"/>
            <w:vAlign w:val="bottom"/>
          </w:tcPr>
          <w:p w14:paraId="2A73AEF5" w14:textId="77777777" w:rsidR="00FA5565" w:rsidRDefault="00FA5565">
            <w:pPr>
              <w:textAlignment w:val="bottom"/>
              <w:rPr>
                <w:rFonts w:ascii="Times New Roman" w:hAnsi="Times New Roman"/>
                <w:sz w:val="20"/>
                <w:szCs w:val="20"/>
              </w:rPr>
            </w:pPr>
          </w:p>
        </w:tc>
      </w:tr>
    </w:tbl>
    <w:p w14:paraId="2A73AEF7" w14:textId="77777777" w:rsidR="00FA5565" w:rsidRDefault="00FA5565">
      <w:pPr>
        <w:spacing w:line="288" w:lineRule="auto"/>
        <w:jc w:val="both"/>
        <w:rPr>
          <w:rFonts w:ascii="Times New Roman" w:hAnsi="Times New Roman"/>
          <w:sz w:val="20"/>
          <w:szCs w:val="20"/>
        </w:rPr>
      </w:pPr>
    </w:p>
    <w:p w14:paraId="2A73AEF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restricted cash primarily consisted of cash required to be on </w:t>
      </w:r>
      <w:r>
        <w:rPr>
          <w:rFonts w:ascii="Helvetica" w:eastAsia="Helvetica" w:hAnsi="Helvetica" w:cs="Helvetica"/>
          <w:sz w:val="18"/>
          <w:szCs w:val="18"/>
        </w:rPr>
        <w:t>deposit under a contractual agreement with a bank to support the Company’s iPhone Upgrade Program.</w:t>
      </w:r>
    </w:p>
    <w:p w14:paraId="2A73AEF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Derivative Financial Instruments</w:t>
      </w:r>
    </w:p>
    <w:p w14:paraId="2A73AEF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may use derivatives to partially offset its business exposure to foreign currency and interest rate risk on expe</w:t>
      </w:r>
      <w:r>
        <w:rPr>
          <w:rFonts w:ascii="Helvetica" w:eastAsia="Helvetica" w:hAnsi="Helvetica" w:cs="Helvetica"/>
          <w:sz w:val="18"/>
          <w:szCs w:val="18"/>
        </w:rPr>
        <w:t>cted future cash flows, net investments in certain foreign subsidiaries, and certain existing assets and liabilities. However, the Company may choose not to hedge certain exposures for a variety of reasons including, but not limited to, accounting consider</w:t>
      </w:r>
      <w:r>
        <w:rPr>
          <w:rFonts w:ascii="Helvetica" w:eastAsia="Helvetica" w:hAnsi="Helvetica" w:cs="Helvetica"/>
          <w:sz w:val="18"/>
          <w:szCs w:val="18"/>
        </w:rPr>
        <w:t>ations or the prohibitive economic cost of hedging particular exposures. There can be no assurance the hedges will offset more than a portion of the financial impact resulting from movements in foreign currency exchange or interest rates.</w:t>
      </w:r>
    </w:p>
    <w:p w14:paraId="2A73AEF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To protect gross </w:t>
      </w:r>
      <w:r>
        <w:rPr>
          <w:rFonts w:ascii="Helvetica" w:eastAsia="Helvetica" w:hAnsi="Helvetica" w:cs="Helvetica"/>
          <w:sz w:val="18"/>
          <w:szCs w:val="18"/>
        </w:rPr>
        <w:t>margins from fluctuations in foreign currency exchange rates, certain of the Company’s subsidiaries whose functional currency is the U.S. dollar may hedge a portion of forecasted foreign currency revenue, and subsidiaries whose functional currency is not t</w:t>
      </w:r>
      <w:r>
        <w:rPr>
          <w:rFonts w:ascii="Helvetica" w:eastAsia="Helvetica" w:hAnsi="Helvetica" w:cs="Helvetica"/>
          <w:sz w:val="18"/>
          <w:szCs w:val="18"/>
        </w:rPr>
        <w:t>he U.S. dollar may hedge a portion of forecasted inventory purchases not denominated in the subsidiaries’ functional currencies. The Company may enter into forward contracts, option contracts or other instruments to manage this risk and may designate these</w:t>
      </w:r>
      <w:r>
        <w:rPr>
          <w:rFonts w:ascii="Helvetica" w:eastAsia="Helvetica" w:hAnsi="Helvetica" w:cs="Helvetica"/>
          <w:sz w:val="18"/>
          <w:szCs w:val="18"/>
        </w:rPr>
        <w:t xml:space="preserve"> instruments as cash flow hedges. The Company generally hedges portions of its forecasted foreign currency exposure associated with revenue and inventory purchases, typically for up to 12 months.</w:t>
      </w:r>
    </w:p>
    <w:p w14:paraId="2A73AEFC" w14:textId="77777777" w:rsidR="00FA5565" w:rsidRDefault="00FA5565">
      <w:pPr>
        <w:rPr>
          <w:rFonts w:ascii="Times New Roman" w:hAnsi="Times New Roman"/>
          <w:sz w:val="20"/>
          <w:szCs w:val="20"/>
        </w:rPr>
      </w:pPr>
    </w:p>
    <w:p w14:paraId="2A73AEFD"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39</w:t>
      </w:r>
    </w:p>
    <w:p w14:paraId="2A73AEFE" w14:textId="77777777" w:rsidR="00FA5565" w:rsidRDefault="00D804D1">
      <w:r>
        <w:rPr>
          <w:rFonts w:ascii="Times New Roman" w:hAnsi="Times New Roman"/>
          <w:sz w:val="16"/>
          <w:szCs w:val="16"/>
        </w:rPr>
        <w:pict w14:anchorId="2A73C0C3">
          <v:rect id="_x0000_i1065" style="width:415.3pt;height:1.5pt" o:hralign="center" o:hrstd="t" o:hr="t" fillcolor="#a0a0a0" stroked="f"/>
        </w:pict>
      </w:r>
    </w:p>
    <w:p w14:paraId="2A73AEFF" w14:textId="77777777" w:rsidR="00FA5565" w:rsidRDefault="00FA5565">
      <w:pPr>
        <w:rPr>
          <w:rFonts w:ascii="Times New Roman" w:hAnsi="Times New Roman"/>
          <w:sz w:val="20"/>
          <w:szCs w:val="20"/>
        </w:rPr>
      </w:pPr>
    </w:p>
    <w:p w14:paraId="2A73AF0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To protect the net inve</w:t>
      </w:r>
      <w:r>
        <w:rPr>
          <w:rFonts w:ascii="Helvetica" w:eastAsia="Helvetica" w:hAnsi="Helvetica" w:cs="Helvetica"/>
          <w:sz w:val="18"/>
          <w:szCs w:val="18"/>
        </w:rPr>
        <w:t>stment in a foreign operation from fluctuations in foreign currency exchange rates, the Company may enter into foreign currency forward and option contracts to offset a portion of the changes in the carrying amounts of these investments due to fluctuations</w:t>
      </w:r>
      <w:r>
        <w:rPr>
          <w:rFonts w:ascii="Helvetica" w:eastAsia="Helvetica" w:hAnsi="Helvetica" w:cs="Helvetica"/>
          <w:sz w:val="18"/>
          <w:szCs w:val="18"/>
        </w:rPr>
        <w:t xml:space="preserve"> in foreign currency exchange rates. In addition, the Company may use non-derivative financial instruments, such as its foreign currency–denominated debt, as hedges of its net investments in certain foreign subsidiaries. In both of these cases, the Company</w:t>
      </w:r>
      <w:r>
        <w:rPr>
          <w:rFonts w:ascii="Helvetica" w:eastAsia="Helvetica" w:hAnsi="Helvetica" w:cs="Helvetica"/>
          <w:sz w:val="18"/>
          <w:szCs w:val="18"/>
        </w:rPr>
        <w:t xml:space="preserve"> designates these instruments as net investment hedges.</w:t>
      </w:r>
    </w:p>
    <w:p w14:paraId="2A73AF0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To protect the Company’s foreign currency–denominated term debt or marketable securities from fluctuations in foreign currency exchange rates, the Company may enter into forward contracts, cross-curre</w:t>
      </w:r>
      <w:r>
        <w:rPr>
          <w:rFonts w:ascii="Helvetica" w:eastAsia="Helvetica" w:hAnsi="Helvetica" w:cs="Helvetica"/>
          <w:sz w:val="18"/>
          <w:szCs w:val="18"/>
        </w:rPr>
        <w:t>ncy swaps or other instruments. These instruments may offset a portion of the foreign currency remeasurement gains or losses, or changes in fair value. The Company may designate these instruments as either cash flow or fair value hedges. As of September 28</w:t>
      </w:r>
      <w:r>
        <w:rPr>
          <w:rFonts w:ascii="Helvetica" w:eastAsia="Helvetica" w:hAnsi="Helvetica" w:cs="Helvetica"/>
          <w:sz w:val="18"/>
          <w:szCs w:val="18"/>
        </w:rPr>
        <w:t>, 2019, the Company’s hedged term debt– and marketable securities–related foreign currency transactions are expected to be recognized within 23 years.</w:t>
      </w:r>
    </w:p>
    <w:p w14:paraId="2A73AF0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may also enter into non-designated foreign currency contracts to offset a portion of the fore</w:t>
      </w:r>
      <w:r>
        <w:rPr>
          <w:rFonts w:ascii="Helvetica" w:eastAsia="Helvetica" w:hAnsi="Helvetica" w:cs="Helvetica"/>
          <w:sz w:val="18"/>
          <w:szCs w:val="18"/>
        </w:rPr>
        <w:t>ign currency exchange gains and losses generated by the remeasurement of certain assets and liabilities denominated in non-functional currencies.</w:t>
      </w:r>
    </w:p>
    <w:p w14:paraId="2A73AF0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To protect the Company’s foreign currency–denominated term debt or marketable securities from fluctuations in </w:t>
      </w:r>
      <w:r>
        <w:rPr>
          <w:rFonts w:ascii="Helvetica" w:eastAsia="Helvetica" w:hAnsi="Helvetica" w:cs="Helvetica"/>
          <w:sz w:val="18"/>
          <w:szCs w:val="18"/>
        </w:rPr>
        <w:t xml:space="preserve">interest rates, the Company may enter into interest rate swaps, options or other instruments. These instruments may offset a portion of the changes in interest income or expense, or changes in fair value. The Company designates these instruments as either </w:t>
      </w:r>
      <w:r>
        <w:rPr>
          <w:rFonts w:ascii="Helvetica" w:eastAsia="Helvetica" w:hAnsi="Helvetica" w:cs="Helvetica"/>
          <w:sz w:val="18"/>
          <w:szCs w:val="18"/>
        </w:rPr>
        <w:t>cash flow or fair value hedges. As of September 28, 2019, the Company’s hedged interest rate transactions are expected to be recognized within 8 years.</w:t>
      </w:r>
    </w:p>
    <w:p w14:paraId="2A73AF04"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Cash Flow Hedges</w:t>
      </w:r>
    </w:p>
    <w:p w14:paraId="2A73AF0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effective portions of cash flow hedges are recorded in accumulated other comprehens</w:t>
      </w:r>
      <w:r>
        <w:rPr>
          <w:rFonts w:ascii="Helvetica" w:eastAsia="Helvetica" w:hAnsi="Helvetica" w:cs="Helvetica"/>
          <w:sz w:val="18"/>
          <w:szCs w:val="18"/>
        </w:rPr>
        <w:t>ive income/(loss) (“AOCI”) until the hedged item is recognized in earnings. Deferred gains and losses associated with cash flow hedges of foreign currency revenue are recognized as a component of net sales in the same period as the related revenue is recog</w:t>
      </w:r>
      <w:r>
        <w:rPr>
          <w:rFonts w:ascii="Helvetica" w:eastAsia="Helvetica" w:hAnsi="Helvetica" w:cs="Helvetica"/>
          <w:sz w:val="18"/>
          <w:szCs w:val="18"/>
        </w:rPr>
        <w:t>nized, and deferred gains and losses related to cash flow hedges of inventory purchases are recognized as a component of cost of sales in the same period as the related costs are recognized. Deferred gains and losses associated with cash flow hedges of int</w:t>
      </w:r>
      <w:r>
        <w:rPr>
          <w:rFonts w:ascii="Helvetica" w:eastAsia="Helvetica" w:hAnsi="Helvetica" w:cs="Helvetica"/>
          <w:sz w:val="18"/>
          <w:szCs w:val="18"/>
        </w:rPr>
        <w:t>erest income or expense are recognized in OI&amp;E in the same period as the related income or expense is recognized. For options designated as cash flow hedges, changes in the time value are excluded from the assessment of hedge effectiveness. The ineffective</w:t>
      </w:r>
      <w:r>
        <w:rPr>
          <w:rFonts w:ascii="Helvetica" w:eastAsia="Helvetica" w:hAnsi="Helvetica" w:cs="Helvetica"/>
          <w:sz w:val="18"/>
          <w:szCs w:val="18"/>
        </w:rPr>
        <w:t xml:space="preserve"> portions and amounts excluded from the effectiveness testing of cash flow hedges are recognized in OI&amp;E.</w:t>
      </w:r>
    </w:p>
    <w:p w14:paraId="2A73AF0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Derivative instruments designated as cash flow hedges must be de-designated as hedges when it is probable the forecasted hedged transaction will </w:t>
      </w:r>
      <w:r>
        <w:rPr>
          <w:rFonts w:ascii="Helvetica" w:eastAsia="Helvetica" w:hAnsi="Helvetica" w:cs="Helvetica"/>
          <w:sz w:val="18"/>
          <w:szCs w:val="18"/>
        </w:rPr>
        <w:t>not occur in the initially identified time period or within a subsequent two-month time period. Deferred gains and losses in AOCI associated with such derivative instruments are reclassified into OI&amp;E in the period of de-designation. Any subsequent changes</w:t>
      </w:r>
      <w:r>
        <w:rPr>
          <w:rFonts w:ascii="Helvetica" w:eastAsia="Helvetica" w:hAnsi="Helvetica" w:cs="Helvetica"/>
          <w:sz w:val="18"/>
          <w:szCs w:val="18"/>
        </w:rPr>
        <w:t xml:space="preserve"> in fair value of such derivative instruments are reflected in OI&amp;E unless they are re-designated as hedges of other transactions.</w:t>
      </w:r>
    </w:p>
    <w:p w14:paraId="2A73AF07"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Net Investment Hedges</w:t>
      </w:r>
    </w:p>
    <w:p w14:paraId="2A73AF0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effective portions of net investment hedges are recorded in OCI as a part of the cumulative transla</w:t>
      </w:r>
      <w:r>
        <w:rPr>
          <w:rFonts w:ascii="Helvetica" w:eastAsia="Helvetica" w:hAnsi="Helvetica" w:cs="Helvetica"/>
          <w:sz w:val="18"/>
          <w:szCs w:val="18"/>
        </w:rPr>
        <w:t xml:space="preserve">tion adjustment. The ineffective portions and amounts excluded from the effectiveness testing of net investment hedges are recognized in OI&amp;E. For foreign exchange forward contracts designated as net investment hedges, the Company excludes changes in fair </w:t>
      </w:r>
      <w:r>
        <w:rPr>
          <w:rFonts w:ascii="Helvetica" w:eastAsia="Helvetica" w:hAnsi="Helvetica" w:cs="Helvetica"/>
          <w:sz w:val="18"/>
          <w:szCs w:val="18"/>
        </w:rPr>
        <w:t>value relating to changes in the forward carry component from its assessment of hedge effectiveness. Accordingly, any gains or losses related to this forward carry component are recognized in earnings in the current period.</w:t>
      </w:r>
    </w:p>
    <w:p w14:paraId="2A73AF09"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Fair Value Hedges</w:t>
      </w:r>
    </w:p>
    <w:p w14:paraId="2A73AF0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Gains and loss</w:t>
      </w:r>
      <w:r>
        <w:rPr>
          <w:rFonts w:ascii="Helvetica" w:eastAsia="Helvetica" w:hAnsi="Helvetica" w:cs="Helvetica"/>
          <w:sz w:val="18"/>
          <w:szCs w:val="18"/>
        </w:rPr>
        <w:t>es related to changes in fair value hedges are recognized in earnings along with a corresponding loss or gain related to the change in value of the underlying hedged item in the same line in the Consolidated Statements of Operations. For foreign exchange f</w:t>
      </w:r>
      <w:r>
        <w:rPr>
          <w:rFonts w:ascii="Helvetica" w:eastAsia="Helvetica" w:hAnsi="Helvetica" w:cs="Helvetica"/>
          <w:sz w:val="18"/>
          <w:szCs w:val="18"/>
        </w:rPr>
        <w:t>orward contracts designated as fair value hedges, the Company excludes changes in fair value relating to changes in the forward carry component from its assessment of hedge effectiveness. The amount excluded from the effectiveness testing of fair value hed</w:t>
      </w:r>
      <w:r>
        <w:rPr>
          <w:rFonts w:ascii="Helvetica" w:eastAsia="Helvetica" w:hAnsi="Helvetica" w:cs="Helvetica"/>
          <w:sz w:val="18"/>
          <w:szCs w:val="18"/>
        </w:rPr>
        <w:t>ges was a gain of $777 million for 2019, and was recognized in OI&amp;E.</w:t>
      </w:r>
    </w:p>
    <w:p w14:paraId="2A73AF0B"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Non-Designated Derivatives</w:t>
      </w:r>
    </w:p>
    <w:p w14:paraId="2A73AF0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Derivatives that are not designated as hedging instruments are adjusted to fair value through earnings in the financial statement line item to which the derivat</w:t>
      </w:r>
      <w:r>
        <w:rPr>
          <w:rFonts w:ascii="Helvetica" w:eastAsia="Helvetica" w:hAnsi="Helvetica" w:cs="Helvetica"/>
          <w:sz w:val="18"/>
          <w:szCs w:val="18"/>
        </w:rPr>
        <w:t>ive relates.</w:t>
      </w:r>
    </w:p>
    <w:p w14:paraId="2A73AF0D" w14:textId="77777777" w:rsidR="00FA5565" w:rsidRDefault="00FA5565">
      <w:pPr>
        <w:rPr>
          <w:rFonts w:ascii="Times New Roman" w:hAnsi="Times New Roman"/>
          <w:sz w:val="20"/>
          <w:szCs w:val="20"/>
        </w:rPr>
      </w:pPr>
    </w:p>
    <w:p w14:paraId="2A73AF0E"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40</w:t>
      </w:r>
    </w:p>
    <w:p w14:paraId="2A73AF0F" w14:textId="77777777" w:rsidR="00FA5565" w:rsidRDefault="00D804D1">
      <w:r>
        <w:rPr>
          <w:rFonts w:ascii="Times New Roman" w:hAnsi="Times New Roman"/>
          <w:sz w:val="16"/>
          <w:szCs w:val="16"/>
        </w:rPr>
        <w:pict w14:anchorId="2A73C0C4">
          <v:rect id="_x0000_i1066" style="width:415.3pt;height:1.5pt" o:hralign="center" o:hrstd="t" o:hr="t" fillcolor="#a0a0a0" stroked="f"/>
        </w:pict>
      </w:r>
    </w:p>
    <w:p w14:paraId="2A73AF10" w14:textId="77777777" w:rsidR="00FA5565" w:rsidRDefault="00FA5565">
      <w:pPr>
        <w:rPr>
          <w:rFonts w:ascii="Times New Roman" w:hAnsi="Times New Roman"/>
          <w:sz w:val="20"/>
          <w:szCs w:val="20"/>
        </w:rPr>
      </w:pPr>
    </w:p>
    <w:p w14:paraId="2A73AF1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records all derivatives in the Consolidated Balance Sheets at fair value. The Company’s accounting treatment for these derivative instruments is based on its hedge designation. The following tab</w:t>
      </w:r>
      <w:r>
        <w:rPr>
          <w:rFonts w:ascii="Helvetica" w:eastAsia="Helvetica" w:hAnsi="Helvetica" w:cs="Helvetica"/>
          <w:sz w:val="18"/>
          <w:szCs w:val="18"/>
        </w:rPr>
        <w:t>les show the Company’s derivative instruments at gross fair value as of September 28, 2019 and September 29, 2018 (in millions):</w:t>
      </w:r>
    </w:p>
    <w:tbl>
      <w:tblPr>
        <w:tblW w:w="5000" w:type="pct"/>
        <w:tblCellMar>
          <w:left w:w="0" w:type="dxa"/>
          <w:right w:w="0" w:type="dxa"/>
        </w:tblCellMar>
        <w:tblLook w:val="04A0" w:firstRow="1" w:lastRow="0" w:firstColumn="1" w:lastColumn="0" w:noHBand="0" w:noVBand="1"/>
      </w:tblPr>
      <w:tblGrid>
        <w:gridCol w:w="3699"/>
        <w:gridCol w:w="142"/>
        <w:gridCol w:w="1373"/>
        <w:gridCol w:w="52"/>
        <w:gridCol w:w="130"/>
        <w:gridCol w:w="142"/>
        <w:gridCol w:w="1614"/>
        <w:gridCol w:w="45"/>
        <w:gridCol w:w="130"/>
        <w:gridCol w:w="141"/>
        <w:gridCol w:w="793"/>
        <w:gridCol w:w="45"/>
      </w:tblGrid>
      <w:tr w:rsidR="00FA5565" w14:paraId="2A73AF13" w14:textId="77777777">
        <w:tc>
          <w:tcPr>
            <w:tcW w:w="0" w:type="auto"/>
            <w:gridSpan w:val="12"/>
            <w:shd w:val="clear" w:color="auto" w:fill="auto"/>
            <w:vAlign w:val="center"/>
          </w:tcPr>
          <w:p w14:paraId="2A73AF12" w14:textId="77777777" w:rsidR="00FA5565" w:rsidRDefault="00FA5565">
            <w:pPr>
              <w:rPr>
                <w:rFonts w:ascii="Times New Roman" w:hAnsi="Times New Roman"/>
                <w:sz w:val="20"/>
                <w:szCs w:val="20"/>
              </w:rPr>
            </w:pPr>
          </w:p>
        </w:tc>
      </w:tr>
      <w:tr w:rsidR="00FA5565" w14:paraId="2A73AF20" w14:textId="77777777">
        <w:tc>
          <w:tcPr>
            <w:tcW w:w="2250" w:type="pct"/>
            <w:shd w:val="clear" w:color="auto" w:fill="auto"/>
            <w:vAlign w:val="center"/>
          </w:tcPr>
          <w:p w14:paraId="2A73AF14" w14:textId="77777777" w:rsidR="00FA5565" w:rsidRDefault="00FA5565">
            <w:pPr>
              <w:rPr>
                <w:rFonts w:ascii="Times New Roman" w:hAnsi="Times New Roman"/>
                <w:sz w:val="20"/>
                <w:szCs w:val="20"/>
              </w:rPr>
            </w:pPr>
          </w:p>
        </w:tc>
        <w:tc>
          <w:tcPr>
            <w:tcW w:w="50" w:type="pct"/>
            <w:shd w:val="clear" w:color="auto" w:fill="auto"/>
            <w:vAlign w:val="center"/>
          </w:tcPr>
          <w:p w14:paraId="2A73AF15" w14:textId="77777777" w:rsidR="00FA5565" w:rsidRDefault="00FA5565">
            <w:pPr>
              <w:rPr>
                <w:rFonts w:ascii="Times New Roman" w:hAnsi="Times New Roman"/>
                <w:sz w:val="20"/>
                <w:szCs w:val="20"/>
              </w:rPr>
            </w:pPr>
          </w:p>
        </w:tc>
        <w:tc>
          <w:tcPr>
            <w:tcW w:w="850" w:type="pct"/>
            <w:shd w:val="clear" w:color="auto" w:fill="auto"/>
            <w:vAlign w:val="center"/>
          </w:tcPr>
          <w:p w14:paraId="2A73AF16" w14:textId="77777777" w:rsidR="00FA5565" w:rsidRDefault="00FA5565">
            <w:pPr>
              <w:rPr>
                <w:rFonts w:ascii="Times New Roman" w:hAnsi="Times New Roman"/>
                <w:sz w:val="20"/>
                <w:szCs w:val="20"/>
              </w:rPr>
            </w:pPr>
          </w:p>
        </w:tc>
        <w:tc>
          <w:tcPr>
            <w:tcW w:w="50" w:type="pct"/>
            <w:shd w:val="clear" w:color="auto" w:fill="auto"/>
            <w:vAlign w:val="center"/>
          </w:tcPr>
          <w:p w14:paraId="2A73AF17" w14:textId="77777777" w:rsidR="00FA5565" w:rsidRDefault="00FA5565">
            <w:pPr>
              <w:rPr>
                <w:rFonts w:ascii="Times New Roman" w:hAnsi="Times New Roman"/>
                <w:sz w:val="20"/>
                <w:szCs w:val="20"/>
              </w:rPr>
            </w:pPr>
          </w:p>
        </w:tc>
        <w:tc>
          <w:tcPr>
            <w:tcW w:w="50" w:type="pct"/>
            <w:shd w:val="clear" w:color="auto" w:fill="auto"/>
            <w:vAlign w:val="center"/>
          </w:tcPr>
          <w:p w14:paraId="2A73AF18" w14:textId="77777777" w:rsidR="00FA5565" w:rsidRDefault="00FA5565">
            <w:pPr>
              <w:rPr>
                <w:rFonts w:ascii="Times New Roman" w:hAnsi="Times New Roman"/>
                <w:sz w:val="20"/>
                <w:szCs w:val="20"/>
              </w:rPr>
            </w:pPr>
          </w:p>
        </w:tc>
        <w:tc>
          <w:tcPr>
            <w:tcW w:w="50" w:type="pct"/>
            <w:shd w:val="clear" w:color="auto" w:fill="auto"/>
            <w:vAlign w:val="center"/>
          </w:tcPr>
          <w:p w14:paraId="2A73AF19" w14:textId="77777777" w:rsidR="00FA5565" w:rsidRDefault="00FA5565">
            <w:pPr>
              <w:rPr>
                <w:rFonts w:ascii="Times New Roman" w:hAnsi="Times New Roman"/>
                <w:sz w:val="20"/>
                <w:szCs w:val="20"/>
              </w:rPr>
            </w:pPr>
          </w:p>
        </w:tc>
        <w:tc>
          <w:tcPr>
            <w:tcW w:w="1000" w:type="pct"/>
            <w:shd w:val="clear" w:color="auto" w:fill="auto"/>
            <w:vAlign w:val="center"/>
          </w:tcPr>
          <w:p w14:paraId="2A73AF1A" w14:textId="77777777" w:rsidR="00FA5565" w:rsidRDefault="00FA5565">
            <w:pPr>
              <w:rPr>
                <w:rFonts w:ascii="Times New Roman" w:hAnsi="Times New Roman"/>
                <w:sz w:val="20"/>
                <w:szCs w:val="20"/>
              </w:rPr>
            </w:pPr>
          </w:p>
        </w:tc>
        <w:tc>
          <w:tcPr>
            <w:tcW w:w="50" w:type="pct"/>
            <w:shd w:val="clear" w:color="auto" w:fill="auto"/>
            <w:vAlign w:val="center"/>
          </w:tcPr>
          <w:p w14:paraId="2A73AF1B" w14:textId="77777777" w:rsidR="00FA5565" w:rsidRDefault="00FA5565">
            <w:pPr>
              <w:rPr>
                <w:rFonts w:ascii="Times New Roman" w:hAnsi="Times New Roman"/>
                <w:sz w:val="20"/>
                <w:szCs w:val="20"/>
              </w:rPr>
            </w:pPr>
          </w:p>
        </w:tc>
        <w:tc>
          <w:tcPr>
            <w:tcW w:w="50" w:type="pct"/>
            <w:shd w:val="clear" w:color="auto" w:fill="auto"/>
            <w:vAlign w:val="center"/>
          </w:tcPr>
          <w:p w14:paraId="2A73AF1C" w14:textId="77777777" w:rsidR="00FA5565" w:rsidRDefault="00FA5565">
            <w:pPr>
              <w:rPr>
                <w:rFonts w:ascii="Times New Roman" w:hAnsi="Times New Roman"/>
                <w:sz w:val="20"/>
                <w:szCs w:val="20"/>
              </w:rPr>
            </w:pPr>
          </w:p>
        </w:tc>
        <w:tc>
          <w:tcPr>
            <w:tcW w:w="50" w:type="pct"/>
            <w:shd w:val="clear" w:color="auto" w:fill="auto"/>
            <w:vAlign w:val="center"/>
          </w:tcPr>
          <w:p w14:paraId="2A73AF1D" w14:textId="77777777" w:rsidR="00FA5565" w:rsidRDefault="00FA5565">
            <w:pPr>
              <w:rPr>
                <w:rFonts w:ascii="Times New Roman" w:hAnsi="Times New Roman"/>
                <w:sz w:val="20"/>
                <w:szCs w:val="20"/>
              </w:rPr>
            </w:pPr>
          </w:p>
        </w:tc>
        <w:tc>
          <w:tcPr>
            <w:tcW w:w="500" w:type="pct"/>
            <w:shd w:val="clear" w:color="auto" w:fill="auto"/>
            <w:vAlign w:val="center"/>
          </w:tcPr>
          <w:p w14:paraId="2A73AF1E" w14:textId="77777777" w:rsidR="00FA5565" w:rsidRDefault="00FA5565">
            <w:pPr>
              <w:rPr>
                <w:rFonts w:ascii="Times New Roman" w:hAnsi="Times New Roman"/>
                <w:sz w:val="20"/>
                <w:szCs w:val="20"/>
              </w:rPr>
            </w:pPr>
          </w:p>
        </w:tc>
        <w:tc>
          <w:tcPr>
            <w:tcW w:w="50" w:type="pct"/>
            <w:shd w:val="clear" w:color="auto" w:fill="auto"/>
            <w:vAlign w:val="center"/>
          </w:tcPr>
          <w:p w14:paraId="2A73AF1F" w14:textId="77777777" w:rsidR="00FA5565" w:rsidRDefault="00FA5565">
            <w:pPr>
              <w:rPr>
                <w:rFonts w:ascii="Times New Roman" w:hAnsi="Times New Roman"/>
                <w:sz w:val="20"/>
                <w:szCs w:val="20"/>
              </w:rPr>
            </w:pPr>
          </w:p>
        </w:tc>
      </w:tr>
      <w:tr w:rsidR="00FA5565" w14:paraId="2A73AF23" w14:textId="77777777">
        <w:tc>
          <w:tcPr>
            <w:tcW w:w="0" w:type="auto"/>
            <w:shd w:val="clear" w:color="auto" w:fill="auto"/>
            <w:tcMar>
              <w:top w:w="40" w:type="dxa"/>
              <w:left w:w="40" w:type="dxa"/>
              <w:bottom w:w="40" w:type="dxa"/>
              <w:right w:w="40" w:type="dxa"/>
            </w:tcMar>
            <w:vAlign w:val="bottom"/>
          </w:tcPr>
          <w:p w14:paraId="2A73AF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2A73AF2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r>
      <w:tr w:rsidR="00FA5565" w14:paraId="2A73AF2F" w14:textId="77777777">
        <w:tc>
          <w:tcPr>
            <w:tcW w:w="0" w:type="auto"/>
            <w:shd w:val="clear" w:color="auto" w:fill="auto"/>
            <w:tcMar>
              <w:top w:w="40" w:type="dxa"/>
              <w:left w:w="40" w:type="dxa"/>
              <w:bottom w:w="40" w:type="dxa"/>
              <w:right w:w="40" w:type="dxa"/>
            </w:tcMar>
            <w:vAlign w:val="bottom"/>
          </w:tcPr>
          <w:p w14:paraId="2A73AF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F2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Fair Value of</w:t>
            </w:r>
          </w:p>
          <w:p w14:paraId="2A73AF2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Derivatives Designated</w:t>
            </w:r>
          </w:p>
          <w:p w14:paraId="2A73AF2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as Hedge Instruments</w:t>
            </w:r>
          </w:p>
        </w:tc>
        <w:tc>
          <w:tcPr>
            <w:tcW w:w="0" w:type="auto"/>
            <w:shd w:val="clear" w:color="auto" w:fill="auto"/>
            <w:tcMar>
              <w:top w:w="40" w:type="dxa"/>
              <w:left w:w="40" w:type="dxa"/>
              <w:bottom w:w="40" w:type="dxa"/>
              <w:right w:w="40" w:type="dxa"/>
            </w:tcMar>
            <w:vAlign w:val="bottom"/>
          </w:tcPr>
          <w:p w14:paraId="2A73AF2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F2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Fair Value of</w:t>
            </w:r>
          </w:p>
          <w:p w14:paraId="2A73AF2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Derivatives Not </w:t>
            </w:r>
            <w:r>
              <w:rPr>
                <w:rFonts w:ascii="Helvetica" w:eastAsia="Helvetica" w:hAnsi="Helvetica" w:cs="Helvetica"/>
                <w:b/>
                <w:bCs/>
                <w:sz w:val="16"/>
                <w:szCs w:val="16"/>
              </w:rPr>
              <w:t>Designated</w:t>
            </w:r>
          </w:p>
          <w:p w14:paraId="2A73AF2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as Hedge Instruments</w:t>
            </w:r>
          </w:p>
        </w:tc>
        <w:tc>
          <w:tcPr>
            <w:tcW w:w="0" w:type="auto"/>
            <w:shd w:val="clear" w:color="auto" w:fill="auto"/>
            <w:tcMar>
              <w:top w:w="40" w:type="dxa"/>
              <w:left w:w="40" w:type="dxa"/>
              <w:bottom w:w="40" w:type="dxa"/>
              <w:right w:w="40" w:type="dxa"/>
            </w:tcMar>
            <w:vAlign w:val="bottom"/>
          </w:tcPr>
          <w:p w14:paraId="2A73AF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F2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Total</w:t>
            </w:r>
          </w:p>
          <w:p w14:paraId="2A73AF2E"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Fair Value</w:t>
            </w:r>
          </w:p>
        </w:tc>
      </w:tr>
      <w:tr w:rsidR="00FA5565" w14:paraId="2A73AF36" w14:textId="77777777">
        <w:tc>
          <w:tcPr>
            <w:tcW w:w="0" w:type="auto"/>
            <w:shd w:val="clear" w:color="auto" w:fill="auto"/>
            <w:tcMar>
              <w:top w:w="40" w:type="dxa"/>
              <w:left w:w="40" w:type="dxa"/>
              <w:bottom w:w="40" w:type="dxa"/>
              <w:right w:w="40" w:type="dxa"/>
            </w:tcMar>
            <w:vAlign w:val="bottom"/>
          </w:tcPr>
          <w:p w14:paraId="2A73AF3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Derivative assets (1):</w:t>
            </w:r>
          </w:p>
        </w:tc>
        <w:tc>
          <w:tcPr>
            <w:tcW w:w="0" w:type="auto"/>
            <w:gridSpan w:val="3"/>
            <w:shd w:val="clear" w:color="auto" w:fill="auto"/>
            <w:tcMar>
              <w:top w:w="40" w:type="dxa"/>
              <w:left w:w="40" w:type="dxa"/>
              <w:bottom w:w="40" w:type="dxa"/>
              <w:right w:w="40" w:type="dxa"/>
            </w:tcMar>
            <w:vAlign w:val="bottom"/>
          </w:tcPr>
          <w:p w14:paraId="2A73AF3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F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F3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F3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F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F43" w14:textId="77777777">
        <w:tc>
          <w:tcPr>
            <w:tcW w:w="0" w:type="auto"/>
            <w:shd w:val="clear" w:color="auto" w:fill="EFEFEF"/>
            <w:tcMar>
              <w:top w:w="40" w:type="dxa"/>
              <w:left w:w="560" w:type="dxa"/>
              <w:bottom w:w="40" w:type="dxa"/>
              <w:right w:w="40" w:type="dxa"/>
            </w:tcMar>
          </w:tcPr>
          <w:p w14:paraId="2A73AF3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2A73AF3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3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1,798</w:t>
            </w:r>
          </w:p>
        </w:tc>
        <w:tc>
          <w:tcPr>
            <w:tcW w:w="0" w:type="auto"/>
            <w:shd w:val="clear" w:color="auto" w:fill="EFEFEF"/>
            <w:vAlign w:val="bottom"/>
          </w:tcPr>
          <w:p w14:paraId="2A73AF3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F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F3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3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323</w:t>
            </w:r>
          </w:p>
        </w:tc>
        <w:tc>
          <w:tcPr>
            <w:tcW w:w="0" w:type="auto"/>
            <w:shd w:val="clear" w:color="auto" w:fill="EFEFEF"/>
            <w:vAlign w:val="bottom"/>
          </w:tcPr>
          <w:p w14:paraId="2A73AF3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F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F4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4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2,121</w:t>
            </w:r>
          </w:p>
        </w:tc>
        <w:tc>
          <w:tcPr>
            <w:tcW w:w="0" w:type="auto"/>
            <w:shd w:val="clear" w:color="auto" w:fill="EFEFEF"/>
            <w:vAlign w:val="bottom"/>
          </w:tcPr>
          <w:p w14:paraId="2A73AF42" w14:textId="77777777" w:rsidR="00FA5565" w:rsidRDefault="00FA5565">
            <w:pPr>
              <w:textAlignment w:val="bottom"/>
              <w:rPr>
                <w:rFonts w:ascii="Times New Roman" w:hAnsi="Times New Roman"/>
                <w:sz w:val="20"/>
                <w:szCs w:val="20"/>
              </w:rPr>
            </w:pPr>
          </w:p>
        </w:tc>
      </w:tr>
      <w:tr w:rsidR="00FA5565" w14:paraId="2A73AF50" w14:textId="77777777">
        <w:tc>
          <w:tcPr>
            <w:tcW w:w="0" w:type="auto"/>
            <w:shd w:val="clear" w:color="auto" w:fill="auto"/>
            <w:tcMar>
              <w:top w:w="40" w:type="dxa"/>
              <w:left w:w="560" w:type="dxa"/>
              <w:bottom w:w="40" w:type="dxa"/>
              <w:right w:w="40" w:type="dxa"/>
            </w:tcMar>
          </w:tcPr>
          <w:p w14:paraId="2A73AF4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Interest rate contracts</w:t>
            </w:r>
          </w:p>
        </w:tc>
        <w:tc>
          <w:tcPr>
            <w:tcW w:w="0" w:type="auto"/>
            <w:shd w:val="clear" w:color="auto" w:fill="auto"/>
            <w:tcMar>
              <w:top w:w="40" w:type="dxa"/>
              <w:left w:w="40" w:type="dxa"/>
              <w:bottom w:w="40" w:type="dxa"/>
            </w:tcMar>
            <w:vAlign w:val="bottom"/>
          </w:tcPr>
          <w:p w14:paraId="2A73AF4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F4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685</w:t>
            </w:r>
          </w:p>
        </w:tc>
        <w:tc>
          <w:tcPr>
            <w:tcW w:w="0" w:type="auto"/>
            <w:shd w:val="clear" w:color="auto" w:fill="auto"/>
            <w:vAlign w:val="bottom"/>
          </w:tcPr>
          <w:p w14:paraId="2A73AF4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F4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F4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F4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2A73AF4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F4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F4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F4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685</w:t>
            </w:r>
          </w:p>
        </w:tc>
        <w:tc>
          <w:tcPr>
            <w:tcW w:w="0" w:type="auto"/>
            <w:shd w:val="clear" w:color="auto" w:fill="auto"/>
            <w:vAlign w:val="bottom"/>
          </w:tcPr>
          <w:p w14:paraId="2A73AF4F" w14:textId="77777777" w:rsidR="00FA5565" w:rsidRDefault="00FA5565">
            <w:pPr>
              <w:textAlignment w:val="bottom"/>
              <w:rPr>
                <w:rFonts w:ascii="Times New Roman" w:hAnsi="Times New Roman"/>
                <w:sz w:val="20"/>
                <w:szCs w:val="20"/>
              </w:rPr>
            </w:pPr>
          </w:p>
        </w:tc>
      </w:tr>
      <w:tr w:rsidR="00FA5565" w14:paraId="2A73AF57" w14:textId="77777777">
        <w:tc>
          <w:tcPr>
            <w:tcW w:w="0" w:type="auto"/>
            <w:shd w:val="clear" w:color="auto" w:fill="EFEFEF"/>
            <w:tcMar>
              <w:top w:w="40" w:type="dxa"/>
              <w:left w:w="40" w:type="dxa"/>
              <w:bottom w:w="40" w:type="dxa"/>
              <w:right w:w="40" w:type="dxa"/>
            </w:tcMar>
            <w:vAlign w:val="bottom"/>
          </w:tcPr>
          <w:p w14:paraId="2A73AF5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F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F5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F5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F5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F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F5E" w14:textId="77777777">
        <w:tc>
          <w:tcPr>
            <w:tcW w:w="0" w:type="auto"/>
            <w:shd w:val="clear" w:color="auto" w:fill="auto"/>
            <w:tcMar>
              <w:top w:w="40" w:type="dxa"/>
              <w:left w:w="40" w:type="dxa"/>
              <w:bottom w:w="40" w:type="dxa"/>
              <w:right w:w="40" w:type="dxa"/>
            </w:tcMar>
            <w:vAlign w:val="bottom"/>
          </w:tcPr>
          <w:p w14:paraId="2A73AF5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Derivative liabilities (2):</w:t>
            </w:r>
          </w:p>
        </w:tc>
        <w:tc>
          <w:tcPr>
            <w:tcW w:w="0" w:type="auto"/>
            <w:gridSpan w:val="3"/>
            <w:shd w:val="clear" w:color="auto" w:fill="auto"/>
            <w:tcMar>
              <w:top w:w="40" w:type="dxa"/>
              <w:left w:w="40" w:type="dxa"/>
              <w:bottom w:w="40" w:type="dxa"/>
              <w:right w:w="40" w:type="dxa"/>
            </w:tcMar>
            <w:vAlign w:val="bottom"/>
          </w:tcPr>
          <w:p w14:paraId="2A73AF5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F5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F5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F5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F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F6B" w14:textId="77777777">
        <w:tc>
          <w:tcPr>
            <w:tcW w:w="0" w:type="auto"/>
            <w:shd w:val="clear" w:color="auto" w:fill="EFEFEF"/>
            <w:tcMar>
              <w:top w:w="40" w:type="dxa"/>
              <w:left w:w="560" w:type="dxa"/>
              <w:bottom w:w="40" w:type="dxa"/>
              <w:right w:w="40" w:type="dxa"/>
            </w:tcMar>
          </w:tcPr>
          <w:p w14:paraId="2A73AF5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2A73AF6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6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1,341</w:t>
            </w:r>
          </w:p>
        </w:tc>
        <w:tc>
          <w:tcPr>
            <w:tcW w:w="0" w:type="auto"/>
            <w:shd w:val="clear" w:color="auto" w:fill="EFEFEF"/>
            <w:vAlign w:val="bottom"/>
          </w:tcPr>
          <w:p w14:paraId="2A73AF6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F6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F6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6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160</w:t>
            </w:r>
          </w:p>
        </w:tc>
        <w:tc>
          <w:tcPr>
            <w:tcW w:w="0" w:type="auto"/>
            <w:shd w:val="clear" w:color="auto" w:fill="EFEFEF"/>
            <w:vAlign w:val="bottom"/>
          </w:tcPr>
          <w:p w14:paraId="2A73AF6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F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F6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6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1,501</w:t>
            </w:r>
          </w:p>
        </w:tc>
        <w:tc>
          <w:tcPr>
            <w:tcW w:w="0" w:type="auto"/>
            <w:shd w:val="clear" w:color="auto" w:fill="EFEFEF"/>
            <w:vAlign w:val="bottom"/>
          </w:tcPr>
          <w:p w14:paraId="2A73AF6A" w14:textId="77777777" w:rsidR="00FA5565" w:rsidRDefault="00FA5565">
            <w:pPr>
              <w:textAlignment w:val="bottom"/>
              <w:rPr>
                <w:rFonts w:ascii="Times New Roman" w:hAnsi="Times New Roman"/>
                <w:sz w:val="20"/>
                <w:szCs w:val="20"/>
              </w:rPr>
            </w:pPr>
          </w:p>
        </w:tc>
      </w:tr>
      <w:tr w:rsidR="00FA5565" w14:paraId="2A73AF78" w14:textId="77777777">
        <w:tc>
          <w:tcPr>
            <w:tcW w:w="0" w:type="auto"/>
            <w:shd w:val="clear" w:color="auto" w:fill="auto"/>
            <w:tcMar>
              <w:top w:w="40" w:type="dxa"/>
              <w:left w:w="560" w:type="dxa"/>
              <w:bottom w:w="40" w:type="dxa"/>
              <w:right w:w="40" w:type="dxa"/>
            </w:tcMar>
          </w:tcPr>
          <w:p w14:paraId="2A73AF6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Interest rate contracts</w:t>
            </w:r>
          </w:p>
        </w:tc>
        <w:tc>
          <w:tcPr>
            <w:tcW w:w="0" w:type="auto"/>
            <w:shd w:val="clear" w:color="auto" w:fill="auto"/>
            <w:tcMar>
              <w:top w:w="40" w:type="dxa"/>
              <w:left w:w="40" w:type="dxa"/>
              <w:bottom w:w="40" w:type="dxa"/>
            </w:tcMar>
            <w:vAlign w:val="bottom"/>
          </w:tcPr>
          <w:p w14:paraId="2A73AF6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F6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105</w:t>
            </w:r>
          </w:p>
        </w:tc>
        <w:tc>
          <w:tcPr>
            <w:tcW w:w="0" w:type="auto"/>
            <w:shd w:val="clear" w:color="auto" w:fill="auto"/>
            <w:vAlign w:val="bottom"/>
          </w:tcPr>
          <w:p w14:paraId="2A73AF6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F7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F7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F7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2A73AF7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F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F7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F7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105</w:t>
            </w:r>
          </w:p>
        </w:tc>
        <w:tc>
          <w:tcPr>
            <w:tcW w:w="0" w:type="auto"/>
            <w:shd w:val="clear" w:color="auto" w:fill="auto"/>
            <w:vAlign w:val="bottom"/>
          </w:tcPr>
          <w:p w14:paraId="2A73AF77" w14:textId="77777777" w:rsidR="00FA5565" w:rsidRDefault="00FA5565">
            <w:pPr>
              <w:textAlignment w:val="bottom"/>
              <w:rPr>
                <w:rFonts w:ascii="Times New Roman" w:hAnsi="Times New Roman"/>
                <w:sz w:val="20"/>
                <w:szCs w:val="20"/>
              </w:rPr>
            </w:pPr>
          </w:p>
        </w:tc>
      </w:tr>
    </w:tbl>
    <w:p w14:paraId="2A73AF79" w14:textId="77777777" w:rsidR="00FA5565" w:rsidRDefault="00FA5565">
      <w:pPr>
        <w:rPr>
          <w:vanish/>
        </w:rPr>
      </w:pPr>
    </w:p>
    <w:tbl>
      <w:tblPr>
        <w:tblW w:w="5000" w:type="pct"/>
        <w:tblCellMar>
          <w:left w:w="0" w:type="dxa"/>
          <w:right w:w="0" w:type="dxa"/>
        </w:tblCellMar>
        <w:tblLook w:val="04A0" w:firstRow="1" w:lastRow="0" w:firstColumn="1" w:lastColumn="0" w:noHBand="0" w:noVBand="1"/>
      </w:tblPr>
      <w:tblGrid>
        <w:gridCol w:w="3699"/>
        <w:gridCol w:w="142"/>
        <w:gridCol w:w="1373"/>
        <w:gridCol w:w="52"/>
        <w:gridCol w:w="130"/>
        <w:gridCol w:w="142"/>
        <w:gridCol w:w="1614"/>
        <w:gridCol w:w="45"/>
        <w:gridCol w:w="130"/>
        <w:gridCol w:w="141"/>
        <w:gridCol w:w="793"/>
        <w:gridCol w:w="45"/>
      </w:tblGrid>
      <w:tr w:rsidR="00FA5565" w14:paraId="2A73AF7B" w14:textId="77777777">
        <w:tc>
          <w:tcPr>
            <w:tcW w:w="0" w:type="auto"/>
            <w:gridSpan w:val="12"/>
            <w:shd w:val="clear" w:color="auto" w:fill="auto"/>
            <w:vAlign w:val="center"/>
          </w:tcPr>
          <w:p w14:paraId="2A73AF7A" w14:textId="77777777" w:rsidR="00FA5565" w:rsidRDefault="00FA5565">
            <w:pPr>
              <w:rPr>
                <w:rFonts w:ascii="Times New Roman" w:hAnsi="Times New Roman"/>
                <w:sz w:val="20"/>
                <w:szCs w:val="20"/>
              </w:rPr>
            </w:pPr>
          </w:p>
        </w:tc>
      </w:tr>
      <w:tr w:rsidR="00FA5565" w14:paraId="2A73AF88" w14:textId="77777777">
        <w:tc>
          <w:tcPr>
            <w:tcW w:w="2250" w:type="pct"/>
            <w:shd w:val="clear" w:color="auto" w:fill="auto"/>
            <w:vAlign w:val="center"/>
          </w:tcPr>
          <w:p w14:paraId="2A73AF7C" w14:textId="77777777" w:rsidR="00FA5565" w:rsidRDefault="00FA5565">
            <w:pPr>
              <w:rPr>
                <w:rFonts w:ascii="Times New Roman" w:hAnsi="Times New Roman"/>
                <w:sz w:val="20"/>
                <w:szCs w:val="20"/>
              </w:rPr>
            </w:pPr>
          </w:p>
        </w:tc>
        <w:tc>
          <w:tcPr>
            <w:tcW w:w="50" w:type="pct"/>
            <w:shd w:val="clear" w:color="auto" w:fill="auto"/>
            <w:vAlign w:val="center"/>
          </w:tcPr>
          <w:p w14:paraId="2A73AF7D" w14:textId="77777777" w:rsidR="00FA5565" w:rsidRDefault="00FA5565">
            <w:pPr>
              <w:rPr>
                <w:rFonts w:ascii="Times New Roman" w:hAnsi="Times New Roman"/>
                <w:sz w:val="20"/>
                <w:szCs w:val="20"/>
              </w:rPr>
            </w:pPr>
          </w:p>
        </w:tc>
        <w:tc>
          <w:tcPr>
            <w:tcW w:w="850" w:type="pct"/>
            <w:shd w:val="clear" w:color="auto" w:fill="auto"/>
            <w:vAlign w:val="center"/>
          </w:tcPr>
          <w:p w14:paraId="2A73AF7E" w14:textId="77777777" w:rsidR="00FA5565" w:rsidRDefault="00FA5565">
            <w:pPr>
              <w:rPr>
                <w:rFonts w:ascii="Times New Roman" w:hAnsi="Times New Roman"/>
                <w:sz w:val="20"/>
                <w:szCs w:val="20"/>
              </w:rPr>
            </w:pPr>
          </w:p>
        </w:tc>
        <w:tc>
          <w:tcPr>
            <w:tcW w:w="50" w:type="pct"/>
            <w:shd w:val="clear" w:color="auto" w:fill="auto"/>
            <w:vAlign w:val="center"/>
          </w:tcPr>
          <w:p w14:paraId="2A73AF7F" w14:textId="77777777" w:rsidR="00FA5565" w:rsidRDefault="00FA5565">
            <w:pPr>
              <w:rPr>
                <w:rFonts w:ascii="Times New Roman" w:hAnsi="Times New Roman"/>
                <w:sz w:val="20"/>
                <w:szCs w:val="20"/>
              </w:rPr>
            </w:pPr>
          </w:p>
        </w:tc>
        <w:tc>
          <w:tcPr>
            <w:tcW w:w="50" w:type="pct"/>
            <w:shd w:val="clear" w:color="auto" w:fill="auto"/>
            <w:vAlign w:val="center"/>
          </w:tcPr>
          <w:p w14:paraId="2A73AF80" w14:textId="77777777" w:rsidR="00FA5565" w:rsidRDefault="00FA5565">
            <w:pPr>
              <w:rPr>
                <w:rFonts w:ascii="Times New Roman" w:hAnsi="Times New Roman"/>
                <w:sz w:val="20"/>
                <w:szCs w:val="20"/>
              </w:rPr>
            </w:pPr>
          </w:p>
        </w:tc>
        <w:tc>
          <w:tcPr>
            <w:tcW w:w="50" w:type="pct"/>
            <w:shd w:val="clear" w:color="auto" w:fill="auto"/>
            <w:vAlign w:val="center"/>
          </w:tcPr>
          <w:p w14:paraId="2A73AF81" w14:textId="77777777" w:rsidR="00FA5565" w:rsidRDefault="00FA5565">
            <w:pPr>
              <w:rPr>
                <w:rFonts w:ascii="Times New Roman" w:hAnsi="Times New Roman"/>
                <w:sz w:val="20"/>
                <w:szCs w:val="20"/>
              </w:rPr>
            </w:pPr>
          </w:p>
        </w:tc>
        <w:tc>
          <w:tcPr>
            <w:tcW w:w="1000" w:type="pct"/>
            <w:shd w:val="clear" w:color="auto" w:fill="auto"/>
            <w:vAlign w:val="center"/>
          </w:tcPr>
          <w:p w14:paraId="2A73AF82" w14:textId="77777777" w:rsidR="00FA5565" w:rsidRDefault="00FA5565">
            <w:pPr>
              <w:rPr>
                <w:rFonts w:ascii="Times New Roman" w:hAnsi="Times New Roman"/>
                <w:sz w:val="20"/>
                <w:szCs w:val="20"/>
              </w:rPr>
            </w:pPr>
          </w:p>
        </w:tc>
        <w:tc>
          <w:tcPr>
            <w:tcW w:w="50" w:type="pct"/>
            <w:shd w:val="clear" w:color="auto" w:fill="auto"/>
            <w:vAlign w:val="center"/>
          </w:tcPr>
          <w:p w14:paraId="2A73AF83" w14:textId="77777777" w:rsidR="00FA5565" w:rsidRDefault="00FA5565">
            <w:pPr>
              <w:rPr>
                <w:rFonts w:ascii="Times New Roman" w:hAnsi="Times New Roman"/>
                <w:sz w:val="20"/>
                <w:szCs w:val="20"/>
              </w:rPr>
            </w:pPr>
          </w:p>
        </w:tc>
        <w:tc>
          <w:tcPr>
            <w:tcW w:w="50" w:type="pct"/>
            <w:shd w:val="clear" w:color="auto" w:fill="auto"/>
            <w:vAlign w:val="center"/>
          </w:tcPr>
          <w:p w14:paraId="2A73AF84" w14:textId="77777777" w:rsidR="00FA5565" w:rsidRDefault="00FA5565">
            <w:pPr>
              <w:rPr>
                <w:rFonts w:ascii="Times New Roman" w:hAnsi="Times New Roman"/>
                <w:sz w:val="20"/>
                <w:szCs w:val="20"/>
              </w:rPr>
            </w:pPr>
          </w:p>
        </w:tc>
        <w:tc>
          <w:tcPr>
            <w:tcW w:w="50" w:type="pct"/>
            <w:shd w:val="clear" w:color="auto" w:fill="auto"/>
            <w:vAlign w:val="center"/>
          </w:tcPr>
          <w:p w14:paraId="2A73AF85" w14:textId="77777777" w:rsidR="00FA5565" w:rsidRDefault="00FA5565">
            <w:pPr>
              <w:rPr>
                <w:rFonts w:ascii="Times New Roman" w:hAnsi="Times New Roman"/>
                <w:sz w:val="20"/>
                <w:szCs w:val="20"/>
              </w:rPr>
            </w:pPr>
          </w:p>
        </w:tc>
        <w:tc>
          <w:tcPr>
            <w:tcW w:w="500" w:type="pct"/>
            <w:shd w:val="clear" w:color="auto" w:fill="auto"/>
            <w:vAlign w:val="center"/>
          </w:tcPr>
          <w:p w14:paraId="2A73AF86" w14:textId="77777777" w:rsidR="00FA5565" w:rsidRDefault="00FA5565">
            <w:pPr>
              <w:rPr>
                <w:rFonts w:ascii="Times New Roman" w:hAnsi="Times New Roman"/>
                <w:sz w:val="20"/>
                <w:szCs w:val="20"/>
              </w:rPr>
            </w:pPr>
          </w:p>
        </w:tc>
        <w:tc>
          <w:tcPr>
            <w:tcW w:w="50" w:type="pct"/>
            <w:shd w:val="clear" w:color="auto" w:fill="auto"/>
            <w:vAlign w:val="center"/>
          </w:tcPr>
          <w:p w14:paraId="2A73AF87" w14:textId="77777777" w:rsidR="00FA5565" w:rsidRDefault="00FA5565">
            <w:pPr>
              <w:rPr>
                <w:rFonts w:ascii="Times New Roman" w:hAnsi="Times New Roman"/>
                <w:sz w:val="20"/>
                <w:szCs w:val="20"/>
              </w:rPr>
            </w:pPr>
          </w:p>
        </w:tc>
      </w:tr>
      <w:tr w:rsidR="00FA5565" w14:paraId="2A73AF8B" w14:textId="77777777">
        <w:tc>
          <w:tcPr>
            <w:tcW w:w="0" w:type="auto"/>
            <w:shd w:val="clear" w:color="auto" w:fill="auto"/>
            <w:tcMar>
              <w:top w:w="40" w:type="dxa"/>
              <w:left w:w="40" w:type="dxa"/>
              <w:bottom w:w="40" w:type="dxa"/>
              <w:right w:w="40" w:type="dxa"/>
            </w:tcMar>
            <w:vAlign w:val="bottom"/>
          </w:tcPr>
          <w:p w14:paraId="2A73AF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2A73AF8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r>
      <w:tr w:rsidR="00FA5565" w14:paraId="2A73AF97" w14:textId="77777777">
        <w:tc>
          <w:tcPr>
            <w:tcW w:w="0" w:type="auto"/>
            <w:shd w:val="clear" w:color="auto" w:fill="auto"/>
            <w:tcMar>
              <w:top w:w="40" w:type="dxa"/>
              <w:left w:w="40" w:type="dxa"/>
              <w:bottom w:w="40" w:type="dxa"/>
              <w:right w:w="40" w:type="dxa"/>
            </w:tcMar>
            <w:vAlign w:val="bottom"/>
          </w:tcPr>
          <w:p w14:paraId="2A73AF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F8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Fair Value of</w:t>
            </w:r>
          </w:p>
          <w:p w14:paraId="2A73AF8E"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Derivatives Designated</w:t>
            </w:r>
          </w:p>
          <w:p w14:paraId="2A73AF8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as Hedge Instruments</w:t>
            </w:r>
          </w:p>
        </w:tc>
        <w:tc>
          <w:tcPr>
            <w:tcW w:w="0" w:type="auto"/>
            <w:shd w:val="clear" w:color="auto" w:fill="auto"/>
            <w:tcMar>
              <w:top w:w="40" w:type="dxa"/>
              <w:left w:w="40" w:type="dxa"/>
              <w:bottom w:w="40" w:type="dxa"/>
              <w:right w:w="40" w:type="dxa"/>
            </w:tcMar>
            <w:vAlign w:val="bottom"/>
          </w:tcPr>
          <w:p w14:paraId="2A73AF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F9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Fair Value of</w:t>
            </w:r>
          </w:p>
          <w:p w14:paraId="2A73AF9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Derivatives Not Designated</w:t>
            </w:r>
          </w:p>
          <w:p w14:paraId="2A73AF9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as Hedge </w:t>
            </w:r>
            <w:r>
              <w:rPr>
                <w:rFonts w:ascii="Helvetica" w:eastAsia="Helvetica" w:hAnsi="Helvetica" w:cs="Helvetica"/>
                <w:b/>
                <w:bCs/>
                <w:sz w:val="16"/>
                <w:szCs w:val="16"/>
              </w:rPr>
              <w:t>Instruments</w:t>
            </w:r>
          </w:p>
        </w:tc>
        <w:tc>
          <w:tcPr>
            <w:tcW w:w="0" w:type="auto"/>
            <w:shd w:val="clear" w:color="auto" w:fill="auto"/>
            <w:tcMar>
              <w:top w:w="40" w:type="dxa"/>
              <w:left w:w="40" w:type="dxa"/>
              <w:bottom w:w="40" w:type="dxa"/>
              <w:right w:w="40" w:type="dxa"/>
            </w:tcMar>
            <w:vAlign w:val="bottom"/>
          </w:tcPr>
          <w:p w14:paraId="2A73AF9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F9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Total</w:t>
            </w:r>
          </w:p>
          <w:p w14:paraId="2A73AF9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Fair Value</w:t>
            </w:r>
          </w:p>
        </w:tc>
      </w:tr>
      <w:tr w:rsidR="00FA5565" w14:paraId="2A73AF9E" w14:textId="77777777">
        <w:tc>
          <w:tcPr>
            <w:tcW w:w="0" w:type="auto"/>
            <w:shd w:val="clear" w:color="auto" w:fill="auto"/>
            <w:tcMar>
              <w:top w:w="40" w:type="dxa"/>
              <w:left w:w="40" w:type="dxa"/>
              <w:bottom w:w="40" w:type="dxa"/>
              <w:right w:w="40" w:type="dxa"/>
            </w:tcMar>
            <w:vAlign w:val="bottom"/>
          </w:tcPr>
          <w:p w14:paraId="2A73AF9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Derivative assets (1):</w:t>
            </w:r>
          </w:p>
        </w:tc>
        <w:tc>
          <w:tcPr>
            <w:tcW w:w="0" w:type="auto"/>
            <w:gridSpan w:val="3"/>
            <w:shd w:val="clear" w:color="auto" w:fill="auto"/>
            <w:tcMar>
              <w:top w:w="40" w:type="dxa"/>
              <w:left w:w="40" w:type="dxa"/>
              <w:bottom w:w="40" w:type="dxa"/>
              <w:right w:w="40" w:type="dxa"/>
            </w:tcMar>
            <w:vAlign w:val="bottom"/>
          </w:tcPr>
          <w:p w14:paraId="2A73AF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F9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F9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F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F9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FAB" w14:textId="77777777">
        <w:tc>
          <w:tcPr>
            <w:tcW w:w="0" w:type="auto"/>
            <w:shd w:val="clear" w:color="auto" w:fill="EFEFEF"/>
            <w:tcMar>
              <w:top w:w="40" w:type="dxa"/>
              <w:left w:w="560" w:type="dxa"/>
              <w:bottom w:w="40" w:type="dxa"/>
              <w:right w:w="40" w:type="dxa"/>
            </w:tcMar>
          </w:tcPr>
          <w:p w14:paraId="2A73AF9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2A73AFA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A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1,015</w:t>
            </w:r>
          </w:p>
        </w:tc>
        <w:tc>
          <w:tcPr>
            <w:tcW w:w="0" w:type="auto"/>
            <w:shd w:val="clear" w:color="auto" w:fill="EFEFEF"/>
            <w:vAlign w:val="bottom"/>
          </w:tcPr>
          <w:p w14:paraId="2A73AFA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FA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FA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A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259</w:t>
            </w:r>
          </w:p>
        </w:tc>
        <w:tc>
          <w:tcPr>
            <w:tcW w:w="0" w:type="auto"/>
            <w:shd w:val="clear" w:color="auto" w:fill="EFEFEF"/>
            <w:vAlign w:val="bottom"/>
          </w:tcPr>
          <w:p w14:paraId="2A73AFA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FA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FA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A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1,274</w:t>
            </w:r>
          </w:p>
        </w:tc>
        <w:tc>
          <w:tcPr>
            <w:tcW w:w="0" w:type="auto"/>
            <w:shd w:val="clear" w:color="auto" w:fill="EFEFEF"/>
            <w:vAlign w:val="bottom"/>
          </w:tcPr>
          <w:p w14:paraId="2A73AFAA" w14:textId="77777777" w:rsidR="00FA5565" w:rsidRDefault="00FA5565">
            <w:pPr>
              <w:textAlignment w:val="bottom"/>
              <w:rPr>
                <w:rFonts w:ascii="Times New Roman" w:hAnsi="Times New Roman"/>
                <w:sz w:val="20"/>
                <w:szCs w:val="20"/>
              </w:rPr>
            </w:pPr>
          </w:p>
        </w:tc>
      </w:tr>
      <w:tr w:rsidR="00FA5565" w14:paraId="2A73AFB2" w14:textId="77777777">
        <w:tc>
          <w:tcPr>
            <w:tcW w:w="0" w:type="auto"/>
            <w:shd w:val="clear" w:color="auto" w:fill="auto"/>
            <w:tcMar>
              <w:top w:w="40" w:type="dxa"/>
              <w:left w:w="40" w:type="dxa"/>
              <w:bottom w:w="40" w:type="dxa"/>
              <w:right w:w="40" w:type="dxa"/>
            </w:tcMar>
            <w:vAlign w:val="bottom"/>
          </w:tcPr>
          <w:p w14:paraId="2A73AFA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FA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FA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FA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AFB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AF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FB9" w14:textId="77777777">
        <w:tc>
          <w:tcPr>
            <w:tcW w:w="0" w:type="auto"/>
            <w:shd w:val="clear" w:color="auto" w:fill="EFEFEF"/>
            <w:tcMar>
              <w:top w:w="40" w:type="dxa"/>
              <w:left w:w="40" w:type="dxa"/>
              <w:bottom w:w="40" w:type="dxa"/>
              <w:right w:w="40" w:type="dxa"/>
            </w:tcMar>
            <w:vAlign w:val="bottom"/>
          </w:tcPr>
          <w:p w14:paraId="2A73AFB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Derivative liabilities (2):</w:t>
            </w:r>
          </w:p>
        </w:tc>
        <w:tc>
          <w:tcPr>
            <w:tcW w:w="0" w:type="auto"/>
            <w:gridSpan w:val="3"/>
            <w:shd w:val="clear" w:color="auto" w:fill="EFEFEF"/>
            <w:tcMar>
              <w:top w:w="40" w:type="dxa"/>
              <w:left w:w="40" w:type="dxa"/>
              <w:bottom w:w="40" w:type="dxa"/>
              <w:right w:w="40" w:type="dxa"/>
            </w:tcMar>
            <w:vAlign w:val="bottom"/>
          </w:tcPr>
          <w:p w14:paraId="2A73AFB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FB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F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AFB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AFB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AFC6" w14:textId="77777777">
        <w:tc>
          <w:tcPr>
            <w:tcW w:w="0" w:type="auto"/>
            <w:shd w:val="clear" w:color="auto" w:fill="auto"/>
            <w:tcMar>
              <w:top w:w="40" w:type="dxa"/>
              <w:left w:w="560" w:type="dxa"/>
              <w:bottom w:w="40" w:type="dxa"/>
              <w:right w:w="40" w:type="dxa"/>
            </w:tcMar>
          </w:tcPr>
          <w:p w14:paraId="2A73AFB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auto"/>
            <w:tcMar>
              <w:top w:w="40" w:type="dxa"/>
              <w:left w:w="40" w:type="dxa"/>
              <w:bottom w:w="40" w:type="dxa"/>
            </w:tcMar>
            <w:vAlign w:val="bottom"/>
          </w:tcPr>
          <w:p w14:paraId="2A73AFB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FB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543</w:t>
            </w:r>
          </w:p>
        </w:tc>
        <w:tc>
          <w:tcPr>
            <w:tcW w:w="0" w:type="auto"/>
            <w:shd w:val="clear" w:color="auto" w:fill="auto"/>
            <w:vAlign w:val="bottom"/>
          </w:tcPr>
          <w:p w14:paraId="2A73AFB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F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FB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FC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137</w:t>
            </w:r>
          </w:p>
        </w:tc>
        <w:tc>
          <w:tcPr>
            <w:tcW w:w="0" w:type="auto"/>
            <w:shd w:val="clear" w:color="auto" w:fill="auto"/>
            <w:vAlign w:val="bottom"/>
          </w:tcPr>
          <w:p w14:paraId="2A73AFC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AFC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AFC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AFC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680</w:t>
            </w:r>
          </w:p>
        </w:tc>
        <w:tc>
          <w:tcPr>
            <w:tcW w:w="0" w:type="auto"/>
            <w:shd w:val="clear" w:color="auto" w:fill="auto"/>
            <w:vAlign w:val="bottom"/>
          </w:tcPr>
          <w:p w14:paraId="2A73AFC5" w14:textId="77777777" w:rsidR="00FA5565" w:rsidRDefault="00FA5565">
            <w:pPr>
              <w:textAlignment w:val="bottom"/>
              <w:rPr>
                <w:rFonts w:ascii="Times New Roman" w:hAnsi="Times New Roman"/>
                <w:sz w:val="20"/>
                <w:szCs w:val="20"/>
              </w:rPr>
            </w:pPr>
          </w:p>
        </w:tc>
      </w:tr>
      <w:tr w:rsidR="00FA5565" w14:paraId="2A73AFD3" w14:textId="77777777">
        <w:tc>
          <w:tcPr>
            <w:tcW w:w="0" w:type="auto"/>
            <w:shd w:val="clear" w:color="auto" w:fill="EFEFEF"/>
            <w:tcMar>
              <w:top w:w="40" w:type="dxa"/>
              <w:left w:w="560" w:type="dxa"/>
              <w:bottom w:w="40" w:type="dxa"/>
              <w:right w:w="40" w:type="dxa"/>
            </w:tcMar>
          </w:tcPr>
          <w:p w14:paraId="2A73AFC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Interest rate </w:t>
            </w:r>
            <w:r>
              <w:rPr>
                <w:rFonts w:ascii="Helvetica" w:eastAsia="Helvetica" w:hAnsi="Helvetica" w:cs="Helvetica"/>
                <w:sz w:val="18"/>
                <w:szCs w:val="18"/>
              </w:rPr>
              <w:t>contracts</w:t>
            </w:r>
          </w:p>
        </w:tc>
        <w:tc>
          <w:tcPr>
            <w:tcW w:w="0" w:type="auto"/>
            <w:shd w:val="clear" w:color="auto" w:fill="EFEFEF"/>
            <w:tcMar>
              <w:top w:w="40" w:type="dxa"/>
              <w:left w:w="40" w:type="dxa"/>
              <w:bottom w:w="40" w:type="dxa"/>
            </w:tcMar>
            <w:vAlign w:val="bottom"/>
          </w:tcPr>
          <w:p w14:paraId="2A73AFC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C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1,456</w:t>
            </w:r>
          </w:p>
        </w:tc>
        <w:tc>
          <w:tcPr>
            <w:tcW w:w="0" w:type="auto"/>
            <w:shd w:val="clear" w:color="auto" w:fill="EFEFEF"/>
            <w:vAlign w:val="bottom"/>
          </w:tcPr>
          <w:p w14:paraId="2A73AFC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F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FC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C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2A73AFC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AF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AFD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AFD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1,456</w:t>
            </w:r>
          </w:p>
        </w:tc>
        <w:tc>
          <w:tcPr>
            <w:tcW w:w="0" w:type="auto"/>
            <w:shd w:val="clear" w:color="auto" w:fill="EFEFEF"/>
            <w:vAlign w:val="bottom"/>
          </w:tcPr>
          <w:p w14:paraId="2A73AFD2" w14:textId="77777777" w:rsidR="00FA5565" w:rsidRDefault="00FA5565">
            <w:pPr>
              <w:textAlignment w:val="bottom"/>
              <w:rPr>
                <w:rFonts w:ascii="Times New Roman" w:hAnsi="Times New Roman"/>
                <w:sz w:val="20"/>
                <w:szCs w:val="20"/>
              </w:rPr>
            </w:pPr>
          </w:p>
        </w:tc>
      </w:tr>
    </w:tbl>
    <w:p w14:paraId="2A73AFD4"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2"/>
          <w:szCs w:val="12"/>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FD7" w14:textId="77777777">
        <w:trPr>
          <w:tblCellSpacing w:w="0" w:type="dxa"/>
        </w:trPr>
        <w:tc>
          <w:tcPr>
            <w:tcW w:w="960" w:type="dxa"/>
            <w:shd w:val="clear" w:color="auto" w:fill="auto"/>
            <w:vAlign w:val="center"/>
          </w:tcPr>
          <w:p w14:paraId="2A73AFD5" w14:textId="77777777" w:rsidR="00FA5565" w:rsidRDefault="00FA5565">
            <w:pPr>
              <w:rPr>
                <w:rFonts w:ascii="Times New Roman" w:hAnsi="Times New Roman"/>
                <w:sz w:val="20"/>
                <w:szCs w:val="20"/>
              </w:rPr>
            </w:pPr>
          </w:p>
        </w:tc>
        <w:tc>
          <w:tcPr>
            <w:tcW w:w="0" w:type="auto"/>
            <w:shd w:val="clear" w:color="auto" w:fill="auto"/>
            <w:vAlign w:val="center"/>
          </w:tcPr>
          <w:p w14:paraId="2A73AFD6" w14:textId="77777777" w:rsidR="00FA5565" w:rsidRDefault="00FA5565">
            <w:pPr>
              <w:rPr>
                <w:rFonts w:ascii="Times New Roman" w:hAnsi="Times New Roman"/>
                <w:sz w:val="20"/>
                <w:szCs w:val="20"/>
              </w:rPr>
            </w:pPr>
          </w:p>
        </w:tc>
      </w:tr>
      <w:tr w:rsidR="00FA5565" w14:paraId="2A73AFDA" w14:textId="77777777">
        <w:trPr>
          <w:tblCellSpacing w:w="0" w:type="dxa"/>
        </w:trPr>
        <w:tc>
          <w:tcPr>
            <w:tcW w:w="0" w:type="auto"/>
            <w:shd w:val="clear" w:color="auto" w:fill="auto"/>
          </w:tcPr>
          <w:p w14:paraId="2A73AFD8"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AFD9"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The fair value of derivative assets is measured using Level 2 fair value inputs and is recorded as other current assets and other non-current assets in the Consolidated Balance Sheets.</w:t>
            </w:r>
          </w:p>
        </w:tc>
      </w:tr>
    </w:tbl>
    <w:p w14:paraId="2A73AFDB"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AFDE" w14:textId="77777777">
        <w:trPr>
          <w:tblCellSpacing w:w="0" w:type="dxa"/>
        </w:trPr>
        <w:tc>
          <w:tcPr>
            <w:tcW w:w="960" w:type="dxa"/>
            <w:shd w:val="clear" w:color="auto" w:fill="auto"/>
            <w:vAlign w:val="center"/>
          </w:tcPr>
          <w:p w14:paraId="2A73AFDC" w14:textId="77777777" w:rsidR="00FA5565" w:rsidRDefault="00FA5565">
            <w:pPr>
              <w:rPr>
                <w:rFonts w:ascii="Times New Roman" w:hAnsi="Times New Roman"/>
                <w:sz w:val="20"/>
                <w:szCs w:val="20"/>
              </w:rPr>
            </w:pPr>
          </w:p>
        </w:tc>
        <w:tc>
          <w:tcPr>
            <w:tcW w:w="0" w:type="auto"/>
            <w:shd w:val="clear" w:color="auto" w:fill="auto"/>
            <w:vAlign w:val="center"/>
          </w:tcPr>
          <w:p w14:paraId="2A73AFDD" w14:textId="77777777" w:rsidR="00FA5565" w:rsidRDefault="00FA5565">
            <w:pPr>
              <w:rPr>
                <w:rFonts w:ascii="Times New Roman" w:hAnsi="Times New Roman"/>
                <w:sz w:val="20"/>
                <w:szCs w:val="20"/>
              </w:rPr>
            </w:pPr>
          </w:p>
        </w:tc>
      </w:tr>
      <w:tr w:rsidR="00FA5565" w14:paraId="2A73AFE1" w14:textId="77777777">
        <w:trPr>
          <w:tblCellSpacing w:w="0" w:type="dxa"/>
        </w:trPr>
        <w:tc>
          <w:tcPr>
            <w:tcW w:w="0" w:type="auto"/>
            <w:shd w:val="clear" w:color="auto" w:fill="auto"/>
          </w:tcPr>
          <w:p w14:paraId="2A73AFDF"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(2)</w:t>
            </w:r>
          </w:p>
        </w:tc>
        <w:tc>
          <w:tcPr>
            <w:tcW w:w="0" w:type="auto"/>
            <w:shd w:val="clear" w:color="auto" w:fill="auto"/>
          </w:tcPr>
          <w:p w14:paraId="2A73AFE0"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The fair </w:t>
            </w:r>
            <w:r>
              <w:rPr>
                <w:rFonts w:ascii="Helvetica" w:eastAsia="Helvetica" w:hAnsi="Helvetica" w:cs="Helvetica"/>
                <w:sz w:val="16"/>
                <w:szCs w:val="16"/>
              </w:rPr>
              <w:t>value of derivative liabilities is measured using Level 2 fair value inputs and is recorded as other current liabilities and other non-current liabilities in the Consolidated Balance Sheets.</w:t>
            </w:r>
          </w:p>
        </w:tc>
      </w:tr>
    </w:tbl>
    <w:p w14:paraId="2A73AFE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classifies cash flows related to </w:t>
      </w:r>
      <w:r>
        <w:rPr>
          <w:rFonts w:ascii="Helvetica" w:eastAsia="Helvetica" w:hAnsi="Helvetica" w:cs="Helvetica"/>
          <w:sz w:val="18"/>
          <w:szCs w:val="18"/>
        </w:rPr>
        <w:t>derivative financial instruments as operating activities in its Consolidated Statements of Cash Flows.</w:t>
      </w:r>
    </w:p>
    <w:p w14:paraId="2A73AFE3" w14:textId="77777777" w:rsidR="00FA5565" w:rsidRDefault="00FA5565">
      <w:pPr>
        <w:rPr>
          <w:rFonts w:ascii="Times New Roman" w:hAnsi="Times New Roman"/>
          <w:sz w:val="20"/>
          <w:szCs w:val="20"/>
        </w:rPr>
      </w:pPr>
    </w:p>
    <w:p w14:paraId="2A73AFE4"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41</w:t>
      </w:r>
    </w:p>
    <w:p w14:paraId="2A73AFE5" w14:textId="77777777" w:rsidR="00FA5565" w:rsidRDefault="00D804D1">
      <w:r>
        <w:rPr>
          <w:rFonts w:ascii="Times New Roman" w:hAnsi="Times New Roman"/>
          <w:sz w:val="16"/>
          <w:szCs w:val="16"/>
        </w:rPr>
        <w:pict w14:anchorId="2A73C0C5">
          <v:rect id="_x0000_i1067" style="width:415.3pt;height:1.5pt" o:hralign="center" o:hrstd="t" o:hr="t" fillcolor="#a0a0a0" stroked="f"/>
        </w:pict>
      </w:r>
    </w:p>
    <w:p w14:paraId="2A73AFE6" w14:textId="77777777" w:rsidR="00FA5565" w:rsidRDefault="00FA5565">
      <w:pPr>
        <w:rPr>
          <w:rFonts w:ascii="Times New Roman" w:hAnsi="Times New Roman"/>
          <w:sz w:val="20"/>
          <w:szCs w:val="20"/>
        </w:rPr>
      </w:pPr>
    </w:p>
    <w:p w14:paraId="2A73AFE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 shows the pre-tax gains and losses of the Company’s derivative and non-derivative instruments de</w:t>
      </w:r>
      <w:r>
        <w:rPr>
          <w:rFonts w:ascii="Helvetica" w:eastAsia="Helvetica" w:hAnsi="Helvetica" w:cs="Helvetica"/>
          <w:sz w:val="18"/>
          <w:szCs w:val="18"/>
        </w:rPr>
        <w:t>signated as cash flow, net investment and fair value hedges in OCI and the Consolidated Statements of Operations for 2019, 2018 and 2017 (in millions):</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FA5565" w14:paraId="2A73AFE9" w14:textId="77777777">
        <w:tc>
          <w:tcPr>
            <w:tcW w:w="0" w:type="auto"/>
            <w:gridSpan w:val="12"/>
            <w:shd w:val="clear" w:color="auto" w:fill="auto"/>
            <w:vAlign w:val="center"/>
          </w:tcPr>
          <w:p w14:paraId="2A73AFE8" w14:textId="77777777" w:rsidR="00FA5565" w:rsidRDefault="00FA5565">
            <w:pPr>
              <w:rPr>
                <w:rFonts w:ascii="Times New Roman" w:hAnsi="Times New Roman"/>
                <w:sz w:val="20"/>
                <w:szCs w:val="20"/>
              </w:rPr>
            </w:pPr>
          </w:p>
        </w:tc>
      </w:tr>
      <w:tr w:rsidR="00FA5565" w14:paraId="2A73AFF6" w14:textId="77777777">
        <w:tc>
          <w:tcPr>
            <w:tcW w:w="2950" w:type="pct"/>
            <w:shd w:val="clear" w:color="auto" w:fill="auto"/>
            <w:vAlign w:val="center"/>
          </w:tcPr>
          <w:p w14:paraId="2A73AFEA" w14:textId="77777777" w:rsidR="00FA5565" w:rsidRDefault="00FA5565">
            <w:pPr>
              <w:rPr>
                <w:rFonts w:ascii="Times New Roman" w:hAnsi="Times New Roman"/>
                <w:sz w:val="20"/>
                <w:szCs w:val="20"/>
              </w:rPr>
            </w:pPr>
          </w:p>
        </w:tc>
        <w:tc>
          <w:tcPr>
            <w:tcW w:w="50" w:type="pct"/>
            <w:shd w:val="clear" w:color="auto" w:fill="auto"/>
            <w:vAlign w:val="center"/>
          </w:tcPr>
          <w:p w14:paraId="2A73AFEB" w14:textId="77777777" w:rsidR="00FA5565" w:rsidRDefault="00FA5565">
            <w:pPr>
              <w:rPr>
                <w:rFonts w:ascii="Times New Roman" w:hAnsi="Times New Roman"/>
                <w:sz w:val="20"/>
                <w:szCs w:val="20"/>
              </w:rPr>
            </w:pPr>
          </w:p>
        </w:tc>
        <w:tc>
          <w:tcPr>
            <w:tcW w:w="550" w:type="pct"/>
            <w:shd w:val="clear" w:color="auto" w:fill="auto"/>
            <w:vAlign w:val="center"/>
          </w:tcPr>
          <w:p w14:paraId="2A73AFEC" w14:textId="77777777" w:rsidR="00FA5565" w:rsidRDefault="00FA5565">
            <w:pPr>
              <w:rPr>
                <w:rFonts w:ascii="Times New Roman" w:hAnsi="Times New Roman"/>
                <w:sz w:val="20"/>
                <w:szCs w:val="20"/>
              </w:rPr>
            </w:pPr>
          </w:p>
        </w:tc>
        <w:tc>
          <w:tcPr>
            <w:tcW w:w="50" w:type="pct"/>
            <w:shd w:val="clear" w:color="auto" w:fill="auto"/>
            <w:vAlign w:val="center"/>
          </w:tcPr>
          <w:p w14:paraId="2A73AFED" w14:textId="77777777" w:rsidR="00FA5565" w:rsidRDefault="00FA5565">
            <w:pPr>
              <w:rPr>
                <w:rFonts w:ascii="Times New Roman" w:hAnsi="Times New Roman"/>
                <w:sz w:val="20"/>
                <w:szCs w:val="20"/>
              </w:rPr>
            </w:pPr>
          </w:p>
        </w:tc>
        <w:tc>
          <w:tcPr>
            <w:tcW w:w="50" w:type="pct"/>
            <w:shd w:val="clear" w:color="auto" w:fill="auto"/>
            <w:vAlign w:val="center"/>
          </w:tcPr>
          <w:p w14:paraId="2A73AFEE" w14:textId="77777777" w:rsidR="00FA5565" w:rsidRDefault="00FA5565">
            <w:pPr>
              <w:rPr>
                <w:rFonts w:ascii="Times New Roman" w:hAnsi="Times New Roman"/>
                <w:sz w:val="20"/>
                <w:szCs w:val="20"/>
              </w:rPr>
            </w:pPr>
          </w:p>
        </w:tc>
        <w:tc>
          <w:tcPr>
            <w:tcW w:w="50" w:type="pct"/>
            <w:shd w:val="clear" w:color="auto" w:fill="auto"/>
            <w:vAlign w:val="center"/>
          </w:tcPr>
          <w:p w14:paraId="2A73AFEF" w14:textId="77777777" w:rsidR="00FA5565" w:rsidRDefault="00FA5565">
            <w:pPr>
              <w:rPr>
                <w:rFonts w:ascii="Times New Roman" w:hAnsi="Times New Roman"/>
                <w:sz w:val="20"/>
                <w:szCs w:val="20"/>
              </w:rPr>
            </w:pPr>
          </w:p>
        </w:tc>
        <w:tc>
          <w:tcPr>
            <w:tcW w:w="550" w:type="pct"/>
            <w:shd w:val="clear" w:color="auto" w:fill="auto"/>
            <w:vAlign w:val="center"/>
          </w:tcPr>
          <w:p w14:paraId="2A73AFF0" w14:textId="77777777" w:rsidR="00FA5565" w:rsidRDefault="00FA5565">
            <w:pPr>
              <w:rPr>
                <w:rFonts w:ascii="Times New Roman" w:hAnsi="Times New Roman"/>
                <w:sz w:val="20"/>
                <w:szCs w:val="20"/>
              </w:rPr>
            </w:pPr>
          </w:p>
        </w:tc>
        <w:tc>
          <w:tcPr>
            <w:tcW w:w="50" w:type="pct"/>
            <w:shd w:val="clear" w:color="auto" w:fill="auto"/>
            <w:vAlign w:val="center"/>
          </w:tcPr>
          <w:p w14:paraId="2A73AFF1" w14:textId="77777777" w:rsidR="00FA5565" w:rsidRDefault="00FA5565">
            <w:pPr>
              <w:rPr>
                <w:rFonts w:ascii="Times New Roman" w:hAnsi="Times New Roman"/>
                <w:sz w:val="20"/>
                <w:szCs w:val="20"/>
              </w:rPr>
            </w:pPr>
          </w:p>
        </w:tc>
        <w:tc>
          <w:tcPr>
            <w:tcW w:w="50" w:type="pct"/>
            <w:shd w:val="clear" w:color="auto" w:fill="auto"/>
            <w:vAlign w:val="center"/>
          </w:tcPr>
          <w:p w14:paraId="2A73AFF2" w14:textId="77777777" w:rsidR="00FA5565" w:rsidRDefault="00FA5565">
            <w:pPr>
              <w:rPr>
                <w:rFonts w:ascii="Times New Roman" w:hAnsi="Times New Roman"/>
                <w:sz w:val="20"/>
                <w:szCs w:val="20"/>
              </w:rPr>
            </w:pPr>
          </w:p>
        </w:tc>
        <w:tc>
          <w:tcPr>
            <w:tcW w:w="50" w:type="pct"/>
            <w:shd w:val="clear" w:color="auto" w:fill="auto"/>
            <w:vAlign w:val="center"/>
          </w:tcPr>
          <w:p w14:paraId="2A73AFF3" w14:textId="77777777" w:rsidR="00FA5565" w:rsidRDefault="00FA5565">
            <w:pPr>
              <w:rPr>
                <w:rFonts w:ascii="Times New Roman" w:hAnsi="Times New Roman"/>
                <w:sz w:val="20"/>
                <w:szCs w:val="20"/>
              </w:rPr>
            </w:pPr>
          </w:p>
        </w:tc>
        <w:tc>
          <w:tcPr>
            <w:tcW w:w="550" w:type="pct"/>
            <w:shd w:val="clear" w:color="auto" w:fill="auto"/>
            <w:vAlign w:val="center"/>
          </w:tcPr>
          <w:p w14:paraId="2A73AFF4" w14:textId="77777777" w:rsidR="00FA5565" w:rsidRDefault="00FA5565">
            <w:pPr>
              <w:rPr>
                <w:rFonts w:ascii="Times New Roman" w:hAnsi="Times New Roman"/>
                <w:sz w:val="20"/>
                <w:szCs w:val="20"/>
              </w:rPr>
            </w:pPr>
          </w:p>
        </w:tc>
        <w:tc>
          <w:tcPr>
            <w:tcW w:w="50" w:type="pct"/>
            <w:shd w:val="clear" w:color="auto" w:fill="auto"/>
            <w:vAlign w:val="center"/>
          </w:tcPr>
          <w:p w14:paraId="2A73AFF5" w14:textId="77777777" w:rsidR="00FA5565" w:rsidRDefault="00FA5565">
            <w:pPr>
              <w:rPr>
                <w:rFonts w:ascii="Times New Roman" w:hAnsi="Times New Roman"/>
                <w:sz w:val="20"/>
                <w:szCs w:val="20"/>
              </w:rPr>
            </w:pPr>
          </w:p>
        </w:tc>
      </w:tr>
      <w:tr w:rsidR="00FA5565" w14:paraId="2A73AFFD" w14:textId="77777777">
        <w:tc>
          <w:tcPr>
            <w:tcW w:w="0" w:type="auto"/>
            <w:shd w:val="clear" w:color="auto" w:fill="auto"/>
            <w:tcMar>
              <w:top w:w="40" w:type="dxa"/>
              <w:left w:w="40" w:type="dxa"/>
              <w:bottom w:w="40" w:type="dxa"/>
              <w:right w:w="40" w:type="dxa"/>
            </w:tcMar>
            <w:vAlign w:val="bottom"/>
          </w:tcPr>
          <w:p w14:paraId="2A73AFF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FF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AFF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FF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AF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AFF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004" w14:textId="77777777">
        <w:tc>
          <w:tcPr>
            <w:tcW w:w="0" w:type="auto"/>
            <w:shd w:val="clear" w:color="auto" w:fill="auto"/>
            <w:tcMar>
              <w:top w:w="40" w:type="dxa"/>
              <w:left w:w="40" w:type="dxa"/>
              <w:bottom w:w="40" w:type="dxa"/>
              <w:right w:w="40" w:type="dxa"/>
            </w:tcMar>
          </w:tcPr>
          <w:p w14:paraId="2A73AFF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Gains/(Losses) recognized in OCI – effective portion:</w:t>
            </w:r>
          </w:p>
        </w:tc>
        <w:tc>
          <w:tcPr>
            <w:tcW w:w="0" w:type="auto"/>
            <w:gridSpan w:val="3"/>
            <w:shd w:val="clear" w:color="auto" w:fill="auto"/>
            <w:tcMar>
              <w:top w:w="40" w:type="dxa"/>
              <w:left w:w="40" w:type="dxa"/>
              <w:bottom w:w="40" w:type="dxa"/>
              <w:right w:w="40" w:type="dxa"/>
            </w:tcMar>
            <w:vAlign w:val="bottom"/>
          </w:tcPr>
          <w:p w14:paraId="2A73AFF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0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0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0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0B" w14:textId="77777777">
        <w:tc>
          <w:tcPr>
            <w:tcW w:w="0" w:type="auto"/>
            <w:shd w:val="clear" w:color="auto" w:fill="EFEFEF"/>
            <w:tcMar>
              <w:top w:w="40" w:type="dxa"/>
              <w:left w:w="560" w:type="dxa"/>
              <w:bottom w:w="40" w:type="dxa"/>
              <w:right w:w="40" w:type="dxa"/>
            </w:tcMar>
          </w:tcPr>
          <w:p w14:paraId="2A73B00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Cash flow hedges:</w:t>
            </w:r>
          </w:p>
        </w:tc>
        <w:tc>
          <w:tcPr>
            <w:tcW w:w="0" w:type="auto"/>
            <w:gridSpan w:val="3"/>
            <w:shd w:val="clear" w:color="auto" w:fill="EFEFEF"/>
            <w:tcMar>
              <w:top w:w="40" w:type="dxa"/>
              <w:left w:w="40" w:type="dxa"/>
              <w:bottom w:w="40" w:type="dxa"/>
              <w:right w:w="40" w:type="dxa"/>
            </w:tcMar>
            <w:vAlign w:val="bottom"/>
          </w:tcPr>
          <w:p w14:paraId="2A73B0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00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00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0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18" w14:textId="77777777">
        <w:tc>
          <w:tcPr>
            <w:tcW w:w="0" w:type="auto"/>
            <w:shd w:val="clear" w:color="auto" w:fill="auto"/>
            <w:tcMar>
              <w:top w:w="40" w:type="dxa"/>
              <w:left w:w="1040" w:type="dxa"/>
              <w:bottom w:w="40" w:type="dxa"/>
              <w:right w:w="40" w:type="dxa"/>
            </w:tcMar>
          </w:tcPr>
          <w:p w14:paraId="2A73B00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auto"/>
            <w:tcMar>
              <w:top w:w="40" w:type="dxa"/>
              <w:left w:w="40" w:type="dxa"/>
              <w:bottom w:w="40" w:type="dxa"/>
            </w:tcMar>
            <w:vAlign w:val="bottom"/>
          </w:tcPr>
          <w:p w14:paraId="2A73B00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00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(959</w:t>
            </w:r>
          </w:p>
        </w:tc>
        <w:tc>
          <w:tcPr>
            <w:tcW w:w="0" w:type="auto"/>
            <w:shd w:val="clear" w:color="auto" w:fill="auto"/>
            <w:tcMar>
              <w:top w:w="40" w:type="dxa"/>
              <w:bottom w:w="40" w:type="dxa"/>
              <w:right w:w="40" w:type="dxa"/>
            </w:tcMar>
            <w:vAlign w:val="bottom"/>
          </w:tcPr>
          <w:p w14:paraId="2A73B00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0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01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01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682</w:t>
            </w:r>
          </w:p>
        </w:tc>
        <w:tc>
          <w:tcPr>
            <w:tcW w:w="0" w:type="auto"/>
            <w:shd w:val="clear" w:color="auto" w:fill="auto"/>
            <w:vAlign w:val="bottom"/>
          </w:tcPr>
          <w:p w14:paraId="2A73B01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01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01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01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1,797</w:t>
            </w:r>
          </w:p>
        </w:tc>
        <w:tc>
          <w:tcPr>
            <w:tcW w:w="0" w:type="auto"/>
            <w:shd w:val="clear" w:color="auto" w:fill="auto"/>
            <w:vAlign w:val="bottom"/>
          </w:tcPr>
          <w:p w14:paraId="2A73B017" w14:textId="77777777" w:rsidR="00FA5565" w:rsidRDefault="00FA5565">
            <w:pPr>
              <w:textAlignment w:val="bottom"/>
              <w:rPr>
                <w:rFonts w:ascii="Times New Roman" w:hAnsi="Times New Roman"/>
                <w:sz w:val="20"/>
                <w:szCs w:val="20"/>
              </w:rPr>
            </w:pPr>
          </w:p>
        </w:tc>
      </w:tr>
      <w:tr w:rsidR="00FA5565" w14:paraId="2A73B022" w14:textId="77777777">
        <w:tc>
          <w:tcPr>
            <w:tcW w:w="0" w:type="auto"/>
            <w:shd w:val="clear" w:color="auto" w:fill="EFEFEF"/>
            <w:tcMar>
              <w:top w:w="40" w:type="dxa"/>
              <w:left w:w="1040" w:type="dxa"/>
              <w:bottom w:w="40" w:type="dxa"/>
              <w:right w:w="40" w:type="dxa"/>
            </w:tcMar>
          </w:tcPr>
          <w:p w14:paraId="2A73B01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Interest rate contracts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01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EFEFEF"/>
            <w:vAlign w:val="bottom"/>
          </w:tcPr>
          <w:p w14:paraId="2A73B01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0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01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w:t>
            </w:r>
          </w:p>
        </w:tc>
        <w:tc>
          <w:tcPr>
            <w:tcW w:w="0" w:type="auto"/>
            <w:tcBorders>
              <w:bottom w:val="single" w:sz="8" w:space="0" w:color="000000"/>
            </w:tcBorders>
            <w:shd w:val="clear" w:color="auto" w:fill="EFEFEF"/>
            <w:vAlign w:val="bottom"/>
          </w:tcPr>
          <w:p w14:paraId="2A73B01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01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02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w:t>
            </w:r>
          </w:p>
        </w:tc>
        <w:tc>
          <w:tcPr>
            <w:tcW w:w="0" w:type="auto"/>
            <w:tcBorders>
              <w:bottom w:val="single" w:sz="8" w:space="0" w:color="000000"/>
            </w:tcBorders>
            <w:shd w:val="clear" w:color="auto" w:fill="EFEFEF"/>
            <w:vAlign w:val="bottom"/>
          </w:tcPr>
          <w:p w14:paraId="2A73B021" w14:textId="77777777" w:rsidR="00FA5565" w:rsidRDefault="00FA5565">
            <w:pPr>
              <w:textAlignment w:val="bottom"/>
              <w:rPr>
                <w:rFonts w:ascii="Times New Roman" w:hAnsi="Times New Roman"/>
                <w:sz w:val="20"/>
                <w:szCs w:val="20"/>
              </w:rPr>
            </w:pPr>
          </w:p>
        </w:tc>
      </w:tr>
      <w:tr w:rsidR="00FA5565" w14:paraId="2A73B02F" w14:textId="77777777">
        <w:tc>
          <w:tcPr>
            <w:tcW w:w="0" w:type="auto"/>
            <w:shd w:val="clear" w:color="auto" w:fill="auto"/>
            <w:tcMar>
              <w:top w:w="40" w:type="dxa"/>
              <w:left w:w="1520" w:type="dxa"/>
              <w:bottom w:w="40" w:type="dxa"/>
              <w:right w:w="40" w:type="dxa"/>
            </w:tcMar>
          </w:tcPr>
          <w:p w14:paraId="2A73B02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02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B02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(959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2A73B02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027" w14:textId="77777777" w:rsidR="00FA5565" w:rsidRDefault="00FA5565">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02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B02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683</w:t>
            </w:r>
          </w:p>
        </w:tc>
        <w:tc>
          <w:tcPr>
            <w:tcW w:w="0" w:type="auto"/>
            <w:tcBorders>
              <w:top w:val="single" w:sz="8" w:space="0" w:color="000000"/>
              <w:bottom w:val="double" w:sz="6" w:space="0" w:color="000000"/>
            </w:tcBorders>
            <w:shd w:val="clear" w:color="auto" w:fill="auto"/>
            <w:vAlign w:val="bottom"/>
          </w:tcPr>
          <w:p w14:paraId="2A73B02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02B" w14:textId="77777777" w:rsidR="00FA5565" w:rsidRDefault="00FA5565">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02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B02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1,804</w:t>
            </w:r>
          </w:p>
        </w:tc>
        <w:tc>
          <w:tcPr>
            <w:tcW w:w="0" w:type="auto"/>
            <w:tcBorders>
              <w:top w:val="single" w:sz="8" w:space="0" w:color="000000"/>
              <w:bottom w:val="double" w:sz="6" w:space="0" w:color="000000"/>
            </w:tcBorders>
            <w:shd w:val="clear" w:color="auto" w:fill="auto"/>
            <w:vAlign w:val="bottom"/>
          </w:tcPr>
          <w:p w14:paraId="2A73B02E" w14:textId="77777777" w:rsidR="00FA5565" w:rsidRDefault="00FA5565">
            <w:pPr>
              <w:textAlignment w:val="bottom"/>
              <w:rPr>
                <w:rFonts w:ascii="Times New Roman" w:hAnsi="Times New Roman"/>
                <w:sz w:val="20"/>
                <w:szCs w:val="20"/>
              </w:rPr>
            </w:pPr>
          </w:p>
        </w:tc>
      </w:tr>
      <w:tr w:rsidR="00FA5565" w14:paraId="2A73B036" w14:textId="77777777">
        <w:tc>
          <w:tcPr>
            <w:tcW w:w="0" w:type="auto"/>
            <w:shd w:val="clear" w:color="auto" w:fill="EFEFEF"/>
            <w:tcMar>
              <w:top w:w="40" w:type="dxa"/>
              <w:left w:w="40" w:type="dxa"/>
              <w:bottom w:w="40" w:type="dxa"/>
              <w:right w:w="40" w:type="dxa"/>
            </w:tcMar>
            <w:vAlign w:val="bottom"/>
          </w:tcPr>
          <w:p w14:paraId="2A73B03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3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0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3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03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3D" w14:textId="77777777">
        <w:tc>
          <w:tcPr>
            <w:tcW w:w="0" w:type="auto"/>
            <w:shd w:val="clear" w:color="auto" w:fill="auto"/>
            <w:tcMar>
              <w:top w:w="40" w:type="dxa"/>
              <w:left w:w="560" w:type="dxa"/>
              <w:bottom w:w="40" w:type="dxa"/>
              <w:right w:w="40" w:type="dxa"/>
            </w:tcMar>
          </w:tcPr>
          <w:p w14:paraId="2A73B03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investment hedges:</w:t>
            </w:r>
          </w:p>
        </w:tc>
        <w:tc>
          <w:tcPr>
            <w:tcW w:w="0" w:type="auto"/>
            <w:gridSpan w:val="3"/>
            <w:shd w:val="clear" w:color="auto" w:fill="auto"/>
            <w:tcMar>
              <w:top w:w="40" w:type="dxa"/>
              <w:left w:w="40" w:type="dxa"/>
              <w:bottom w:w="40" w:type="dxa"/>
              <w:right w:w="40" w:type="dxa"/>
            </w:tcMar>
            <w:vAlign w:val="bottom"/>
          </w:tcPr>
          <w:p w14:paraId="2A73B0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4A" w14:textId="77777777">
        <w:tc>
          <w:tcPr>
            <w:tcW w:w="0" w:type="auto"/>
            <w:shd w:val="clear" w:color="auto" w:fill="EFEFEF"/>
            <w:tcMar>
              <w:top w:w="40" w:type="dxa"/>
              <w:left w:w="1040" w:type="dxa"/>
              <w:bottom w:w="40" w:type="dxa"/>
              <w:right w:w="40" w:type="dxa"/>
            </w:tcMar>
          </w:tcPr>
          <w:p w14:paraId="2A73B03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currency debt</w:t>
            </w:r>
          </w:p>
        </w:tc>
        <w:tc>
          <w:tcPr>
            <w:tcW w:w="0" w:type="auto"/>
            <w:shd w:val="clear" w:color="auto" w:fill="EFEFEF"/>
            <w:tcMar>
              <w:top w:w="40" w:type="dxa"/>
              <w:left w:w="40" w:type="dxa"/>
              <w:bottom w:w="40" w:type="dxa"/>
            </w:tcMar>
            <w:vAlign w:val="bottom"/>
          </w:tcPr>
          <w:p w14:paraId="2A73B03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4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w:t>
            </w:r>
          </w:p>
        </w:tc>
        <w:tc>
          <w:tcPr>
            <w:tcW w:w="0" w:type="auto"/>
            <w:shd w:val="clear" w:color="auto" w:fill="EFEFEF"/>
            <w:tcMar>
              <w:top w:w="40" w:type="dxa"/>
              <w:bottom w:w="40" w:type="dxa"/>
              <w:right w:w="40" w:type="dxa"/>
            </w:tcMar>
            <w:vAlign w:val="bottom"/>
          </w:tcPr>
          <w:p w14:paraId="2A73B04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04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04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4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w:t>
            </w:r>
          </w:p>
        </w:tc>
        <w:tc>
          <w:tcPr>
            <w:tcW w:w="0" w:type="auto"/>
            <w:shd w:val="clear" w:color="auto" w:fill="EFEFEF"/>
            <w:vAlign w:val="bottom"/>
          </w:tcPr>
          <w:p w14:paraId="2A73B04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0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04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4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67</w:t>
            </w:r>
          </w:p>
        </w:tc>
        <w:tc>
          <w:tcPr>
            <w:tcW w:w="0" w:type="auto"/>
            <w:shd w:val="clear" w:color="auto" w:fill="EFEFEF"/>
            <w:vAlign w:val="bottom"/>
          </w:tcPr>
          <w:p w14:paraId="2A73B049" w14:textId="77777777" w:rsidR="00FA5565" w:rsidRDefault="00FA5565">
            <w:pPr>
              <w:textAlignment w:val="bottom"/>
              <w:rPr>
                <w:rFonts w:ascii="Times New Roman" w:hAnsi="Times New Roman"/>
                <w:sz w:val="20"/>
                <w:szCs w:val="20"/>
              </w:rPr>
            </w:pPr>
          </w:p>
        </w:tc>
      </w:tr>
      <w:tr w:rsidR="00FA5565" w14:paraId="2A73B051" w14:textId="77777777">
        <w:tc>
          <w:tcPr>
            <w:tcW w:w="0" w:type="auto"/>
            <w:shd w:val="clear" w:color="auto" w:fill="auto"/>
            <w:tcMar>
              <w:top w:w="40" w:type="dxa"/>
              <w:left w:w="40" w:type="dxa"/>
              <w:bottom w:w="40" w:type="dxa"/>
              <w:right w:w="40" w:type="dxa"/>
            </w:tcMar>
            <w:vAlign w:val="bottom"/>
          </w:tcPr>
          <w:p w14:paraId="2A73B0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4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4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5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58" w14:textId="77777777">
        <w:tc>
          <w:tcPr>
            <w:tcW w:w="0" w:type="auto"/>
            <w:shd w:val="clear" w:color="auto" w:fill="EFEFEF"/>
            <w:tcMar>
              <w:top w:w="40" w:type="dxa"/>
              <w:left w:w="40" w:type="dxa"/>
              <w:bottom w:w="40" w:type="dxa"/>
              <w:right w:w="40" w:type="dxa"/>
            </w:tcMar>
          </w:tcPr>
          <w:p w14:paraId="2A73B05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Gains/(Losses) reclassified from AOCI into net income – effective portion:</w:t>
            </w:r>
          </w:p>
        </w:tc>
        <w:tc>
          <w:tcPr>
            <w:tcW w:w="0" w:type="auto"/>
            <w:gridSpan w:val="3"/>
            <w:shd w:val="clear" w:color="auto" w:fill="EFEFEF"/>
            <w:tcMar>
              <w:top w:w="40" w:type="dxa"/>
              <w:left w:w="40" w:type="dxa"/>
              <w:bottom w:w="40" w:type="dxa"/>
              <w:right w:w="40" w:type="dxa"/>
            </w:tcMar>
            <w:vAlign w:val="bottom"/>
          </w:tcPr>
          <w:p w14:paraId="2A73B05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05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5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0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5F" w14:textId="77777777">
        <w:tc>
          <w:tcPr>
            <w:tcW w:w="0" w:type="auto"/>
            <w:shd w:val="clear" w:color="auto" w:fill="auto"/>
            <w:tcMar>
              <w:top w:w="40" w:type="dxa"/>
              <w:left w:w="560" w:type="dxa"/>
              <w:bottom w:w="40" w:type="dxa"/>
              <w:right w:w="40" w:type="dxa"/>
            </w:tcMar>
          </w:tcPr>
          <w:p w14:paraId="2A73B05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Cash flow hedges:</w:t>
            </w:r>
          </w:p>
        </w:tc>
        <w:tc>
          <w:tcPr>
            <w:tcW w:w="0" w:type="auto"/>
            <w:gridSpan w:val="3"/>
            <w:shd w:val="clear" w:color="auto" w:fill="auto"/>
            <w:tcMar>
              <w:top w:w="40" w:type="dxa"/>
              <w:left w:w="40" w:type="dxa"/>
              <w:bottom w:w="40" w:type="dxa"/>
              <w:right w:w="40" w:type="dxa"/>
            </w:tcMar>
            <w:vAlign w:val="bottom"/>
          </w:tcPr>
          <w:p w14:paraId="2A73B05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5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5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6C" w14:textId="77777777">
        <w:tc>
          <w:tcPr>
            <w:tcW w:w="0" w:type="auto"/>
            <w:shd w:val="clear" w:color="auto" w:fill="EFEFEF"/>
            <w:tcMar>
              <w:top w:w="40" w:type="dxa"/>
              <w:left w:w="1040" w:type="dxa"/>
              <w:bottom w:w="40" w:type="dxa"/>
              <w:right w:w="40" w:type="dxa"/>
            </w:tcMar>
          </w:tcPr>
          <w:p w14:paraId="2A73B06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2A73B06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6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(116</w:t>
            </w:r>
          </w:p>
        </w:tc>
        <w:tc>
          <w:tcPr>
            <w:tcW w:w="0" w:type="auto"/>
            <w:shd w:val="clear" w:color="auto" w:fill="EFEFEF"/>
            <w:tcMar>
              <w:top w:w="40" w:type="dxa"/>
              <w:bottom w:w="40" w:type="dxa"/>
              <w:right w:w="40" w:type="dxa"/>
            </w:tcMar>
            <w:vAlign w:val="bottom"/>
          </w:tcPr>
          <w:p w14:paraId="2A73B06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0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06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6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(482</w:t>
            </w:r>
          </w:p>
        </w:tc>
        <w:tc>
          <w:tcPr>
            <w:tcW w:w="0" w:type="auto"/>
            <w:shd w:val="clear" w:color="auto" w:fill="EFEFEF"/>
            <w:tcMar>
              <w:top w:w="40" w:type="dxa"/>
              <w:bottom w:w="40" w:type="dxa"/>
              <w:right w:w="40" w:type="dxa"/>
            </w:tcMar>
            <w:vAlign w:val="bottom"/>
          </w:tcPr>
          <w:p w14:paraId="2A73B06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06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06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6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1,958</w:t>
            </w:r>
          </w:p>
        </w:tc>
        <w:tc>
          <w:tcPr>
            <w:tcW w:w="0" w:type="auto"/>
            <w:shd w:val="clear" w:color="auto" w:fill="EFEFEF"/>
            <w:vAlign w:val="bottom"/>
          </w:tcPr>
          <w:p w14:paraId="2A73B06B" w14:textId="77777777" w:rsidR="00FA5565" w:rsidRDefault="00FA5565">
            <w:pPr>
              <w:textAlignment w:val="bottom"/>
              <w:rPr>
                <w:rFonts w:ascii="Times New Roman" w:hAnsi="Times New Roman"/>
                <w:sz w:val="20"/>
                <w:szCs w:val="20"/>
              </w:rPr>
            </w:pPr>
          </w:p>
        </w:tc>
      </w:tr>
      <w:tr w:rsidR="00FA5565" w14:paraId="2A73B076" w14:textId="77777777">
        <w:tc>
          <w:tcPr>
            <w:tcW w:w="0" w:type="auto"/>
            <w:shd w:val="clear" w:color="auto" w:fill="auto"/>
            <w:tcMar>
              <w:top w:w="40" w:type="dxa"/>
              <w:left w:w="1040" w:type="dxa"/>
              <w:bottom w:w="40" w:type="dxa"/>
              <w:right w:w="40" w:type="dxa"/>
            </w:tcMar>
          </w:tcPr>
          <w:p w14:paraId="2A73B06D"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Interest rate contracts</w:t>
            </w:r>
          </w:p>
        </w:tc>
        <w:tc>
          <w:tcPr>
            <w:tcW w:w="0" w:type="auto"/>
            <w:gridSpan w:val="2"/>
            <w:tcBorders>
              <w:bottom w:val="single" w:sz="8" w:space="0" w:color="000000"/>
            </w:tcBorders>
            <w:shd w:val="clear" w:color="auto" w:fill="auto"/>
            <w:tcMar>
              <w:top w:w="40" w:type="dxa"/>
              <w:left w:w="40" w:type="dxa"/>
              <w:bottom w:w="40" w:type="dxa"/>
            </w:tcMar>
            <w:vAlign w:val="bottom"/>
          </w:tcPr>
          <w:p w14:paraId="2A73B06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w:t>
            </w:r>
          </w:p>
        </w:tc>
        <w:tc>
          <w:tcPr>
            <w:tcW w:w="0" w:type="auto"/>
            <w:tcBorders>
              <w:bottom w:val="single" w:sz="8" w:space="0" w:color="000000"/>
            </w:tcBorders>
            <w:shd w:val="clear" w:color="auto" w:fill="auto"/>
            <w:tcMar>
              <w:top w:w="40" w:type="dxa"/>
              <w:bottom w:w="40" w:type="dxa"/>
              <w:right w:w="40" w:type="dxa"/>
            </w:tcMar>
            <w:vAlign w:val="bottom"/>
          </w:tcPr>
          <w:p w14:paraId="2A73B06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07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07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w:t>
            </w:r>
          </w:p>
        </w:tc>
        <w:tc>
          <w:tcPr>
            <w:tcW w:w="0" w:type="auto"/>
            <w:tcBorders>
              <w:bottom w:val="single" w:sz="8" w:space="0" w:color="000000"/>
            </w:tcBorders>
            <w:shd w:val="clear" w:color="auto" w:fill="auto"/>
            <w:vAlign w:val="bottom"/>
          </w:tcPr>
          <w:p w14:paraId="2A73B07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07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07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tcBorders>
              <w:bottom w:val="single" w:sz="8" w:space="0" w:color="000000"/>
            </w:tcBorders>
            <w:shd w:val="clear" w:color="auto" w:fill="auto"/>
            <w:tcMar>
              <w:top w:w="40" w:type="dxa"/>
              <w:bottom w:w="40" w:type="dxa"/>
              <w:right w:w="40" w:type="dxa"/>
            </w:tcMar>
            <w:vAlign w:val="bottom"/>
          </w:tcPr>
          <w:p w14:paraId="2A73B07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083" w14:textId="77777777">
        <w:tc>
          <w:tcPr>
            <w:tcW w:w="0" w:type="auto"/>
            <w:shd w:val="clear" w:color="auto" w:fill="EFEFEF"/>
            <w:tcMar>
              <w:top w:w="40" w:type="dxa"/>
              <w:left w:w="1520" w:type="dxa"/>
              <w:bottom w:w="40" w:type="dxa"/>
              <w:right w:w="40" w:type="dxa"/>
            </w:tcMar>
          </w:tcPr>
          <w:p w14:paraId="2A73B07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07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07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(123</w:t>
            </w:r>
          </w:p>
        </w:tc>
        <w:tc>
          <w:tcPr>
            <w:tcW w:w="0" w:type="auto"/>
            <w:tcBorders>
              <w:top w:val="single" w:sz="8" w:space="0" w:color="000000"/>
              <w:bottom w:val="double" w:sz="6" w:space="0" w:color="000000"/>
            </w:tcBorders>
            <w:shd w:val="clear" w:color="auto" w:fill="EFEFEF"/>
            <w:tcMar>
              <w:top w:w="40" w:type="dxa"/>
              <w:bottom w:w="40" w:type="dxa"/>
              <w:right w:w="40" w:type="dxa"/>
            </w:tcMar>
            <w:vAlign w:val="bottom"/>
          </w:tcPr>
          <w:p w14:paraId="2A73B07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07B" w14:textId="77777777" w:rsidR="00FA5565" w:rsidRDefault="00FA5565">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07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07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(481</w:t>
            </w:r>
          </w:p>
        </w:tc>
        <w:tc>
          <w:tcPr>
            <w:tcW w:w="0" w:type="auto"/>
            <w:tcBorders>
              <w:top w:val="single" w:sz="8" w:space="0" w:color="000000"/>
              <w:bottom w:val="double" w:sz="6" w:space="0" w:color="000000"/>
            </w:tcBorders>
            <w:shd w:val="clear" w:color="auto" w:fill="EFEFEF"/>
            <w:tcMar>
              <w:top w:w="40" w:type="dxa"/>
              <w:bottom w:w="40" w:type="dxa"/>
              <w:right w:w="40" w:type="dxa"/>
            </w:tcMar>
            <w:vAlign w:val="bottom"/>
          </w:tcPr>
          <w:p w14:paraId="2A73B07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07F" w14:textId="77777777" w:rsidR="00FA5565" w:rsidRDefault="00FA5565">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08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08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1,956</w:t>
            </w:r>
          </w:p>
        </w:tc>
        <w:tc>
          <w:tcPr>
            <w:tcW w:w="0" w:type="auto"/>
            <w:tcBorders>
              <w:top w:val="single" w:sz="8" w:space="0" w:color="000000"/>
              <w:bottom w:val="double" w:sz="6" w:space="0" w:color="000000"/>
            </w:tcBorders>
            <w:shd w:val="clear" w:color="auto" w:fill="EFEFEF"/>
            <w:vAlign w:val="bottom"/>
          </w:tcPr>
          <w:p w14:paraId="2A73B082" w14:textId="77777777" w:rsidR="00FA5565" w:rsidRDefault="00FA5565">
            <w:pPr>
              <w:textAlignment w:val="bottom"/>
              <w:rPr>
                <w:rFonts w:ascii="Times New Roman" w:hAnsi="Times New Roman"/>
                <w:sz w:val="20"/>
                <w:szCs w:val="20"/>
              </w:rPr>
            </w:pPr>
          </w:p>
        </w:tc>
      </w:tr>
      <w:tr w:rsidR="00FA5565" w14:paraId="2A73B08A" w14:textId="77777777">
        <w:tc>
          <w:tcPr>
            <w:tcW w:w="0" w:type="auto"/>
            <w:shd w:val="clear" w:color="auto" w:fill="auto"/>
            <w:tcMar>
              <w:top w:w="40" w:type="dxa"/>
              <w:left w:w="40" w:type="dxa"/>
              <w:bottom w:w="40" w:type="dxa"/>
              <w:right w:w="40" w:type="dxa"/>
            </w:tcMar>
            <w:vAlign w:val="bottom"/>
          </w:tcPr>
          <w:p w14:paraId="2A73B08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8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8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91" w14:textId="77777777">
        <w:tc>
          <w:tcPr>
            <w:tcW w:w="0" w:type="auto"/>
            <w:shd w:val="clear" w:color="auto" w:fill="EFEFEF"/>
            <w:tcMar>
              <w:top w:w="40" w:type="dxa"/>
              <w:left w:w="40" w:type="dxa"/>
              <w:bottom w:w="40" w:type="dxa"/>
              <w:right w:w="40" w:type="dxa"/>
            </w:tcMar>
          </w:tcPr>
          <w:p w14:paraId="2A73B08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Gains/(Losses) on derivative instruments:</w:t>
            </w:r>
          </w:p>
        </w:tc>
        <w:tc>
          <w:tcPr>
            <w:tcW w:w="0" w:type="auto"/>
            <w:gridSpan w:val="3"/>
            <w:shd w:val="clear" w:color="auto" w:fill="EFEFEF"/>
            <w:tcMar>
              <w:top w:w="40" w:type="dxa"/>
              <w:left w:w="40" w:type="dxa"/>
              <w:bottom w:w="40" w:type="dxa"/>
              <w:right w:w="40" w:type="dxa"/>
            </w:tcMar>
            <w:vAlign w:val="bottom"/>
          </w:tcPr>
          <w:p w14:paraId="2A73B0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0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8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0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98" w14:textId="77777777">
        <w:tc>
          <w:tcPr>
            <w:tcW w:w="0" w:type="auto"/>
            <w:shd w:val="clear" w:color="auto" w:fill="auto"/>
            <w:tcMar>
              <w:top w:w="40" w:type="dxa"/>
              <w:left w:w="560" w:type="dxa"/>
              <w:bottom w:w="40" w:type="dxa"/>
              <w:right w:w="40" w:type="dxa"/>
            </w:tcMar>
          </w:tcPr>
          <w:p w14:paraId="2A73B09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Fair value hedges:</w:t>
            </w:r>
          </w:p>
        </w:tc>
        <w:tc>
          <w:tcPr>
            <w:tcW w:w="0" w:type="auto"/>
            <w:gridSpan w:val="3"/>
            <w:shd w:val="clear" w:color="auto" w:fill="auto"/>
            <w:tcMar>
              <w:top w:w="40" w:type="dxa"/>
              <w:left w:w="40" w:type="dxa"/>
              <w:bottom w:w="40" w:type="dxa"/>
              <w:right w:w="40" w:type="dxa"/>
            </w:tcMar>
            <w:vAlign w:val="bottom"/>
          </w:tcPr>
          <w:p w14:paraId="2A73B09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9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9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9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A5" w14:textId="77777777">
        <w:tc>
          <w:tcPr>
            <w:tcW w:w="0" w:type="auto"/>
            <w:shd w:val="clear" w:color="auto" w:fill="EFEFEF"/>
            <w:tcMar>
              <w:top w:w="40" w:type="dxa"/>
              <w:left w:w="1040" w:type="dxa"/>
              <w:bottom w:w="40" w:type="dxa"/>
              <w:right w:w="40" w:type="dxa"/>
            </w:tcMar>
          </w:tcPr>
          <w:p w14:paraId="2A73B09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2A73B09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9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1,020</w:t>
            </w:r>
          </w:p>
        </w:tc>
        <w:tc>
          <w:tcPr>
            <w:tcW w:w="0" w:type="auto"/>
            <w:shd w:val="clear" w:color="auto" w:fill="EFEFEF"/>
            <w:vAlign w:val="bottom"/>
          </w:tcPr>
          <w:p w14:paraId="2A73B09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09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09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9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(168</w:t>
            </w:r>
          </w:p>
        </w:tc>
        <w:tc>
          <w:tcPr>
            <w:tcW w:w="0" w:type="auto"/>
            <w:shd w:val="clear" w:color="auto" w:fill="EFEFEF"/>
            <w:tcMar>
              <w:top w:w="40" w:type="dxa"/>
              <w:bottom w:w="40" w:type="dxa"/>
              <w:right w:w="40" w:type="dxa"/>
            </w:tcMar>
            <w:vAlign w:val="bottom"/>
          </w:tcPr>
          <w:p w14:paraId="2A73B0A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0A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0A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A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2A73B0A4" w14:textId="77777777" w:rsidR="00FA5565" w:rsidRDefault="00FA5565">
            <w:pPr>
              <w:textAlignment w:val="bottom"/>
              <w:rPr>
                <w:rFonts w:ascii="Times New Roman" w:hAnsi="Times New Roman"/>
                <w:sz w:val="20"/>
                <w:szCs w:val="20"/>
              </w:rPr>
            </w:pPr>
          </w:p>
        </w:tc>
      </w:tr>
      <w:tr w:rsidR="00FA5565" w14:paraId="2A73B0AF" w14:textId="77777777">
        <w:tc>
          <w:tcPr>
            <w:tcW w:w="0" w:type="auto"/>
            <w:shd w:val="clear" w:color="auto" w:fill="auto"/>
            <w:tcMar>
              <w:top w:w="40" w:type="dxa"/>
              <w:left w:w="1040" w:type="dxa"/>
              <w:bottom w:w="40" w:type="dxa"/>
              <w:right w:w="40" w:type="dxa"/>
            </w:tcMar>
          </w:tcPr>
          <w:p w14:paraId="2A73B0A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Interest rate contracts</w:t>
            </w:r>
          </w:p>
        </w:tc>
        <w:tc>
          <w:tcPr>
            <w:tcW w:w="0" w:type="auto"/>
            <w:gridSpan w:val="2"/>
            <w:tcBorders>
              <w:bottom w:val="single" w:sz="8" w:space="0" w:color="000000"/>
            </w:tcBorders>
            <w:shd w:val="clear" w:color="auto" w:fill="auto"/>
            <w:tcMar>
              <w:top w:w="40" w:type="dxa"/>
              <w:left w:w="40" w:type="dxa"/>
              <w:bottom w:w="40" w:type="dxa"/>
            </w:tcMar>
            <w:vAlign w:val="bottom"/>
          </w:tcPr>
          <w:p w14:paraId="2A73B0A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2,068</w:t>
            </w:r>
          </w:p>
        </w:tc>
        <w:tc>
          <w:tcPr>
            <w:tcW w:w="0" w:type="auto"/>
            <w:tcBorders>
              <w:bottom w:val="single" w:sz="8" w:space="0" w:color="000000"/>
            </w:tcBorders>
            <w:shd w:val="clear" w:color="auto" w:fill="auto"/>
            <w:vAlign w:val="bottom"/>
          </w:tcPr>
          <w:p w14:paraId="2A73B0A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0A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0A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(1,363</w:t>
            </w:r>
          </w:p>
        </w:tc>
        <w:tc>
          <w:tcPr>
            <w:tcW w:w="0" w:type="auto"/>
            <w:tcBorders>
              <w:bottom w:val="single" w:sz="8" w:space="0" w:color="000000"/>
            </w:tcBorders>
            <w:shd w:val="clear" w:color="auto" w:fill="auto"/>
            <w:tcMar>
              <w:top w:w="40" w:type="dxa"/>
              <w:bottom w:w="40" w:type="dxa"/>
              <w:right w:w="40" w:type="dxa"/>
            </w:tcMar>
            <w:vAlign w:val="bottom"/>
          </w:tcPr>
          <w:p w14:paraId="2A73B0A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0A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0A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(810</w:t>
            </w:r>
          </w:p>
        </w:tc>
        <w:tc>
          <w:tcPr>
            <w:tcW w:w="0" w:type="auto"/>
            <w:tcBorders>
              <w:bottom w:val="single" w:sz="8" w:space="0" w:color="000000"/>
            </w:tcBorders>
            <w:shd w:val="clear" w:color="auto" w:fill="auto"/>
            <w:tcMar>
              <w:top w:w="40" w:type="dxa"/>
              <w:bottom w:w="40" w:type="dxa"/>
              <w:right w:w="40" w:type="dxa"/>
            </w:tcMar>
            <w:vAlign w:val="bottom"/>
          </w:tcPr>
          <w:p w14:paraId="2A73B0A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0BC" w14:textId="77777777">
        <w:tc>
          <w:tcPr>
            <w:tcW w:w="0" w:type="auto"/>
            <w:shd w:val="clear" w:color="auto" w:fill="EFEFEF"/>
            <w:tcMar>
              <w:top w:w="40" w:type="dxa"/>
              <w:left w:w="1520" w:type="dxa"/>
              <w:bottom w:w="40" w:type="dxa"/>
              <w:right w:w="40" w:type="dxa"/>
            </w:tcMar>
          </w:tcPr>
          <w:p w14:paraId="2A73B0B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0B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0B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3,088</w:t>
            </w:r>
          </w:p>
        </w:tc>
        <w:tc>
          <w:tcPr>
            <w:tcW w:w="0" w:type="auto"/>
            <w:tcBorders>
              <w:top w:val="single" w:sz="8" w:space="0" w:color="000000"/>
              <w:bottom w:val="double" w:sz="6" w:space="0" w:color="000000"/>
            </w:tcBorders>
            <w:shd w:val="clear" w:color="auto" w:fill="EFEFEF"/>
            <w:vAlign w:val="bottom"/>
          </w:tcPr>
          <w:p w14:paraId="2A73B0B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0B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0B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0B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(1,531</w:t>
            </w:r>
          </w:p>
        </w:tc>
        <w:tc>
          <w:tcPr>
            <w:tcW w:w="0" w:type="auto"/>
            <w:tcBorders>
              <w:top w:val="single" w:sz="8" w:space="0" w:color="000000"/>
              <w:bottom w:val="double" w:sz="6" w:space="0" w:color="000000"/>
            </w:tcBorders>
            <w:shd w:val="clear" w:color="auto" w:fill="EFEFEF"/>
            <w:tcMar>
              <w:top w:w="40" w:type="dxa"/>
              <w:bottom w:w="40" w:type="dxa"/>
              <w:right w:w="40" w:type="dxa"/>
            </w:tcMar>
            <w:vAlign w:val="bottom"/>
          </w:tcPr>
          <w:p w14:paraId="2A73B0B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0B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0B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0B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(810</w:t>
            </w:r>
          </w:p>
        </w:tc>
        <w:tc>
          <w:tcPr>
            <w:tcW w:w="0" w:type="auto"/>
            <w:tcBorders>
              <w:top w:val="single" w:sz="8" w:space="0" w:color="000000"/>
              <w:bottom w:val="double" w:sz="6" w:space="0" w:color="000000"/>
            </w:tcBorders>
            <w:shd w:val="clear" w:color="auto" w:fill="EFEFEF"/>
            <w:tcMar>
              <w:top w:w="40" w:type="dxa"/>
              <w:bottom w:w="40" w:type="dxa"/>
              <w:right w:w="40" w:type="dxa"/>
            </w:tcMar>
            <w:vAlign w:val="bottom"/>
          </w:tcPr>
          <w:p w14:paraId="2A73B0B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0C3" w14:textId="77777777">
        <w:tc>
          <w:tcPr>
            <w:tcW w:w="0" w:type="auto"/>
            <w:shd w:val="clear" w:color="auto" w:fill="auto"/>
            <w:tcMar>
              <w:top w:w="40" w:type="dxa"/>
              <w:left w:w="40" w:type="dxa"/>
              <w:bottom w:w="40" w:type="dxa"/>
              <w:right w:w="40" w:type="dxa"/>
            </w:tcMar>
            <w:vAlign w:val="bottom"/>
          </w:tcPr>
          <w:p w14:paraId="2A73B0B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B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C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C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CA" w14:textId="77777777">
        <w:tc>
          <w:tcPr>
            <w:tcW w:w="0" w:type="auto"/>
            <w:shd w:val="clear" w:color="auto" w:fill="EFEFEF"/>
            <w:tcMar>
              <w:top w:w="40" w:type="dxa"/>
              <w:left w:w="40" w:type="dxa"/>
              <w:bottom w:w="40" w:type="dxa"/>
              <w:right w:w="40" w:type="dxa"/>
            </w:tcMar>
          </w:tcPr>
          <w:p w14:paraId="2A73B0C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Gains/(Losses) related to hedged items:</w:t>
            </w:r>
          </w:p>
        </w:tc>
        <w:tc>
          <w:tcPr>
            <w:tcW w:w="0" w:type="auto"/>
            <w:gridSpan w:val="3"/>
            <w:shd w:val="clear" w:color="auto" w:fill="EFEFEF"/>
            <w:tcMar>
              <w:top w:w="40" w:type="dxa"/>
              <w:left w:w="40" w:type="dxa"/>
              <w:bottom w:w="40" w:type="dxa"/>
              <w:right w:w="40" w:type="dxa"/>
            </w:tcMar>
            <w:vAlign w:val="bottom"/>
          </w:tcPr>
          <w:p w14:paraId="2A73B0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0C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C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0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0C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D1" w14:textId="77777777">
        <w:tc>
          <w:tcPr>
            <w:tcW w:w="0" w:type="auto"/>
            <w:shd w:val="clear" w:color="auto" w:fill="auto"/>
            <w:tcMar>
              <w:top w:w="40" w:type="dxa"/>
              <w:left w:w="560" w:type="dxa"/>
              <w:bottom w:w="40" w:type="dxa"/>
              <w:right w:w="40" w:type="dxa"/>
            </w:tcMar>
          </w:tcPr>
          <w:p w14:paraId="2A73B0C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Fair value hedges:</w:t>
            </w:r>
          </w:p>
        </w:tc>
        <w:tc>
          <w:tcPr>
            <w:tcW w:w="0" w:type="auto"/>
            <w:gridSpan w:val="3"/>
            <w:shd w:val="clear" w:color="auto" w:fill="auto"/>
            <w:tcMar>
              <w:top w:w="40" w:type="dxa"/>
              <w:left w:w="40" w:type="dxa"/>
              <w:bottom w:w="40" w:type="dxa"/>
              <w:right w:w="40" w:type="dxa"/>
            </w:tcMar>
            <w:vAlign w:val="bottom"/>
          </w:tcPr>
          <w:p w14:paraId="2A73B0C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C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C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0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0D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0DE" w14:textId="77777777">
        <w:tc>
          <w:tcPr>
            <w:tcW w:w="0" w:type="auto"/>
            <w:shd w:val="clear" w:color="auto" w:fill="EFEFEF"/>
            <w:tcMar>
              <w:top w:w="40" w:type="dxa"/>
              <w:left w:w="1040" w:type="dxa"/>
              <w:bottom w:w="40" w:type="dxa"/>
              <w:right w:w="40" w:type="dxa"/>
            </w:tcMar>
          </w:tcPr>
          <w:p w14:paraId="2A73B0D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Marketable securities</w:t>
            </w:r>
          </w:p>
        </w:tc>
        <w:tc>
          <w:tcPr>
            <w:tcW w:w="0" w:type="auto"/>
            <w:shd w:val="clear" w:color="auto" w:fill="EFEFEF"/>
            <w:tcMar>
              <w:top w:w="40" w:type="dxa"/>
              <w:left w:w="40" w:type="dxa"/>
              <w:bottom w:w="40" w:type="dxa"/>
            </w:tcMar>
            <w:vAlign w:val="bottom"/>
          </w:tcPr>
          <w:p w14:paraId="2A73B0D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D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(1,018</w:t>
            </w:r>
          </w:p>
        </w:tc>
        <w:tc>
          <w:tcPr>
            <w:tcW w:w="0" w:type="auto"/>
            <w:shd w:val="clear" w:color="auto" w:fill="EFEFEF"/>
            <w:tcMar>
              <w:top w:w="40" w:type="dxa"/>
              <w:bottom w:w="40" w:type="dxa"/>
              <w:right w:w="40" w:type="dxa"/>
            </w:tcMar>
            <w:vAlign w:val="bottom"/>
          </w:tcPr>
          <w:p w14:paraId="2A73B0D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0D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0D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D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167</w:t>
            </w:r>
          </w:p>
        </w:tc>
        <w:tc>
          <w:tcPr>
            <w:tcW w:w="0" w:type="auto"/>
            <w:shd w:val="clear" w:color="auto" w:fill="EFEFEF"/>
            <w:vAlign w:val="bottom"/>
          </w:tcPr>
          <w:p w14:paraId="2A73B0D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0D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0D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0D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2A73B0DD" w14:textId="77777777" w:rsidR="00FA5565" w:rsidRDefault="00FA5565">
            <w:pPr>
              <w:textAlignment w:val="bottom"/>
              <w:rPr>
                <w:rFonts w:ascii="Times New Roman" w:hAnsi="Times New Roman"/>
                <w:sz w:val="20"/>
                <w:szCs w:val="20"/>
              </w:rPr>
            </w:pPr>
          </w:p>
        </w:tc>
      </w:tr>
      <w:tr w:rsidR="00FA5565" w14:paraId="2A73B0E8" w14:textId="77777777">
        <w:tc>
          <w:tcPr>
            <w:tcW w:w="0" w:type="auto"/>
            <w:shd w:val="clear" w:color="auto" w:fill="auto"/>
            <w:tcMar>
              <w:top w:w="40" w:type="dxa"/>
              <w:left w:w="1040" w:type="dxa"/>
              <w:bottom w:w="40" w:type="dxa"/>
              <w:right w:w="40" w:type="dxa"/>
            </w:tcMar>
          </w:tcPr>
          <w:p w14:paraId="2A73B0D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Fixed-rate debt</w:t>
            </w:r>
          </w:p>
        </w:tc>
        <w:tc>
          <w:tcPr>
            <w:tcW w:w="0" w:type="auto"/>
            <w:gridSpan w:val="2"/>
            <w:tcBorders>
              <w:bottom w:val="single" w:sz="8" w:space="0" w:color="000000"/>
            </w:tcBorders>
            <w:shd w:val="clear" w:color="auto" w:fill="auto"/>
            <w:tcMar>
              <w:top w:w="40" w:type="dxa"/>
              <w:left w:w="40" w:type="dxa"/>
              <w:bottom w:w="40" w:type="dxa"/>
            </w:tcMar>
            <w:vAlign w:val="bottom"/>
          </w:tcPr>
          <w:p w14:paraId="2A73B0E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(2,068</w:t>
            </w:r>
          </w:p>
        </w:tc>
        <w:tc>
          <w:tcPr>
            <w:tcW w:w="0" w:type="auto"/>
            <w:tcBorders>
              <w:bottom w:val="single" w:sz="8" w:space="0" w:color="000000"/>
            </w:tcBorders>
            <w:shd w:val="clear" w:color="auto" w:fill="auto"/>
            <w:tcMar>
              <w:top w:w="40" w:type="dxa"/>
              <w:bottom w:w="40" w:type="dxa"/>
              <w:right w:w="40" w:type="dxa"/>
            </w:tcMar>
            <w:vAlign w:val="bottom"/>
          </w:tcPr>
          <w:p w14:paraId="2A73B0E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0E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0E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1,363</w:t>
            </w:r>
          </w:p>
        </w:tc>
        <w:tc>
          <w:tcPr>
            <w:tcW w:w="0" w:type="auto"/>
            <w:tcBorders>
              <w:bottom w:val="single" w:sz="8" w:space="0" w:color="000000"/>
            </w:tcBorders>
            <w:shd w:val="clear" w:color="auto" w:fill="auto"/>
            <w:vAlign w:val="bottom"/>
          </w:tcPr>
          <w:p w14:paraId="2A73B0E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0E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0E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810</w:t>
            </w:r>
          </w:p>
        </w:tc>
        <w:tc>
          <w:tcPr>
            <w:tcW w:w="0" w:type="auto"/>
            <w:tcBorders>
              <w:bottom w:val="single" w:sz="8" w:space="0" w:color="000000"/>
            </w:tcBorders>
            <w:shd w:val="clear" w:color="auto" w:fill="auto"/>
            <w:vAlign w:val="bottom"/>
          </w:tcPr>
          <w:p w14:paraId="2A73B0E7" w14:textId="77777777" w:rsidR="00FA5565" w:rsidRDefault="00FA5565">
            <w:pPr>
              <w:textAlignment w:val="bottom"/>
              <w:rPr>
                <w:rFonts w:ascii="Times New Roman" w:hAnsi="Times New Roman"/>
                <w:sz w:val="20"/>
                <w:szCs w:val="20"/>
              </w:rPr>
            </w:pPr>
          </w:p>
        </w:tc>
      </w:tr>
      <w:tr w:rsidR="00FA5565" w14:paraId="2A73B0F5" w14:textId="77777777">
        <w:tc>
          <w:tcPr>
            <w:tcW w:w="0" w:type="auto"/>
            <w:shd w:val="clear" w:color="auto" w:fill="EFEFEF"/>
            <w:tcMar>
              <w:top w:w="40" w:type="dxa"/>
              <w:left w:w="1520" w:type="dxa"/>
              <w:bottom w:w="40" w:type="dxa"/>
              <w:right w:w="40" w:type="dxa"/>
            </w:tcMar>
          </w:tcPr>
          <w:p w14:paraId="2A73B0E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Total</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0E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0E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(3,086</w:t>
            </w:r>
          </w:p>
        </w:tc>
        <w:tc>
          <w:tcPr>
            <w:tcW w:w="0" w:type="auto"/>
            <w:tcBorders>
              <w:top w:val="single" w:sz="8" w:space="0" w:color="000000"/>
              <w:bottom w:val="double" w:sz="6" w:space="0" w:color="000000"/>
            </w:tcBorders>
            <w:shd w:val="clear" w:color="auto" w:fill="EFEFEF"/>
            <w:tcMar>
              <w:top w:w="40" w:type="dxa"/>
              <w:bottom w:w="40" w:type="dxa"/>
              <w:right w:w="40" w:type="dxa"/>
            </w:tcMar>
            <w:vAlign w:val="bottom"/>
          </w:tcPr>
          <w:p w14:paraId="2A73B0E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0E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0E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0E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1,530</w:t>
            </w:r>
          </w:p>
        </w:tc>
        <w:tc>
          <w:tcPr>
            <w:tcW w:w="0" w:type="auto"/>
            <w:tcBorders>
              <w:top w:val="single" w:sz="8" w:space="0" w:color="000000"/>
              <w:bottom w:val="double" w:sz="6" w:space="0" w:color="000000"/>
            </w:tcBorders>
            <w:shd w:val="clear" w:color="auto" w:fill="EFEFEF"/>
            <w:vAlign w:val="bottom"/>
          </w:tcPr>
          <w:p w14:paraId="2A73B0F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0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0F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0F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810</w:t>
            </w:r>
          </w:p>
        </w:tc>
        <w:tc>
          <w:tcPr>
            <w:tcW w:w="0" w:type="auto"/>
            <w:tcBorders>
              <w:top w:val="single" w:sz="8" w:space="0" w:color="000000"/>
              <w:bottom w:val="double" w:sz="6" w:space="0" w:color="000000"/>
            </w:tcBorders>
            <w:shd w:val="clear" w:color="auto" w:fill="EFEFEF"/>
            <w:vAlign w:val="bottom"/>
          </w:tcPr>
          <w:p w14:paraId="2A73B0F4" w14:textId="77777777" w:rsidR="00FA5565" w:rsidRDefault="00FA5565">
            <w:pPr>
              <w:textAlignment w:val="bottom"/>
              <w:rPr>
                <w:rFonts w:ascii="Times New Roman" w:hAnsi="Times New Roman"/>
                <w:sz w:val="20"/>
                <w:szCs w:val="20"/>
              </w:rPr>
            </w:pPr>
          </w:p>
        </w:tc>
      </w:tr>
    </w:tbl>
    <w:p w14:paraId="2A73B0F6" w14:textId="77777777" w:rsidR="00FA5565" w:rsidRDefault="00FA5565">
      <w:pPr>
        <w:spacing w:line="288" w:lineRule="auto"/>
        <w:jc w:val="both"/>
        <w:rPr>
          <w:rFonts w:ascii="Times New Roman" w:hAnsi="Times New Roman"/>
          <w:sz w:val="20"/>
          <w:szCs w:val="20"/>
        </w:rPr>
      </w:pPr>
    </w:p>
    <w:p w14:paraId="2A73B0F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following table shows the </w:t>
      </w:r>
      <w:r>
        <w:rPr>
          <w:rFonts w:ascii="Helvetica" w:eastAsia="Helvetica" w:hAnsi="Helvetica" w:cs="Helvetica"/>
          <w:sz w:val="18"/>
          <w:szCs w:val="18"/>
        </w:rPr>
        <w:t>notional amounts of the Company’s outstanding derivative instruments and credit risk amounts associated with outstanding or unsettled derivative instruments as of September 28, 2019 and September 29, 2018 (in millions):</w:t>
      </w:r>
    </w:p>
    <w:tbl>
      <w:tblPr>
        <w:tblW w:w="5000" w:type="pct"/>
        <w:tblCellMar>
          <w:left w:w="0" w:type="dxa"/>
          <w:right w:w="0" w:type="dxa"/>
        </w:tblCellMar>
        <w:tblLook w:val="04A0" w:firstRow="1" w:lastRow="0" w:firstColumn="1" w:lastColumn="0" w:noHBand="0" w:noVBand="1"/>
      </w:tblPr>
      <w:tblGrid>
        <w:gridCol w:w="4025"/>
        <w:gridCol w:w="141"/>
        <w:gridCol w:w="786"/>
        <w:gridCol w:w="60"/>
        <w:gridCol w:w="130"/>
        <w:gridCol w:w="142"/>
        <w:gridCol w:w="767"/>
        <w:gridCol w:w="57"/>
        <w:gridCol w:w="130"/>
        <w:gridCol w:w="141"/>
        <w:gridCol w:w="770"/>
        <w:gridCol w:w="60"/>
        <w:gridCol w:w="130"/>
        <w:gridCol w:w="142"/>
        <w:gridCol w:w="768"/>
        <w:gridCol w:w="57"/>
      </w:tblGrid>
      <w:tr w:rsidR="00FA5565" w14:paraId="2A73B0F9" w14:textId="77777777">
        <w:tc>
          <w:tcPr>
            <w:tcW w:w="0" w:type="auto"/>
            <w:gridSpan w:val="16"/>
            <w:shd w:val="clear" w:color="auto" w:fill="auto"/>
            <w:vAlign w:val="center"/>
          </w:tcPr>
          <w:p w14:paraId="2A73B0F8" w14:textId="77777777" w:rsidR="00FA5565" w:rsidRDefault="00FA5565">
            <w:pPr>
              <w:rPr>
                <w:rFonts w:ascii="Times New Roman" w:hAnsi="Times New Roman"/>
                <w:sz w:val="20"/>
                <w:szCs w:val="20"/>
              </w:rPr>
            </w:pPr>
          </w:p>
        </w:tc>
      </w:tr>
      <w:tr w:rsidR="00FA5565" w14:paraId="2A73B10A" w14:textId="77777777">
        <w:tc>
          <w:tcPr>
            <w:tcW w:w="2450" w:type="pct"/>
            <w:shd w:val="clear" w:color="auto" w:fill="auto"/>
            <w:vAlign w:val="center"/>
          </w:tcPr>
          <w:p w14:paraId="2A73B0FA" w14:textId="77777777" w:rsidR="00FA5565" w:rsidRDefault="00FA5565">
            <w:pPr>
              <w:rPr>
                <w:rFonts w:ascii="Times New Roman" w:hAnsi="Times New Roman"/>
                <w:sz w:val="20"/>
                <w:szCs w:val="20"/>
              </w:rPr>
            </w:pPr>
          </w:p>
        </w:tc>
        <w:tc>
          <w:tcPr>
            <w:tcW w:w="50" w:type="pct"/>
            <w:shd w:val="clear" w:color="auto" w:fill="auto"/>
            <w:vAlign w:val="center"/>
          </w:tcPr>
          <w:p w14:paraId="2A73B0FB" w14:textId="77777777" w:rsidR="00FA5565" w:rsidRDefault="00FA5565">
            <w:pPr>
              <w:rPr>
                <w:rFonts w:ascii="Times New Roman" w:hAnsi="Times New Roman"/>
                <w:sz w:val="20"/>
                <w:szCs w:val="20"/>
              </w:rPr>
            </w:pPr>
          </w:p>
        </w:tc>
        <w:tc>
          <w:tcPr>
            <w:tcW w:w="500" w:type="pct"/>
            <w:shd w:val="clear" w:color="auto" w:fill="auto"/>
            <w:vAlign w:val="center"/>
          </w:tcPr>
          <w:p w14:paraId="2A73B0FC" w14:textId="77777777" w:rsidR="00FA5565" w:rsidRDefault="00FA5565">
            <w:pPr>
              <w:rPr>
                <w:rFonts w:ascii="Times New Roman" w:hAnsi="Times New Roman"/>
                <w:sz w:val="20"/>
                <w:szCs w:val="20"/>
              </w:rPr>
            </w:pPr>
          </w:p>
        </w:tc>
        <w:tc>
          <w:tcPr>
            <w:tcW w:w="50" w:type="pct"/>
            <w:shd w:val="clear" w:color="auto" w:fill="auto"/>
            <w:vAlign w:val="center"/>
          </w:tcPr>
          <w:p w14:paraId="2A73B0FD" w14:textId="77777777" w:rsidR="00FA5565" w:rsidRDefault="00FA5565">
            <w:pPr>
              <w:rPr>
                <w:rFonts w:ascii="Times New Roman" w:hAnsi="Times New Roman"/>
                <w:sz w:val="20"/>
                <w:szCs w:val="20"/>
              </w:rPr>
            </w:pPr>
          </w:p>
        </w:tc>
        <w:tc>
          <w:tcPr>
            <w:tcW w:w="50" w:type="pct"/>
            <w:shd w:val="clear" w:color="auto" w:fill="auto"/>
            <w:vAlign w:val="center"/>
          </w:tcPr>
          <w:p w14:paraId="2A73B0FE" w14:textId="77777777" w:rsidR="00FA5565" w:rsidRDefault="00FA5565">
            <w:pPr>
              <w:rPr>
                <w:rFonts w:ascii="Times New Roman" w:hAnsi="Times New Roman"/>
                <w:sz w:val="20"/>
                <w:szCs w:val="20"/>
              </w:rPr>
            </w:pPr>
          </w:p>
        </w:tc>
        <w:tc>
          <w:tcPr>
            <w:tcW w:w="50" w:type="pct"/>
            <w:shd w:val="clear" w:color="auto" w:fill="auto"/>
            <w:vAlign w:val="center"/>
          </w:tcPr>
          <w:p w14:paraId="2A73B0FF" w14:textId="77777777" w:rsidR="00FA5565" w:rsidRDefault="00FA5565">
            <w:pPr>
              <w:rPr>
                <w:rFonts w:ascii="Times New Roman" w:hAnsi="Times New Roman"/>
                <w:sz w:val="20"/>
                <w:szCs w:val="20"/>
              </w:rPr>
            </w:pPr>
          </w:p>
        </w:tc>
        <w:tc>
          <w:tcPr>
            <w:tcW w:w="500" w:type="pct"/>
            <w:shd w:val="clear" w:color="auto" w:fill="auto"/>
            <w:vAlign w:val="center"/>
          </w:tcPr>
          <w:p w14:paraId="2A73B100" w14:textId="77777777" w:rsidR="00FA5565" w:rsidRDefault="00FA5565">
            <w:pPr>
              <w:rPr>
                <w:rFonts w:ascii="Times New Roman" w:hAnsi="Times New Roman"/>
                <w:sz w:val="20"/>
                <w:szCs w:val="20"/>
              </w:rPr>
            </w:pPr>
          </w:p>
        </w:tc>
        <w:tc>
          <w:tcPr>
            <w:tcW w:w="50" w:type="pct"/>
            <w:shd w:val="clear" w:color="auto" w:fill="auto"/>
            <w:vAlign w:val="center"/>
          </w:tcPr>
          <w:p w14:paraId="2A73B101" w14:textId="77777777" w:rsidR="00FA5565" w:rsidRDefault="00FA5565">
            <w:pPr>
              <w:rPr>
                <w:rFonts w:ascii="Times New Roman" w:hAnsi="Times New Roman"/>
                <w:sz w:val="20"/>
                <w:szCs w:val="20"/>
              </w:rPr>
            </w:pPr>
          </w:p>
        </w:tc>
        <w:tc>
          <w:tcPr>
            <w:tcW w:w="50" w:type="pct"/>
            <w:shd w:val="clear" w:color="auto" w:fill="auto"/>
            <w:vAlign w:val="center"/>
          </w:tcPr>
          <w:p w14:paraId="2A73B102" w14:textId="77777777" w:rsidR="00FA5565" w:rsidRDefault="00FA5565">
            <w:pPr>
              <w:rPr>
                <w:rFonts w:ascii="Times New Roman" w:hAnsi="Times New Roman"/>
                <w:sz w:val="20"/>
                <w:szCs w:val="20"/>
              </w:rPr>
            </w:pPr>
          </w:p>
        </w:tc>
        <w:tc>
          <w:tcPr>
            <w:tcW w:w="50" w:type="pct"/>
            <w:shd w:val="clear" w:color="auto" w:fill="auto"/>
            <w:vAlign w:val="center"/>
          </w:tcPr>
          <w:p w14:paraId="2A73B103" w14:textId="77777777" w:rsidR="00FA5565" w:rsidRDefault="00FA5565">
            <w:pPr>
              <w:rPr>
                <w:rFonts w:ascii="Times New Roman" w:hAnsi="Times New Roman"/>
                <w:sz w:val="20"/>
                <w:szCs w:val="20"/>
              </w:rPr>
            </w:pPr>
          </w:p>
        </w:tc>
        <w:tc>
          <w:tcPr>
            <w:tcW w:w="500" w:type="pct"/>
            <w:shd w:val="clear" w:color="auto" w:fill="auto"/>
            <w:vAlign w:val="center"/>
          </w:tcPr>
          <w:p w14:paraId="2A73B104" w14:textId="77777777" w:rsidR="00FA5565" w:rsidRDefault="00FA5565">
            <w:pPr>
              <w:rPr>
                <w:rFonts w:ascii="Times New Roman" w:hAnsi="Times New Roman"/>
                <w:sz w:val="20"/>
                <w:szCs w:val="20"/>
              </w:rPr>
            </w:pPr>
          </w:p>
        </w:tc>
        <w:tc>
          <w:tcPr>
            <w:tcW w:w="50" w:type="pct"/>
            <w:shd w:val="clear" w:color="auto" w:fill="auto"/>
            <w:vAlign w:val="center"/>
          </w:tcPr>
          <w:p w14:paraId="2A73B105" w14:textId="77777777" w:rsidR="00FA5565" w:rsidRDefault="00FA5565">
            <w:pPr>
              <w:rPr>
                <w:rFonts w:ascii="Times New Roman" w:hAnsi="Times New Roman"/>
                <w:sz w:val="20"/>
                <w:szCs w:val="20"/>
              </w:rPr>
            </w:pPr>
          </w:p>
        </w:tc>
        <w:tc>
          <w:tcPr>
            <w:tcW w:w="50" w:type="pct"/>
            <w:shd w:val="clear" w:color="auto" w:fill="auto"/>
            <w:vAlign w:val="center"/>
          </w:tcPr>
          <w:p w14:paraId="2A73B106" w14:textId="77777777" w:rsidR="00FA5565" w:rsidRDefault="00FA5565">
            <w:pPr>
              <w:rPr>
                <w:rFonts w:ascii="Times New Roman" w:hAnsi="Times New Roman"/>
                <w:sz w:val="20"/>
                <w:szCs w:val="20"/>
              </w:rPr>
            </w:pPr>
          </w:p>
        </w:tc>
        <w:tc>
          <w:tcPr>
            <w:tcW w:w="50" w:type="pct"/>
            <w:shd w:val="clear" w:color="auto" w:fill="auto"/>
            <w:vAlign w:val="center"/>
          </w:tcPr>
          <w:p w14:paraId="2A73B107" w14:textId="77777777" w:rsidR="00FA5565" w:rsidRDefault="00FA5565">
            <w:pPr>
              <w:rPr>
                <w:rFonts w:ascii="Times New Roman" w:hAnsi="Times New Roman"/>
                <w:sz w:val="20"/>
                <w:szCs w:val="20"/>
              </w:rPr>
            </w:pPr>
          </w:p>
        </w:tc>
        <w:tc>
          <w:tcPr>
            <w:tcW w:w="500" w:type="pct"/>
            <w:shd w:val="clear" w:color="auto" w:fill="auto"/>
            <w:vAlign w:val="center"/>
          </w:tcPr>
          <w:p w14:paraId="2A73B108" w14:textId="77777777" w:rsidR="00FA5565" w:rsidRDefault="00FA5565">
            <w:pPr>
              <w:rPr>
                <w:rFonts w:ascii="Times New Roman" w:hAnsi="Times New Roman"/>
                <w:sz w:val="20"/>
                <w:szCs w:val="20"/>
              </w:rPr>
            </w:pPr>
          </w:p>
        </w:tc>
        <w:tc>
          <w:tcPr>
            <w:tcW w:w="50" w:type="pct"/>
            <w:shd w:val="clear" w:color="auto" w:fill="auto"/>
            <w:vAlign w:val="center"/>
          </w:tcPr>
          <w:p w14:paraId="2A73B109" w14:textId="77777777" w:rsidR="00FA5565" w:rsidRDefault="00FA5565">
            <w:pPr>
              <w:rPr>
                <w:rFonts w:ascii="Times New Roman" w:hAnsi="Times New Roman"/>
                <w:sz w:val="20"/>
                <w:szCs w:val="20"/>
              </w:rPr>
            </w:pPr>
          </w:p>
        </w:tc>
      </w:tr>
      <w:tr w:rsidR="00FA5565" w14:paraId="2A73B10F" w14:textId="77777777">
        <w:tc>
          <w:tcPr>
            <w:tcW w:w="0" w:type="auto"/>
            <w:shd w:val="clear" w:color="auto" w:fill="auto"/>
            <w:tcMar>
              <w:top w:w="40" w:type="dxa"/>
              <w:left w:w="40" w:type="dxa"/>
              <w:bottom w:w="40" w:type="dxa"/>
              <w:right w:w="40" w:type="dxa"/>
            </w:tcMar>
            <w:vAlign w:val="bottom"/>
          </w:tcPr>
          <w:p w14:paraId="2A73B10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2A73B10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1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2A73B10E"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r>
      <w:tr w:rsidR="00FA5565" w14:paraId="2A73B11C" w14:textId="77777777">
        <w:tc>
          <w:tcPr>
            <w:tcW w:w="0" w:type="auto"/>
            <w:shd w:val="clear" w:color="auto" w:fill="auto"/>
            <w:tcMar>
              <w:top w:w="40" w:type="dxa"/>
              <w:left w:w="40" w:type="dxa"/>
              <w:bottom w:w="40" w:type="dxa"/>
              <w:right w:w="40" w:type="dxa"/>
            </w:tcMar>
            <w:vAlign w:val="bottom"/>
          </w:tcPr>
          <w:p w14:paraId="2A73B1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B11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Notional</w:t>
            </w:r>
          </w:p>
          <w:p w14:paraId="2A73B11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Amount</w:t>
            </w:r>
          </w:p>
        </w:tc>
        <w:tc>
          <w:tcPr>
            <w:tcW w:w="0" w:type="auto"/>
            <w:shd w:val="clear" w:color="auto" w:fill="auto"/>
            <w:tcMar>
              <w:top w:w="40" w:type="dxa"/>
              <w:left w:w="40" w:type="dxa"/>
              <w:bottom w:w="40" w:type="dxa"/>
              <w:right w:w="40" w:type="dxa"/>
            </w:tcMar>
            <w:vAlign w:val="bottom"/>
          </w:tcPr>
          <w:p w14:paraId="2A73B11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11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Credit Risk</w:t>
            </w:r>
          </w:p>
          <w:p w14:paraId="2A73B11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Amount</w:t>
            </w:r>
          </w:p>
        </w:tc>
        <w:tc>
          <w:tcPr>
            <w:tcW w:w="0" w:type="auto"/>
            <w:shd w:val="clear" w:color="auto" w:fill="auto"/>
            <w:tcMar>
              <w:top w:w="40" w:type="dxa"/>
              <w:left w:w="40" w:type="dxa"/>
              <w:bottom w:w="40" w:type="dxa"/>
              <w:right w:w="40" w:type="dxa"/>
            </w:tcMar>
            <w:vAlign w:val="bottom"/>
          </w:tcPr>
          <w:p w14:paraId="2A73B1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2A73B11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Notional</w:t>
            </w:r>
          </w:p>
          <w:p w14:paraId="2A73B11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Amount</w:t>
            </w:r>
          </w:p>
        </w:tc>
        <w:tc>
          <w:tcPr>
            <w:tcW w:w="0" w:type="auto"/>
            <w:shd w:val="clear" w:color="auto" w:fill="auto"/>
            <w:tcMar>
              <w:top w:w="40" w:type="dxa"/>
              <w:left w:w="40" w:type="dxa"/>
              <w:bottom w:w="40" w:type="dxa"/>
              <w:right w:w="40" w:type="dxa"/>
            </w:tcMar>
            <w:vAlign w:val="bottom"/>
          </w:tcPr>
          <w:p w14:paraId="2A73B1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11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Credit Risk</w:t>
            </w:r>
          </w:p>
          <w:p w14:paraId="2A73B11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Amount</w:t>
            </w:r>
          </w:p>
        </w:tc>
      </w:tr>
      <w:tr w:rsidR="00FA5565" w14:paraId="2A73B125" w14:textId="77777777">
        <w:tc>
          <w:tcPr>
            <w:tcW w:w="0" w:type="auto"/>
            <w:shd w:val="clear" w:color="auto" w:fill="auto"/>
            <w:tcMar>
              <w:top w:w="40" w:type="dxa"/>
              <w:left w:w="40" w:type="dxa"/>
              <w:bottom w:w="40" w:type="dxa"/>
              <w:right w:w="40" w:type="dxa"/>
            </w:tcMar>
          </w:tcPr>
          <w:p w14:paraId="2A73B11D"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Instruments designated as accounting hedges:</w:t>
            </w:r>
          </w:p>
        </w:tc>
        <w:tc>
          <w:tcPr>
            <w:tcW w:w="0" w:type="auto"/>
            <w:gridSpan w:val="3"/>
            <w:shd w:val="clear" w:color="auto" w:fill="auto"/>
            <w:tcMar>
              <w:top w:w="40" w:type="dxa"/>
              <w:left w:w="40" w:type="dxa"/>
              <w:bottom w:w="40" w:type="dxa"/>
              <w:right w:w="40" w:type="dxa"/>
            </w:tcMar>
            <w:vAlign w:val="bottom"/>
          </w:tcPr>
          <w:p w14:paraId="2A73B11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11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1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1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12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1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1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136" w14:textId="77777777">
        <w:tc>
          <w:tcPr>
            <w:tcW w:w="0" w:type="auto"/>
            <w:shd w:val="clear" w:color="auto" w:fill="EFEFEF"/>
            <w:tcMar>
              <w:top w:w="40" w:type="dxa"/>
              <w:left w:w="560" w:type="dxa"/>
              <w:bottom w:w="40" w:type="dxa"/>
              <w:right w:w="40" w:type="dxa"/>
            </w:tcMar>
          </w:tcPr>
          <w:p w14:paraId="2A73B12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2A73B12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12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61,795</w:t>
            </w:r>
          </w:p>
        </w:tc>
        <w:tc>
          <w:tcPr>
            <w:tcW w:w="0" w:type="auto"/>
            <w:shd w:val="clear" w:color="auto" w:fill="EFEFEF"/>
            <w:vAlign w:val="bottom"/>
          </w:tcPr>
          <w:p w14:paraId="2A73B12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1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12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12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1,798</w:t>
            </w:r>
          </w:p>
        </w:tc>
        <w:tc>
          <w:tcPr>
            <w:tcW w:w="0" w:type="auto"/>
            <w:shd w:val="clear" w:color="auto" w:fill="EFEFEF"/>
            <w:vAlign w:val="bottom"/>
          </w:tcPr>
          <w:p w14:paraId="2A73B12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1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12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13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65,368</w:t>
            </w:r>
          </w:p>
        </w:tc>
        <w:tc>
          <w:tcPr>
            <w:tcW w:w="0" w:type="auto"/>
            <w:shd w:val="clear" w:color="auto" w:fill="EFEFEF"/>
            <w:vAlign w:val="bottom"/>
          </w:tcPr>
          <w:p w14:paraId="2A73B13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1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13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13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1,015</w:t>
            </w:r>
          </w:p>
        </w:tc>
        <w:tc>
          <w:tcPr>
            <w:tcW w:w="0" w:type="auto"/>
            <w:shd w:val="clear" w:color="auto" w:fill="EFEFEF"/>
            <w:vAlign w:val="bottom"/>
          </w:tcPr>
          <w:p w14:paraId="2A73B135" w14:textId="77777777" w:rsidR="00FA5565" w:rsidRDefault="00FA5565">
            <w:pPr>
              <w:textAlignment w:val="bottom"/>
              <w:rPr>
                <w:rFonts w:ascii="Times New Roman" w:hAnsi="Times New Roman"/>
                <w:sz w:val="20"/>
                <w:szCs w:val="20"/>
              </w:rPr>
            </w:pPr>
          </w:p>
        </w:tc>
      </w:tr>
      <w:tr w:rsidR="00FA5565" w14:paraId="2A73B147" w14:textId="77777777">
        <w:tc>
          <w:tcPr>
            <w:tcW w:w="0" w:type="auto"/>
            <w:shd w:val="clear" w:color="auto" w:fill="auto"/>
            <w:tcMar>
              <w:top w:w="40" w:type="dxa"/>
              <w:left w:w="560" w:type="dxa"/>
              <w:bottom w:w="40" w:type="dxa"/>
              <w:right w:w="40" w:type="dxa"/>
            </w:tcMar>
          </w:tcPr>
          <w:p w14:paraId="2A73B13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Interest rate contracts</w:t>
            </w:r>
          </w:p>
        </w:tc>
        <w:tc>
          <w:tcPr>
            <w:tcW w:w="0" w:type="auto"/>
            <w:shd w:val="clear" w:color="auto" w:fill="auto"/>
            <w:tcMar>
              <w:top w:w="40" w:type="dxa"/>
              <w:left w:w="40" w:type="dxa"/>
              <w:bottom w:w="40" w:type="dxa"/>
            </w:tcMar>
            <w:vAlign w:val="bottom"/>
          </w:tcPr>
          <w:p w14:paraId="2A73B13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13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31,250</w:t>
            </w:r>
          </w:p>
        </w:tc>
        <w:tc>
          <w:tcPr>
            <w:tcW w:w="0" w:type="auto"/>
            <w:shd w:val="clear" w:color="auto" w:fill="auto"/>
            <w:vAlign w:val="bottom"/>
          </w:tcPr>
          <w:p w14:paraId="2A73B13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1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13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13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685</w:t>
            </w:r>
          </w:p>
        </w:tc>
        <w:tc>
          <w:tcPr>
            <w:tcW w:w="0" w:type="auto"/>
            <w:shd w:val="clear" w:color="auto" w:fill="auto"/>
            <w:vAlign w:val="bottom"/>
          </w:tcPr>
          <w:p w14:paraId="2A73B13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1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14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14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33,250</w:t>
            </w:r>
          </w:p>
        </w:tc>
        <w:tc>
          <w:tcPr>
            <w:tcW w:w="0" w:type="auto"/>
            <w:shd w:val="clear" w:color="auto" w:fill="auto"/>
            <w:vAlign w:val="bottom"/>
          </w:tcPr>
          <w:p w14:paraId="2A73B14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1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14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14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2A73B146" w14:textId="77777777" w:rsidR="00FA5565" w:rsidRDefault="00FA5565">
            <w:pPr>
              <w:textAlignment w:val="bottom"/>
              <w:rPr>
                <w:rFonts w:ascii="Times New Roman" w:hAnsi="Times New Roman"/>
                <w:sz w:val="20"/>
                <w:szCs w:val="20"/>
              </w:rPr>
            </w:pPr>
          </w:p>
        </w:tc>
      </w:tr>
      <w:tr w:rsidR="00FA5565" w14:paraId="2A73B150" w14:textId="77777777">
        <w:tc>
          <w:tcPr>
            <w:tcW w:w="0" w:type="auto"/>
            <w:shd w:val="clear" w:color="auto" w:fill="EFEFEF"/>
            <w:tcMar>
              <w:top w:w="40" w:type="dxa"/>
              <w:left w:w="40" w:type="dxa"/>
              <w:bottom w:w="40" w:type="dxa"/>
              <w:right w:w="40" w:type="dxa"/>
            </w:tcMar>
            <w:vAlign w:val="bottom"/>
          </w:tcPr>
          <w:p w14:paraId="2A73B14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1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14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1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14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1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1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14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159" w14:textId="77777777">
        <w:tc>
          <w:tcPr>
            <w:tcW w:w="0" w:type="auto"/>
            <w:shd w:val="clear" w:color="auto" w:fill="auto"/>
            <w:tcMar>
              <w:top w:w="40" w:type="dxa"/>
              <w:left w:w="40" w:type="dxa"/>
              <w:bottom w:w="40" w:type="dxa"/>
              <w:right w:w="40" w:type="dxa"/>
            </w:tcMar>
          </w:tcPr>
          <w:p w14:paraId="2A73B15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Instruments not designated as accounting hedges:</w:t>
            </w:r>
          </w:p>
        </w:tc>
        <w:tc>
          <w:tcPr>
            <w:tcW w:w="0" w:type="auto"/>
            <w:gridSpan w:val="3"/>
            <w:shd w:val="clear" w:color="auto" w:fill="auto"/>
            <w:tcMar>
              <w:top w:w="40" w:type="dxa"/>
              <w:left w:w="40" w:type="dxa"/>
              <w:bottom w:w="40" w:type="dxa"/>
              <w:right w:w="40" w:type="dxa"/>
            </w:tcMar>
            <w:vAlign w:val="bottom"/>
          </w:tcPr>
          <w:p w14:paraId="2A73B1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15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15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15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1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1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15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16A" w14:textId="77777777">
        <w:tc>
          <w:tcPr>
            <w:tcW w:w="0" w:type="auto"/>
            <w:shd w:val="clear" w:color="auto" w:fill="EFEFEF"/>
            <w:tcMar>
              <w:top w:w="40" w:type="dxa"/>
              <w:left w:w="560" w:type="dxa"/>
              <w:bottom w:w="40" w:type="dxa"/>
              <w:right w:w="40" w:type="dxa"/>
            </w:tcMar>
          </w:tcPr>
          <w:p w14:paraId="2A73B15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tcMar>
            <w:vAlign w:val="bottom"/>
          </w:tcPr>
          <w:p w14:paraId="2A73B15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15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76,868</w:t>
            </w:r>
          </w:p>
        </w:tc>
        <w:tc>
          <w:tcPr>
            <w:tcW w:w="0" w:type="auto"/>
            <w:shd w:val="clear" w:color="auto" w:fill="EFEFEF"/>
            <w:vAlign w:val="bottom"/>
          </w:tcPr>
          <w:p w14:paraId="2A73B15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1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15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16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323</w:t>
            </w:r>
          </w:p>
        </w:tc>
        <w:tc>
          <w:tcPr>
            <w:tcW w:w="0" w:type="auto"/>
            <w:shd w:val="clear" w:color="auto" w:fill="EFEFEF"/>
            <w:vAlign w:val="bottom"/>
          </w:tcPr>
          <w:p w14:paraId="2A73B16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16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16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16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63,062</w:t>
            </w:r>
          </w:p>
        </w:tc>
        <w:tc>
          <w:tcPr>
            <w:tcW w:w="0" w:type="auto"/>
            <w:shd w:val="clear" w:color="auto" w:fill="EFEFEF"/>
            <w:vAlign w:val="bottom"/>
          </w:tcPr>
          <w:p w14:paraId="2A73B16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16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16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16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259</w:t>
            </w:r>
          </w:p>
        </w:tc>
        <w:tc>
          <w:tcPr>
            <w:tcW w:w="0" w:type="auto"/>
            <w:shd w:val="clear" w:color="auto" w:fill="EFEFEF"/>
            <w:vAlign w:val="bottom"/>
          </w:tcPr>
          <w:p w14:paraId="2A73B169" w14:textId="77777777" w:rsidR="00FA5565" w:rsidRDefault="00FA5565">
            <w:pPr>
              <w:textAlignment w:val="bottom"/>
              <w:rPr>
                <w:rFonts w:ascii="Times New Roman" w:hAnsi="Times New Roman"/>
                <w:sz w:val="20"/>
                <w:szCs w:val="20"/>
              </w:rPr>
            </w:pPr>
          </w:p>
        </w:tc>
      </w:tr>
    </w:tbl>
    <w:p w14:paraId="2A73B16B" w14:textId="77777777" w:rsidR="00FA5565" w:rsidRDefault="00FA5565">
      <w:pPr>
        <w:spacing w:line="288" w:lineRule="auto"/>
        <w:jc w:val="both"/>
        <w:rPr>
          <w:rFonts w:ascii="Times New Roman" w:hAnsi="Times New Roman"/>
          <w:sz w:val="20"/>
          <w:szCs w:val="20"/>
        </w:rPr>
      </w:pPr>
    </w:p>
    <w:p w14:paraId="2A73B16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notional amounts for outstanding derivative instruments provide one measure of </w:t>
      </w:r>
      <w:r>
        <w:rPr>
          <w:rFonts w:ascii="Helvetica" w:eastAsia="Helvetica" w:hAnsi="Helvetica" w:cs="Helvetica"/>
          <w:sz w:val="18"/>
          <w:szCs w:val="18"/>
        </w:rPr>
        <w:t>the transaction volume outstanding and do not represent the amount of the Company’s exposure to credit or market loss. The credit risk amounts represent the Company’s gross exposure to potential accounting loss on derivative instruments that are outstandin</w:t>
      </w:r>
      <w:r>
        <w:rPr>
          <w:rFonts w:ascii="Helvetica" w:eastAsia="Helvetica" w:hAnsi="Helvetica" w:cs="Helvetica"/>
          <w:sz w:val="18"/>
          <w:szCs w:val="18"/>
        </w:rPr>
        <w:t>g or unsettled if all counterparties failed to perform according to the terms of the contract, based on then-current currency or interest rates at each respective date. The Company’s exposure to credit loss and market risk will vary over time as currency a</w:t>
      </w:r>
      <w:r>
        <w:rPr>
          <w:rFonts w:ascii="Helvetica" w:eastAsia="Helvetica" w:hAnsi="Helvetica" w:cs="Helvetica"/>
          <w:sz w:val="18"/>
          <w:szCs w:val="18"/>
        </w:rPr>
        <w:t>nd interest rates change. Although the table above reflects the notional and credit risk amounts of the Company’s derivative instruments, it does not reflect the gains or losses associated with the exposures and transactions that the instruments are intend</w:t>
      </w:r>
      <w:r>
        <w:rPr>
          <w:rFonts w:ascii="Helvetica" w:eastAsia="Helvetica" w:hAnsi="Helvetica" w:cs="Helvetica"/>
          <w:sz w:val="18"/>
          <w:szCs w:val="18"/>
        </w:rPr>
        <w:t>ed to hedge. The amounts ultimately realized upon settlement of these financial instruments, together with the gains and losses on the underlying exposures, will depend on actual market conditions during the remaining life of the instruments.</w:t>
      </w:r>
    </w:p>
    <w:p w14:paraId="2A73B16D" w14:textId="77777777" w:rsidR="00FA5565" w:rsidRDefault="00FA5565">
      <w:pPr>
        <w:rPr>
          <w:rFonts w:ascii="Times New Roman" w:hAnsi="Times New Roman"/>
          <w:sz w:val="20"/>
          <w:szCs w:val="20"/>
        </w:rPr>
      </w:pPr>
    </w:p>
    <w:p w14:paraId="2A73B16E"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 xml:space="preserve">Apple </w:t>
      </w:r>
      <w:r>
        <w:rPr>
          <w:rFonts w:ascii="Helvetica" w:eastAsia="Helvetica" w:hAnsi="Helvetica" w:cs="Helvetica"/>
          <w:sz w:val="16"/>
          <w:szCs w:val="16"/>
        </w:rPr>
        <w:t>Inc. | 2019 Form 10-K | 42</w:t>
      </w:r>
    </w:p>
    <w:p w14:paraId="2A73B16F" w14:textId="77777777" w:rsidR="00FA5565" w:rsidRDefault="00D804D1">
      <w:r>
        <w:rPr>
          <w:rFonts w:ascii="Times New Roman" w:hAnsi="Times New Roman"/>
          <w:sz w:val="16"/>
          <w:szCs w:val="16"/>
        </w:rPr>
        <w:pict w14:anchorId="2A73C0C6">
          <v:rect id="_x0000_i1068" style="width:415.3pt;height:1.5pt" o:hralign="center" o:hrstd="t" o:hr="t" fillcolor="#a0a0a0" stroked="f"/>
        </w:pict>
      </w:r>
    </w:p>
    <w:p w14:paraId="2A73B170" w14:textId="77777777" w:rsidR="00FA5565" w:rsidRDefault="00FA5565">
      <w:pPr>
        <w:rPr>
          <w:rFonts w:ascii="Times New Roman" w:hAnsi="Times New Roman"/>
          <w:sz w:val="20"/>
          <w:szCs w:val="20"/>
        </w:rPr>
      </w:pPr>
    </w:p>
    <w:p w14:paraId="2A73B17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generally enters into master netting arrangements, which are designed to reduce credit risk by permitting net settlement of transactions with the same counterparty. To further limit credit risk, the Company general</w:t>
      </w:r>
      <w:r>
        <w:rPr>
          <w:rFonts w:ascii="Helvetica" w:eastAsia="Helvetica" w:hAnsi="Helvetica" w:cs="Helvetica"/>
          <w:sz w:val="18"/>
          <w:szCs w:val="18"/>
        </w:rPr>
        <w:t>ly enters into collateral security arrangements that provide for collateral to be received or posted when the net fair value of certain financial instruments fluctuates from contractually established thresholds. The Company presents its derivative assets a</w:t>
      </w:r>
      <w:r>
        <w:rPr>
          <w:rFonts w:ascii="Helvetica" w:eastAsia="Helvetica" w:hAnsi="Helvetica" w:cs="Helvetica"/>
          <w:sz w:val="18"/>
          <w:szCs w:val="18"/>
        </w:rPr>
        <w:t>nd derivative liabilities at their gross fair values in its Consolidated Balance Sheets. As of September 28, 2019, the net cash collateral received by the Company related to derivative instruments under its collateral security arrangements was $1.6 billion</w:t>
      </w:r>
      <w:r>
        <w:rPr>
          <w:rFonts w:ascii="Helvetica" w:eastAsia="Helvetica" w:hAnsi="Helvetica" w:cs="Helvetica"/>
          <w:sz w:val="18"/>
          <w:szCs w:val="18"/>
        </w:rPr>
        <w:t>, which was recorded as other current liabilities in the Consolidated Balance Sheet. As of September 29, 2018, the net cash collateral posted by the Company related to derivative instruments under its collateral security arrangements was $1.0 billion, whic</w:t>
      </w:r>
      <w:r>
        <w:rPr>
          <w:rFonts w:ascii="Helvetica" w:eastAsia="Helvetica" w:hAnsi="Helvetica" w:cs="Helvetica"/>
          <w:sz w:val="18"/>
          <w:szCs w:val="18"/>
        </w:rPr>
        <w:t>h was recorded as other current assets in the Consolidated Balance Sheet.</w:t>
      </w:r>
    </w:p>
    <w:p w14:paraId="2A73B17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Under master netting arrangements with the respective counterparties to the Company’s derivative contracts, the Company is allowed to net settle transactions with a single net amount</w:t>
      </w:r>
      <w:r>
        <w:rPr>
          <w:rFonts w:ascii="Helvetica" w:eastAsia="Helvetica" w:hAnsi="Helvetica" w:cs="Helvetica"/>
          <w:sz w:val="18"/>
          <w:szCs w:val="18"/>
        </w:rPr>
        <w:t xml:space="preserve"> payable by one party to the other. As of September 28, 2019 and September 29, 2018, the potential effects of these rights of set-off associated with the Company’s derivative contracts, including the effects of collateral, would be a reduction to both deri</w:t>
      </w:r>
      <w:r>
        <w:rPr>
          <w:rFonts w:ascii="Helvetica" w:eastAsia="Helvetica" w:hAnsi="Helvetica" w:cs="Helvetica"/>
          <w:sz w:val="18"/>
          <w:szCs w:val="18"/>
        </w:rPr>
        <w:t>vative assets and derivative liabilities of $2.7 billion and $2.1 billion, respectively, resulting in a net derivative liability of $407 million and a net derivative asset of $138 million, respectively.</w:t>
      </w:r>
    </w:p>
    <w:p w14:paraId="2A73B173"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Accounts Receivable</w:t>
      </w:r>
    </w:p>
    <w:p w14:paraId="2A73B174"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Trade Receivables</w:t>
      </w:r>
    </w:p>
    <w:p w14:paraId="2A73B17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w:t>
      </w:r>
      <w:r>
        <w:rPr>
          <w:rFonts w:ascii="Helvetica" w:eastAsia="Helvetica" w:hAnsi="Helvetica" w:cs="Helvetica"/>
          <w:sz w:val="18"/>
          <w:szCs w:val="18"/>
        </w:rPr>
        <w:t>Company has considerable trade receivables outstanding with its third-party cellular network carriers, wholesalers, retailers, resellers, small and mid-sized businesses and education, enterprise and government customers. The Company generally does not requ</w:t>
      </w:r>
      <w:r>
        <w:rPr>
          <w:rFonts w:ascii="Helvetica" w:eastAsia="Helvetica" w:hAnsi="Helvetica" w:cs="Helvetica"/>
          <w:sz w:val="18"/>
          <w:szCs w:val="18"/>
        </w:rPr>
        <w:t xml:space="preserve">ire collateral from its customers; however, the Company will require collateral or third-party credit support in certain instances to limit credit risk. In addition, when possible, the Company attempts to limit credit risk on trade receivables with credit </w:t>
      </w:r>
      <w:r>
        <w:rPr>
          <w:rFonts w:ascii="Helvetica" w:eastAsia="Helvetica" w:hAnsi="Helvetica" w:cs="Helvetica"/>
          <w:sz w:val="18"/>
          <w:szCs w:val="18"/>
        </w:rPr>
        <w:t>insurance for certain customers or by requiring third-party financing, loans or leases to support credit exposure. These credit-financing arrangements are directly between the third-party financing company and the end customer. As such, the Company general</w:t>
      </w:r>
      <w:r>
        <w:rPr>
          <w:rFonts w:ascii="Helvetica" w:eastAsia="Helvetica" w:hAnsi="Helvetica" w:cs="Helvetica"/>
          <w:sz w:val="18"/>
          <w:szCs w:val="18"/>
        </w:rPr>
        <w:t>ly does not assume any recourse or credit risk sharing related to any of these arrangements.</w:t>
      </w:r>
    </w:p>
    <w:p w14:paraId="2A73B17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As of September 28, 2019, the Company had no customers that individually represented 10% or more of total trade receivables. As of September 29, 2018, the Company </w:t>
      </w:r>
      <w:r>
        <w:rPr>
          <w:rFonts w:ascii="Helvetica" w:eastAsia="Helvetica" w:hAnsi="Helvetica" w:cs="Helvetica"/>
          <w:sz w:val="18"/>
          <w:szCs w:val="18"/>
        </w:rPr>
        <w:t>had one customer that represented 10% or more of total trade receivables, which accounted for 10%. The Company’s cellular network carriers accounted for 51% and 59% of total trade receivables as of September 28, 2019 and September 29, 2018, respectively.</w:t>
      </w:r>
    </w:p>
    <w:p w14:paraId="2A73B177"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V</w:t>
      </w:r>
      <w:r>
        <w:rPr>
          <w:rFonts w:ascii="Helvetica" w:eastAsia="Helvetica" w:hAnsi="Helvetica" w:cs="Helvetica"/>
          <w:i/>
          <w:iCs/>
          <w:sz w:val="18"/>
          <w:szCs w:val="18"/>
        </w:rPr>
        <w:t>endor Non-Trade Receivables</w:t>
      </w:r>
    </w:p>
    <w:p w14:paraId="2A73B17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has non-trade receivables from certain of its manufacturing vendors resulting from the sale of components to these vendors who manufacture sub-assemblies or assemble final products for the Company. The Company purcha</w:t>
      </w:r>
      <w:r>
        <w:rPr>
          <w:rFonts w:ascii="Helvetica" w:eastAsia="Helvetica" w:hAnsi="Helvetica" w:cs="Helvetica"/>
          <w:sz w:val="18"/>
          <w:szCs w:val="18"/>
        </w:rPr>
        <w:t xml:space="preserve">ses these components directly from suppliers. As of September 28, 2019, the Company had two vendors that individually represented 10% or more of total vendor non-trade receivables, which accounted for 59% and 14%. As of September 29, 2018, the Company had </w:t>
      </w:r>
      <w:r>
        <w:rPr>
          <w:rFonts w:ascii="Helvetica" w:eastAsia="Helvetica" w:hAnsi="Helvetica" w:cs="Helvetica"/>
          <w:sz w:val="18"/>
          <w:szCs w:val="18"/>
        </w:rPr>
        <w:t>two vendors that individually represented 10% or more of total vendor non-trade receivables, which accounted for 62% and 12%.</w:t>
      </w:r>
    </w:p>
    <w:p w14:paraId="2A73B17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Note 4 – Consolidated Financial Statement Details</w:t>
      </w:r>
    </w:p>
    <w:p w14:paraId="2A73B17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tables show the Company’s consolidated financial statement details</w:t>
      </w:r>
      <w:r>
        <w:rPr>
          <w:rFonts w:ascii="Helvetica" w:eastAsia="Helvetica" w:hAnsi="Helvetica" w:cs="Helvetica"/>
          <w:sz w:val="18"/>
          <w:szCs w:val="18"/>
        </w:rPr>
        <w:t xml:space="preserve"> as of September 28, 2019 and September 29, 2018 (in millions):</w:t>
      </w:r>
    </w:p>
    <w:p w14:paraId="2A73B17B"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Property, Plant and Equipment, Net</w:t>
      </w:r>
    </w:p>
    <w:tbl>
      <w:tblPr>
        <w:tblW w:w="5000" w:type="pct"/>
        <w:tblCellMar>
          <w:left w:w="0" w:type="dxa"/>
          <w:right w:w="0" w:type="dxa"/>
        </w:tblCellMar>
        <w:tblLook w:val="04A0" w:firstRow="1" w:lastRow="0" w:firstColumn="1" w:lastColumn="0" w:noHBand="0" w:noVBand="1"/>
      </w:tblPr>
      <w:tblGrid>
        <w:gridCol w:w="5831"/>
        <w:gridCol w:w="141"/>
        <w:gridCol w:w="931"/>
        <w:gridCol w:w="100"/>
        <w:gridCol w:w="130"/>
        <w:gridCol w:w="141"/>
        <w:gridCol w:w="932"/>
        <w:gridCol w:w="100"/>
      </w:tblGrid>
      <w:tr w:rsidR="00FA5565" w14:paraId="2A73B17D" w14:textId="77777777">
        <w:tc>
          <w:tcPr>
            <w:tcW w:w="0" w:type="auto"/>
            <w:gridSpan w:val="8"/>
            <w:shd w:val="clear" w:color="auto" w:fill="auto"/>
            <w:vAlign w:val="center"/>
          </w:tcPr>
          <w:p w14:paraId="2A73B17C" w14:textId="77777777" w:rsidR="00FA5565" w:rsidRDefault="00FA5565">
            <w:pPr>
              <w:rPr>
                <w:rFonts w:ascii="Times New Roman" w:hAnsi="Times New Roman"/>
                <w:sz w:val="20"/>
                <w:szCs w:val="20"/>
              </w:rPr>
            </w:pPr>
          </w:p>
        </w:tc>
      </w:tr>
      <w:tr w:rsidR="00FA5565" w14:paraId="2A73B186" w14:textId="77777777">
        <w:tc>
          <w:tcPr>
            <w:tcW w:w="3550" w:type="pct"/>
            <w:shd w:val="clear" w:color="auto" w:fill="auto"/>
            <w:vAlign w:val="center"/>
          </w:tcPr>
          <w:p w14:paraId="2A73B17E" w14:textId="77777777" w:rsidR="00FA5565" w:rsidRDefault="00FA5565">
            <w:pPr>
              <w:rPr>
                <w:rFonts w:ascii="Times New Roman" w:hAnsi="Times New Roman"/>
                <w:sz w:val="20"/>
                <w:szCs w:val="20"/>
              </w:rPr>
            </w:pPr>
          </w:p>
        </w:tc>
        <w:tc>
          <w:tcPr>
            <w:tcW w:w="50" w:type="pct"/>
            <w:shd w:val="clear" w:color="auto" w:fill="auto"/>
            <w:vAlign w:val="center"/>
          </w:tcPr>
          <w:p w14:paraId="2A73B17F" w14:textId="77777777" w:rsidR="00FA5565" w:rsidRDefault="00FA5565">
            <w:pPr>
              <w:rPr>
                <w:rFonts w:ascii="Times New Roman" w:hAnsi="Times New Roman"/>
                <w:sz w:val="20"/>
                <w:szCs w:val="20"/>
              </w:rPr>
            </w:pPr>
          </w:p>
        </w:tc>
        <w:tc>
          <w:tcPr>
            <w:tcW w:w="600" w:type="pct"/>
            <w:shd w:val="clear" w:color="auto" w:fill="auto"/>
            <w:vAlign w:val="center"/>
          </w:tcPr>
          <w:p w14:paraId="2A73B180" w14:textId="77777777" w:rsidR="00FA5565" w:rsidRDefault="00FA5565">
            <w:pPr>
              <w:rPr>
                <w:rFonts w:ascii="Times New Roman" w:hAnsi="Times New Roman"/>
                <w:sz w:val="20"/>
                <w:szCs w:val="20"/>
              </w:rPr>
            </w:pPr>
          </w:p>
        </w:tc>
        <w:tc>
          <w:tcPr>
            <w:tcW w:w="50" w:type="pct"/>
            <w:shd w:val="clear" w:color="auto" w:fill="auto"/>
            <w:vAlign w:val="center"/>
          </w:tcPr>
          <w:p w14:paraId="2A73B181" w14:textId="77777777" w:rsidR="00FA5565" w:rsidRDefault="00FA5565">
            <w:pPr>
              <w:rPr>
                <w:rFonts w:ascii="Times New Roman" w:hAnsi="Times New Roman"/>
                <w:sz w:val="20"/>
                <w:szCs w:val="20"/>
              </w:rPr>
            </w:pPr>
          </w:p>
        </w:tc>
        <w:tc>
          <w:tcPr>
            <w:tcW w:w="50" w:type="pct"/>
            <w:shd w:val="clear" w:color="auto" w:fill="auto"/>
            <w:vAlign w:val="center"/>
          </w:tcPr>
          <w:p w14:paraId="2A73B182" w14:textId="77777777" w:rsidR="00FA5565" w:rsidRDefault="00FA5565">
            <w:pPr>
              <w:rPr>
                <w:rFonts w:ascii="Times New Roman" w:hAnsi="Times New Roman"/>
                <w:sz w:val="20"/>
                <w:szCs w:val="20"/>
              </w:rPr>
            </w:pPr>
          </w:p>
        </w:tc>
        <w:tc>
          <w:tcPr>
            <w:tcW w:w="50" w:type="pct"/>
            <w:shd w:val="clear" w:color="auto" w:fill="auto"/>
            <w:vAlign w:val="center"/>
          </w:tcPr>
          <w:p w14:paraId="2A73B183" w14:textId="77777777" w:rsidR="00FA5565" w:rsidRDefault="00FA5565">
            <w:pPr>
              <w:rPr>
                <w:rFonts w:ascii="Times New Roman" w:hAnsi="Times New Roman"/>
                <w:sz w:val="20"/>
                <w:szCs w:val="20"/>
              </w:rPr>
            </w:pPr>
          </w:p>
        </w:tc>
        <w:tc>
          <w:tcPr>
            <w:tcW w:w="600" w:type="pct"/>
            <w:shd w:val="clear" w:color="auto" w:fill="auto"/>
            <w:vAlign w:val="center"/>
          </w:tcPr>
          <w:p w14:paraId="2A73B184" w14:textId="77777777" w:rsidR="00FA5565" w:rsidRDefault="00FA5565">
            <w:pPr>
              <w:rPr>
                <w:rFonts w:ascii="Times New Roman" w:hAnsi="Times New Roman"/>
                <w:sz w:val="20"/>
                <w:szCs w:val="20"/>
              </w:rPr>
            </w:pPr>
          </w:p>
        </w:tc>
        <w:tc>
          <w:tcPr>
            <w:tcW w:w="50" w:type="pct"/>
            <w:shd w:val="clear" w:color="auto" w:fill="auto"/>
            <w:vAlign w:val="center"/>
          </w:tcPr>
          <w:p w14:paraId="2A73B185" w14:textId="77777777" w:rsidR="00FA5565" w:rsidRDefault="00FA5565">
            <w:pPr>
              <w:rPr>
                <w:rFonts w:ascii="Times New Roman" w:hAnsi="Times New Roman"/>
                <w:sz w:val="20"/>
                <w:szCs w:val="20"/>
              </w:rPr>
            </w:pPr>
          </w:p>
        </w:tc>
      </w:tr>
      <w:tr w:rsidR="00FA5565" w14:paraId="2A73B18B" w14:textId="77777777">
        <w:tc>
          <w:tcPr>
            <w:tcW w:w="0" w:type="auto"/>
            <w:shd w:val="clear" w:color="auto" w:fill="auto"/>
            <w:tcMar>
              <w:top w:w="40" w:type="dxa"/>
              <w:left w:w="40" w:type="dxa"/>
              <w:bottom w:w="40" w:type="dxa"/>
              <w:right w:w="40" w:type="dxa"/>
            </w:tcMar>
            <w:vAlign w:val="bottom"/>
          </w:tcPr>
          <w:p w14:paraId="2A73B18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18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1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18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r>
      <w:tr w:rsidR="00FA5565" w14:paraId="2A73B194" w14:textId="77777777">
        <w:tc>
          <w:tcPr>
            <w:tcW w:w="0" w:type="auto"/>
            <w:shd w:val="clear" w:color="auto" w:fill="auto"/>
            <w:tcMar>
              <w:top w:w="40" w:type="dxa"/>
              <w:left w:w="40" w:type="dxa"/>
              <w:bottom w:w="40" w:type="dxa"/>
              <w:right w:w="40" w:type="dxa"/>
            </w:tcMar>
          </w:tcPr>
          <w:p w14:paraId="2A73B18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Land and buildings</w:t>
            </w:r>
          </w:p>
        </w:tc>
        <w:tc>
          <w:tcPr>
            <w:tcW w:w="0" w:type="auto"/>
            <w:tcBorders>
              <w:top w:val="single" w:sz="8" w:space="0" w:color="000000"/>
            </w:tcBorders>
            <w:shd w:val="clear" w:color="auto" w:fill="auto"/>
            <w:tcMar>
              <w:top w:w="40" w:type="dxa"/>
              <w:left w:w="40" w:type="dxa"/>
              <w:bottom w:w="40" w:type="dxa"/>
            </w:tcMar>
            <w:vAlign w:val="bottom"/>
          </w:tcPr>
          <w:p w14:paraId="2A73B18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18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17,085</w:t>
            </w:r>
          </w:p>
        </w:tc>
        <w:tc>
          <w:tcPr>
            <w:tcW w:w="0" w:type="auto"/>
            <w:tcBorders>
              <w:top w:val="single" w:sz="8" w:space="0" w:color="000000"/>
            </w:tcBorders>
            <w:shd w:val="clear" w:color="auto" w:fill="auto"/>
            <w:vAlign w:val="bottom"/>
          </w:tcPr>
          <w:p w14:paraId="2A73B18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1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19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19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16,216</w:t>
            </w:r>
          </w:p>
        </w:tc>
        <w:tc>
          <w:tcPr>
            <w:tcW w:w="0" w:type="auto"/>
            <w:tcBorders>
              <w:top w:val="single" w:sz="8" w:space="0" w:color="000000"/>
            </w:tcBorders>
            <w:shd w:val="clear" w:color="auto" w:fill="auto"/>
            <w:vAlign w:val="bottom"/>
          </w:tcPr>
          <w:p w14:paraId="2A73B193" w14:textId="77777777" w:rsidR="00FA5565" w:rsidRDefault="00FA5565">
            <w:pPr>
              <w:textAlignment w:val="bottom"/>
              <w:rPr>
                <w:rFonts w:ascii="Times New Roman" w:hAnsi="Times New Roman"/>
                <w:sz w:val="20"/>
                <w:szCs w:val="20"/>
              </w:rPr>
            </w:pPr>
          </w:p>
        </w:tc>
      </w:tr>
      <w:tr w:rsidR="00FA5565" w14:paraId="2A73B19B" w14:textId="77777777">
        <w:tc>
          <w:tcPr>
            <w:tcW w:w="0" w:type="auto"/>
            <w:shd w:val="clear" w:color="auto" w:fill="EFEFEF"/>
            <w:tcMar>
              <w:top w:w="40" w:type="dxa"/>
              <w:left w:w="40" w:type="dxa"/>
              <w:bottom w:w="40" w:type="dxa"/>
              <w:right w:w="40" w:type="dxa"/>
            </w:tcMar>
          </w:tcPr>
          <w:p w14:paraId="2A73B19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Machinery, equipment and internal-use software</w:t>
            </w:r>
          </w:p>
        </w:tc>
        <w:tc>
          <w:tcPr>
            <w:tcW w:w="0" w:type="auto"/>
            <w:gridSpan w:val="2"/>
            <w:shd w:val="clear" w:color="auto" w:fill="EFEFEF"/>
            <w:tcMar>
              <w:top w:w="40" w:type="dxa"/>
              <w:left w:w="40" w:type="dxa"/>
              <w:bottom w:w="40" w:type="dxa"/>
            </w:tcMar>
            <w:vAlign w:val="bottom"/>
          </w:tcPr>
          <w:p w14:paraId="2A73B19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69,797</w:t>
            </w:r>
          </w:p>
        </w:tc>
        <w:tc>
          <w:tcPr>
            <w:tcW w:w="0" w:type="auto"/>
            <w:shd w:val="clear" w:color="auto" w:fill="EFEFEF"/>
            <w:vAlign w:val="bottom"/>
          </w:tcPr>
          <w:p w14:paraId="2A73B19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19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19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65,982</w:t>
            </w:r>
          </w:p>
        </w:tc>
        <w:tc>
          <w:tcPr>
            <w:tcW w:w="0" w:type="auto"/>
            <w:shd w:val="clear" w:color="auto" w:fill="EFEFEF"/>
            <w:vAlign w:val="bottom"/>
          </w:tcPr>
          <w:p w14:paraId="2A73B19A" w14:textId="77777777" w:rsidR="00FA5565" w:rsidRDefault="00FA5565">
            <w:pPr>
              <w:textAlignment w:val="bottom"/>
              <w:rPr>
                <w:rFonts w:ascii="Times New Roman" w:hAnsi="Times New Roman"/>
                <w:sz w:val="20"/>
                <w:szCs w:val="20"/>
              </w:rPr>
            </w:pPr>
          </w:p>
        </w:tc>
      </w:tr>
      <w:tr w:rsidR="00FA5565" w14:paraId="2A73B1A2" w14:textId="77777777">
        <w:tc>
          <w:tcPr>
            <w:tcW w:w="0" w:type="auto"/>
            <w:shd w:val="clear" w:color="auto" w:fill="auto"/>
            <w:tcMar>
              <w:top w:w="40" w:type="dxa"/>
              <w:left w:w="40" w:type="dxa"/>
              <w:bottom w:w="40" w:type="dxa"/>
              <w:right w:w="40" w:type="dxa"/>
            </w:tcMar>
          </w:tcPr>
          <w:p w14:paraId="2A73B19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Leasehold </w:t>
            </w:r>
            <w:r>
              <w:rPr>
                <w:rFonts w:ascii="Helvetica" w:eastAsia="Helvetica" w:hAnsi="Helvetica" w:cs="Helvetica"/>
                <w:sz w:val="18"/>
                <w:szCs w:val="18"/>
              </w:rPr>
              <w:t>improvements</w:t>
            </w:r>
          </w:p>
        </w:tc>
        <w:tc>
          <w:tcPr>
            <w:tcW w:w="0" w:type="auto"/>
            <w:gridSpan w:val="2"/>
            <w:tcBorders>
              <w:bottom w:val="single" w:sz="8" w:space="0" w:color="000000"/>
            </w:tcBorders>
            <w:shd w:val="clear" w:color="auto" w:fill="auto"/>
            <w:tcMar>
              <w:top w:w="40" w:type="dxa"/>
              <w:left w:w="40" w:type="dxa"/>
              <w:bottom w:w="40" w:type="dxa"/>
            </w:tcMar>
            <w:vAlign w:val="bottom"/>
          </w:tcPr>
          <w:p w14:paraId="2A73B19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9,075</w:t>
            </w:r>
          </w:p>
        </w:tc>
        <w:tc>
          <w:tcPr>
            <w:tcW w:w="0" w:type="auto"/>
            <w:tcBorders>
              <w:bottom w:val="single" w:sz="8" w:space="0" w:color="000000"/>
            </w:tcBorders>
            <w:shd w:val="clear" w:color="auto" w:fill="auto"/>
            <w:vAlign w:val="bottom"/>
          </w:tcPr>
          <w:p w14:paraId="2A73B19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19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1A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8,205</w:t>
            </w:r>
          </w:p>
        </w:tc>
        <w:tc>
          <w:tcPr>
            <w:tcW w:w="0" w:type="auto"/>
            <w:tcBorders>
              <w:bottom w:val="single" w:sz="8" w:space="0" w:color="000000"/>
            </w:tcBorders>
            <w:shd w:val="clear" w:color="auto" w:fill="auto"/>
            <w:vAlign w:val="bottom"/>
          </w:tcPr>
          <w:p w14:paraId="2A73B1A1" w14:textId="77777777" w:rsidR="00FA5565" w:rsidRDefault="00FA5565">
            <w:pPr>
              <w:textAlignment w:val="bottom"/>
              <w:rPr>
                <w:rFonts w:ascii="Times New Roman" w:hAnsi="Times New Roman"/>
                <w:sz w:val="20"/>
                <w:szCs w:val="20"/>
              </w:rPr>
            </w:pPr>
          </w:p>
        </w:tc>
      </w:tr>
      <w:tr w:rsidR="00FA5565" w14:paraId="2A73B1A9" w14:textId="77777777">
        <w:tc>
          <w:tcPr>
            <w:tcW w:w="0" w:type="auto"/>
            <w:shd w:val="clear" w:color="auto" w:fill="EFEFEF"/>
            <w:tcMar>
              <w:top w:w="40" w:type="dxa"/>
              <w:left w:w="560" w:type="dxa"/>
              <w:bottom w:w="40" w:type="dxa"/>
              <w:right w:w="40" w:type="dxa"/>
            </w:tcMar>
          </w:tcPr>
          <w:p w14:paraId="2A73B1A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Gross property, plant and equipment</w:t>
            </w:r>
          </w:p>
        </w:tc>
        <w:tc>
          <w:tcPr>
            <w:tcW w:w="0" w:type="auto"/>
            <w:gridSpan w:val="2"/>
            <w:tcBorders>
              <w:top w:val="single" w:sz="8" w:space="0" w:color="000000"/>
            </w:tcBorders>
            <w:shd w:val="clear" w:color="auto" w:fill="EFEFEF"/>
            <w:tcMar>
              <w:top w:w="40" w:type="dxa"/>
              <w:left w:w="40" w:type="dxa"/>
              <w:bottom w:w="40" w:type="dxa"/>
            </w:tcMar>
            <w:vAlign w:val="bottom"/>
          </w:tcPr>
          <w:p w14:paraId="2A73B1A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95,957</w:t>
            </w:r>
          </w:p>
        </w:tc>
        <w:tc>
          <w:tcPr>
            <w:tcW w:w="0" w:type="auto"/>
            <w:tcBorders>
              <w:top w:val="single" w:sz="8" w:space="0" w:color="000000"/>
            </w:tcBorders>
            <w:shd w:val="clear" w:color="auto" w:fill="EFEFEF"/>
            <w:vAlign w:val="bottom"/>
          </w:tcPr>
          <w:p w14:paraId="2A73B1A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1A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2A73B1A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90,403</w:t>
            </w:r>
          </w:p>
        </w:tc>
        <w:tc>
          <w:tcPr>
            <w:tcW w:w="0" w:type="auto"/>
            <w:tcBorders>
              <w:top w:val="single" w:sz="8" w:space="0" w:color="000000"/>
            </w:tcBorders>
            <w:shd w:val="clear" w:color="auto" w:fill="EFEFEF"/>
            <w:vAlign w:val="bottom"/>
          </w:tcPr>
          <w:p w14:paraId="2A73B1A8" w14:textId="77777777" w:rsidR="00FA5565" w:rsidRDefault="00FA5565">
            <w:pPr>
              <w:textAlignment w:val="bottom"/>
              <w:rPr>
                <w:rFonts w:ascii="Times New Roman" w:hAnsi="Times New Roman"/>
                <w:sz w:val="20"/>
                <w:szCs w:val="20"/>
              </w:rPr>
            </w:pPr>
          </w:p>
        </w:tc>
      </w:tr>
      <w:tr w:rsidR="00FA5565" w14:paraId="2A73B1B0" w14:textId="77777777">
        <w:tc>
          <w:tcPr>
            <w:tcW w:w="0" w:type="auto"/>
            <w:shd w:val="clear" w:color="auto" w:fill="auto"/>
            <w:tcMar>
              <w:top w:w="40" w:type="dxa"/>
              <w:left w:w="40" w:type="dxa"/>
              <w:bottom w:w="40" w:type="dxa"/>
              <w:right w:w="40" w:type="dxa"/>
            </w:tcMar>
          </w:tcPr>
          <w:p w14:paraId="2A73B1A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Accumulated depreciation and amortization</w:t>
            </w:r>
          </w:p>
        </w:tc>
        <w:tc>
          <w:tcPr>
            <w:tcW w:w="0" w:type="auto"/>
            <w:gridSpan w:val="2"/>
            <w:tcBorders>
              <w:bottom w:val="single" w:sz="8" w:space="0" w:color="000000"/>
            </w:tcBorders>
            <w:shd w:val="clear" w:color="auto" w:fill="auto"/>
            <w:tcMar>
              <w:top w:w="40" w:type="dxa"/>
              <w:left w:w="40" w:type="dxa"/>
              <w:bottom w:w="40" w:type="dxa"/>
            </w:tcMar>
            <w:vAlign w:val="bottom"/>
          </w:tcPr>
          <w:p w14:paraId="2A73B1A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(58,579</w:t>
            </w:r>
          </w:p>
        </w:tc>
        <w:tc>
          <w:tcPr>
            <w:tcW w:w="0" w:type="auto"/>
            <w:tcBorders>
              <w:bottom w:val="single" w:sz="8" w:space="0" w:color="000000"/>
            </w:tcBorders>
            <w:shd w:val="clear" w:color="auto" w:fill="auto"/>
            <w:tcMar>
              <w:top w:w="40" w:type="dxa"/>
              <w:bottom w:w="40" w:type="dxa"/>
              <w:right w:w="40" w:type="dxa"/>
            </w:tcMar>
            <w:vAlign w:val="bottom"/>
          </w:tcPr>
          <w:p w14:paraId="2A73B1A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1A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1A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(49,099</w:t>
            </w:r>
          </w:p>
        </w:tc>
        <w:tc>
          <w:tcPr>
            <w:tcW w:w="0" w:type="auto"/>
            <w:tcBorders>
              <w:bottom w:val="single" w:sz="8" w:space="0" w:color="000000"/>
            </w:tcBorders>
            <w:shd w:val="clear" w:color="auto" w:fill="auto"/>
            <w:tcMar>
              <w:top w:w="40" w:type="dxa"/>
              <w:bottom w:w="40" w:type="dxa"/>
              <w:right w:w="40" w:type="dxa"/>
            </w:tcMar>
            <w:vAlign w:val="bottom"/>
          </w:tcPr>
          <w:p w14:paraId="2A73B1A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1B9" w14:textId="77777777">
        <w:tc>
          <w:tcPr>
            <w:tcW w:w="0" w:type="auto"/>
            <w:shd w:val="clear" w:color="auto" w:fill="EFEFEF"/>
            <w:tcMar>
              <w:top w:w="40" w:type="dxa"/>
              <w:left w:w="560" w:type="dxa"/>
              <w:bottom w:w="40" w:type="dxa"/>
              <w:right w:w="40" w:type="dxa"/>
            </w:tcMar>
          </w:tcPr>
          <w:p w14:paraId="2A73B1B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property, plant and equipment, net</w:t>
            </w:r>
          </w:p>
        </w:tc>
        <w:tc>
          <w:tcPr>
            <w:tcW w:w="0" w:type="auto"/>
            <w:tcBorders>
              <w:bottom w:val="double" w:sz="6" w:space="0" w:color="000000"/>
            </w:tcBorders>
            <w:shd w:val="clear" w:color="auto" w:fill="EFEFEF"/>
            <w:tcMar>
              <w:top w:w="40" w:type="dxa"/>
              <w:left w:w="40" w:type="dxa"/>
              <w:bottom w:w="40" w:type="dxa"/>
            </w:tcMar>
            <w:vAlign w:val="bottom"/>
          </w:tcPr>
          <w:p w14:paraId="2A73B1B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1B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37,378</w:t>
            </w:r>
          </w:p>
        </w:tc>
        <w:tc>
          <w:tcPr>
            <w:tcW w:w="0" w:type="auto"/>
            <w:tcBorders>
              <w:bottom w:val="double" w:sz="6" w:space="0" w:color="000000"/>
            </w:tcBorders>
            <w:shd w:val="clear" w:color="auto" w:fill="EFEFEF"/>
            <w:vAlign w:val="bottom"/>
          </w:tcPr>
          <w:p w14:paraId="2A73B1B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1B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B1B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1B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41,304</w:t>
            </w:r>
          </w:p>
        </w:tc>
        <w:tc>
          <w:tcPr>
            <w:tcW w:w="0" w:type="auto"/>
            <w:tcBorders>
              <w:bottom w:val="double" w:sz="6" w:space="0" w:color="000000"/>
            </w:tcBorders>
            <w:shd w:val="clear" w:color="auto" w:fill="EFEFEF"/>
            <w:vAlign w:val="bottom"/>
          </w:tcPr>
          <w:p w14:paraId="2A73B1B8" w14:textId="77777777" w:rsidR="00FA5565" w:rsidRDefault="00FA5565">
            <w:pPr>
              <w:textAlignment w:val="bottom"/>
              <w:rPr>
                <w:rFonts w:ascii="Times New Roman" w:hAnsi="Times New Roman"/>
                <w:sz w:val="20"/>
                <w:szCs w:val="20"/>
              </w:rPr>
            </w:pPr>
          </w:p>
        </w:tc>
      </w:tr>
    </w:tbl>
    <w:p w14:paraId="2A73B1BA" w14:textId="77777777" w:rsidR="00FA5565" w:rsidRDefault="00FA5565">
      <w:pPr>
        <w:spacing w:line="288" w:lineRule="auto"/>
        <w:jc w:val="both"/>
        <w:rPr>
          <w:rFonts w:ascii="Times New Roman" w:hAnsi="Times New Roman"/>
          <w:sz w:val="20"/>
          <w:szCs w:val="20"/>
        </w:rPr>
      </w:pPr>
    </w:p>
    <w:p w14:paraId="2A73B1BB" w14:textId="77777777" w:rsidR="00FA5565" w:rsidRDefault="00FA5565">
      <w:pPr>
        <w:rPr>
          <w:rFonts w:ascii="Times New Roman" w:hAnsi="Times New Roman"/>
          <w:sz w:val="20"/>
          <w:szCs w:val="20"/>
        </w:rPr>
      </w:pPr>
    </w:p>
    <w:p w14:paraId="2A73B1BC"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43</w:t>
      </w:r>
    </w:p>
    <w:p w14:paraId="2A73B1BD" w14:textId="77777777" w:rsidR="00FA5565" w:rsidRDefault="00D804D1">
      <w:r>
        <w:rPr>
          <w:rFonts w:ascii="Times New Roman" w:hAnsi="Times New Roman"/>
          <w:sz w:val="16"/>
          <w:szCs w:val="16"/>
        </w:rPr>
        <w:pict w14:anchorId="2A73C0C7">
          <v:rect id="_x0000_i1069" style="width:415.3pt;height:1.5pt" o:hralign="center" o:hrstd="t" o:hr="t" fillcolor="#a0a0a0" stroked="f"/>
        </w:pict>
      </w:r>
    </w:p>
    <w:p w14:paraId="2A73B1BE" w14:textId="77777777" w:rsidR="00FA5565" w:rsidRDefault="00FA5565">
      <w:pPr>
        <w:rPr>
          <w:rFonts w:ascii="Times New Roman" w:hAnsi="Times New Roman"/>
          <w:sz w:val="20"/>
          <w:szCs w:val="20"/>
        </w:rPr>
      </w:pPr>
    </w:p>
    <w:p w14:paraId="2A73B1BF"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Other Non-Current Liabilities</w:t>
      </w:r>
    </w:p>
    <w:tbl>
      <w:tblPr>
        <w:tblW w:w="5000" w:type="pct"/>
        <w:tblCellMar>
          <w:left w:w="0" w:type="dxa"/>
          <w:right w:w="0" w:type="dxa"/>
        </w:tblCellMar>
        <w:tblLook w:val="04A0" w:firstRow="1" w:lastRow="0" w:firstColumn="1" w:lastColumn="0" w:noHBand="0" w:noVBand="1"/>
      </w:tblPr>
      <w:tblGrid>
        <w:gridCol w:w="5864"/>
        <w:gridCol w:w="141"/>
        <w:gridCol w:w="964"/>
        <w:gridCol w:w="50"/>
        <w:gridCol w:w="130"/>
        <w:gridCol w:w="141"/>
        <w:gridCol w:w="965"/>
        <w:gridCol w:w="51"/>
      </w:tblGrid>
      <w:tr w:rsidR="00FA5565" w14:paraId="2A73B1C1" w14:textId="77777777">
        <w:tc>
          <w:tcPr>
            <w:tcW w:w="0" w:type="auto"/>
            <w:gridSpan w:val="8"/>
            <w:shd w:val="clear" w:color="auto" w:fill="auto"/>
            <w:vAlign w:val="center"/>
          </w:tcPr>
          <w:p w14:paraId="2A73B1C0" w14:textId="77777777" w:rsidR="00FA5565" w:rsidRDefault="00FA5565">
            <w:pPr>
              <w:rPr>
                <w:rFonts w:ascii="Times New Roman" w:hAnsi="Times New Roman"/>
                <w:sz w:val="20"/>
                <w:szCs w:val="20"/>
              </w:rPr>
            </w:pPr>
          </w:p>
        </w:tc>
      </w:tr>
      <w:tr w:rsidR="00FA5565" w14:paraId="2A73B1CA" w14:textId="77777777">
        <w:tc>
          <w:tcPr>
            <w:tcW w:w="3550" w:type="pct"/>
            <w:shd w:val="clear" w:color="auto" w:fill="auto"/>
            <w:vAlign w:val="center"/>
          </w:tcPr>
          <w:p w14:paraId="2A73B1C2" w14:textId="77777777" w:rsidR="00FA5565" w:rsidRDefault="00FA5565">
            <w:pPr>
              <w:rPr>
                <w:rFonts w:ascii="Times New Roman" w:hAnsi="Times New Roman"/>
                <w:sz w:val="20"/>
                <w:szCs w:val="20"/>
              </w:rPr>
            </w:pPr>
          </w:p>
        </w:tc>
        <w:tc>
          <w:tcPr>
            <w:tcW w:w="50" w:type="pct"/>
            <w:shd w:val="clear" w:color="auto" w:fill="auto"/>
            <w:vAlign w:val="center"/>
          </w:tcPr>
          <w:p w14:paraId="2A73B1C3" w14:textId="77777777" w:rsidR="00FA5565" w:rsidRDefault="00FA5565">
            <w:pPr>
              <w:rPr>
                <w:rFonts w:ascii="Times New Roman" w:hAnsi="Times New Roman"/>
                <w:sz w:val="20"/>
                <w:szCs w:val="20"/>
              </w:rPr>
            </w:pPr>
          </w:p>
        </w:tc>
        <w:tc>
          <w:tcPr>
            <w:tcW w:w="600" w:type="pct"/>
            <w:shd w:val="clear" w:color="auto" w:fill="auto"/>
            <w:vAlign w:val="center"/>
          </w:tcPr>
          <w:p w14:paraId="2A73B1C4" w14:textId="77777777" w:rsidR="00FA5565" w:rsidRDefault="00FA5565">
            <w:pPr>
              <w:rPr>
                <w:rFonts w:ascii="Times New Roman" w:hAnsi="Times New Roman"/>
                <w:sz w:val="20"/>
                <w:szCs w:val="20"/>
              </w:rPr>
            </w:pPr>
          </w:p>
        </w:tc>
        <w:tc>
          <w:tcPr>
            <w:tcW w:w="50" w:type="pct"/>
            <w:shd w:val="clear" w:color="auto" w:fill="auto"/>
            <w:vAlign w:val="center"/>
          </w:tcPr>
          <w:p w14:paraId="2A73B1C5" w14:textId="77777777" w:rsidR="00FA5565" w:rsidRDefault="00FA5565">
            <w:pPr>
              <w:rPr>
                <w:rFonts w:ascii="Times New Roman" w:hAnsi="Times New Roman"/>
                <w:sz w:val="20"/>
                <w:szCs w:val="20"/>
              </w:rPr>
            </w:pPr>
          </w:p>
        </w:tc>
        <w:tc>
          <w:tcPr>
            <w:tcW w:w="50" w:type="pct"/>
            <w:shd w:val="clear" w:color="auto" w:fill="auto"/>
            <w:vAlign w:val="center"/>
          </w:tcPr>
          <w:p w14:paraId="2A73B1C6" w14:textId="77777777" w:rsidR="00FA5565" w:rsidRDefault="00FA5565">
            <w:pPr>
              <w:rPr>
                <w:rFonts w:ascii="Times New Roman" w:hAnsi="Times New Roman"/>
                <w:sz w:val="20"/>
                <w:szCs w:val="20"/>
              </w:rPr>
            </w:pPr>
          </w:p>
        </w:tc>
        <w:tc>
          <w:tcPr>
            <w:tcW w:w="50" w:type="pct"/>
            <w:shd w:val="clear" w:color="auto" w:fill="auto"/>
            <w:vAlign w:val="center"/>
          </w:tcPr>
          <w:p w14:paraId="2A73B1C7" w14:textId="77777777" w:rsidR="00FA5565" w:rsidRDefault="00FA5565">
            <w:pPr>
              <w:rPr>
                <w:rFonts w:ascii="Times New Roman" w:hAnsi="Times New Roman"/>
                <w:sz w:val="20"/>
                <w:szCs w:val="20"/>
              </w:rPr>
            </w:pPr>
          </w:p>
        </w:tc>
        <w:tc>
          <w:tcPr>
            <w:tcW w:w="600" w:type="pct"/>
            <w:shd w:val="clear" w:color="auto" w:fill="auto"/>
            <w:vAlign w:val="center"/>
          </w:tcPr>
          <w:p w14:paraId="2A73B1C8" w14:textId="77777777" w:rsidR="00FA5565" w:rsidRDefault="00FA5565">
            <w:pPr>
              <w:rPr>
                <w:rFonts w:ascii="Times New Roman" w:hAnsi="Times New Roman"/>
                <w:sz w:val="20"/>
                <w:szCs w:val="20"/>
              </w:rPr>
            </w:pPr>
          </w:p>
        </w:tc>
        <w:tc>
          <w:tcPr>
            <w:tcW w:w="50" w:type="pct"/>
            <w:shd w:val="clear" w:color="auto" w:fill="auto"/>
            <w:vAlign w:val="center"/>
          </w:tcPr>
          <w:p w14:paraId="2A73B1C9" w14:textId="77777777" w:rsidR="00FA5565" w:rsidRDefault="00FA5565">
            <w:pPr>
              <w:rPr>
                <w:rFonts w:ascii="Times New Roman" w:hAnsi="Times New Roman"/>
                <w:sz w:val="20"/>
                <w:szCs w:val="20"/>
              </w:rPr>
            </w:pPr>
          </w:p>
        </w:tc>
      </w:tr>
      <w:tr w:rsidR="00FA5565" w14:paraId="2A73B1CF" w14:textId="77777777">
        <w:tc>
          <w:tcPr>
            <w:tcW w:w="0" w:type="auto"/>
            <w:shd w:val="clear" w:color="auto" w:fill="auto"/>
            <w:tcMar>
              <w:top w:w="40" w:type="dxa"/>
              <w:left w:w="40" w:type="dxa"/>
              <w:bottom w:w="40" w:type="dxa"/>
              <w:right w:w="40" w:type="dxa"/>
            </w:tcMar>
            <w:vAlign w:val="bottom"/>
          </w:tcPr>
          <w:p w14:paraId="2A73B1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1C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1C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1CE"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r>
      <w:tr w:rsidR="00FA5565" w14:paraId="2A73B1D8" w14:textId="77777777">
        <w:tc>
          <w:tcPr>
            <w:tcW w:w="0" w:type="auto"/>
            <w:shd w:val="clear" w:color="auto" w:fill="auto"/>
            <w:tcMar>
              <w:top w:w="40" w:type="dxa"/>
              <w:left w:w="40" w:type="dxa"/>
              <w:bottom w:w="40" w:type="dxa"/>
              <w:right w:w="40" w:type="dxa"/>
            </w:tcMar>
          </w:tcPr>
          <w:p w14:paraId="2A73B1D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Long-term taxes payable</w:t>
            </w:r>
          </w:p>
        </w:tc>
        <w:tc>
          <w:tcPr>
            <w:tcW w:w="0" w:type="auto"/>
            <w:tcBorders>
              <w:top w:val="single" w:sz="8" w:space="0" w:color="000000"/>
            </w:tcBorders>
            <w:shd w:val="clear" w:color="auto" w:fill="auto"/>
            <w:tcMar>
              <w:top w:w="40" w:type="dxa"/>
              <w:left w:w="40" w:type="dxa"/>
              <w:bottom w:w="40" w:type="dxa"/>
            </w:tcMar>
            <w:vAlign w:val="bottom"/>
          </w:tcPr>
          <w:p w14:paraId="2A73B1D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1D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29,545</w:t>
            </w:r>
          </w:p>
        </w:tc>
        <w:tc>
          <w:tcPr>
            <w:tcW w:w="0" w:type="auto"/>
            <w:tcBorders>
              <w:top w:val="single" w:sz="8" w:space="0" w:color="000000"/>
            </w:tcBorders>
            <w:shd w:val="clear" w:color="auto" w:fill="auto"/>
            <w:vAlign w:val="bottom"/>
          </w:tcPr>
          <w:p w14:paraId="2A73B1D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1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1D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1D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33,589</w:t>
            </w:r>
          </w:p>
        </w:tc>
        <w:tc>
          <w:tcPr>
            <w:tcW w:w="0" w:type="auto"/>
            <w:tcBorders>
              <w:top w:val="single" w:sz="8" w:space="0" w:color="000000"/>
            </w:tcBorders>
            <w:shd w:val="clear" w:color="auto" w:fill="auto"/>
            <w:vAlign w:val="bottom"/>
          </w:tcPr>
          <w:p w14:paraId="2A73B1D7" w14:textId="77777777" w:rsidR="00FA5565" w:rsidRDefault="00FA5565">
            <w:pPr>
              <w:textAlignment w:val="bottom"/>
              <w:rPr>
                <w:rFonts w:ascii="Times New Roman" w:hAnsi="Times New Roman"/>
                <w:sz w:val="20"/>
                <w:szCs w:val="20"/>
              </w:rPr>
            </w:pPr>
          </w:p>
        </w:tc>
      </w:tr>
      <w:tr w:rsidR="00FA5565" w14:paraId="2A73B1DF" w14:textId="77777777">
        <w:tc>
          <w:tcPr>
            <w:tcW w:w="0" w:type="auto"/>
            <w:shd w:val="clear" w:color="auto" w:fill="EFEFEF"/>
            <w:tcMar>
              <w:top w:w="40" w:type="dxa"/>
              <w:left w:w="40" w:type="dxa"/>
              <w:bottom w:w="40" w:type="dxa"/>
              <w:right w:w="40" w:type="dxa"/>
            </w:tcMar>
          </w:tcPr>
          <w:p w14:paraId="2A73B1D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non-current liabilities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1D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20,958</w:t>
            </w:r>
          </w:p>
        </w:tc>
        <w:tc>
          <w:tcPr>
            <w:tcW w:w="0" w:type="auto"/>
            <w:tcBorders>
              <w:bottom w:val="single" w:sz="8" w:space="0" w:color="000000"/>
            </w:tcBorders>
            <w:shd w:val="clear" w:color="auto" w:fill="EFEFEF"/>
            <w:vAlign w:val="bottom"/>
          </w:tcPr>
          <w:p w14:paraId="2A73B1D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1D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1D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15,325</w:t>
            </w:r>
          </w:p>
        </w:tc>
        <w:tc>
          <w:tcPr>
            <w:tcW w:w="0" w:type="auto"/>
            <w:tcBorders>
              <w:bottom w:val="single" w:sz="8" w:space="0" w:color="000000"/>
            </w:tcBorders>
            <w:shd w:val="clear" w:color="auto" w:fill="EFEFEF"/>
            <w:vAlign w:val="bottom"/>
          </w:tcPr>
          <w:p w14:paraId="2A73B1DE" w14:textId="77777777" w:rsidR="00FA5565" w:rsidRDefault="00FA5565">
            <w:pPr>
              <w:textAlignment w:val="bottom"/>
              <w:rPr>
                <w:rFonts w:ascii="Times New Roman" w:hAnsi="Times New Roman"/>
                <w:sz w:val="20"/>
                <w:szCs w:val="20"/>
              </w:rPr>
            </w:pPr>
          </w:p>
        </w:tc>
      </w:tr>
      <w:tr w:rsidR="00FA5565" w14:paraId="2A73B1E8" w14:textId="77777777">
        <w:tc>
          <w:tcPr>
            <w:tcW w:w="0" w:type="auto"/>
            <w:shd w:val="clear" w:color="auto" w:fill="auto"/>
            <w:tcMar>
              <w:top w:w="40" w:type="dxa"/>
              <w:left w:w="560" w:type="dxa"/>
              <w:bottom w:w="40" w:type="dxa"/>
              <w:right w:w="40" w:type="dxa"/>
            </w:tcMar>
          </w:tcPr>
          <w:p w14:paraId="2A73B1E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other non-current liabilities</w:t>
            </w:r>
          </w:p>
        </w:tc>
        <w:tc>
          <w:tcPr>
            <w:tcW w:w="0" w:type="auto"/>
            <w:tcBorders>
              <w:bottom w:val="double" w:sz="6" w:space="0" w:color="000000"/>
            </w:tcBorders>
            <w:shd w:val="clear" w:color="auto" w:fill="auto"/>
            <w:tcMar>
              <w:top w:w="40" w:type="dxa"/>
              <w:left w:w="40" w:type="dxa"/>
              <w:bottom w:w="40" w:type="dxa"/>
            </w:tcMar>
            <w:vAlign w:val="bottom"/>
          </w:tcPr>
          <w:p w14:paraId="2A73B1E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1E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50,503</w:t>
            </w:r>
          </w:p>
        </w:tc>
        <w:tc>
          <w:tcPr>
            <w:tcW w:w="0" w:type="auto"/>
            <w:tcBorders>
              <w:bottom w:val="double" w:sz="6" w:space="0" w:color="000000"/>
            </w:tcBorders>
            <w:shd w:val="clear" w:color="auto" w:fill="auto"/>
            <w:vAlign w:val="bottom"/>
          </w:tcPr>
          <w:p w14:paraId="2A73B1E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1E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B1E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1E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48,914</w:t>
            </w:r>
          </w:p>
        </w:tc>
        <w:tc>
          <w:tcPr>
            <w:tcW w:w="0" w:type="auto"/>
            <w:tcBorders>
              <w:bottom w:val="double" w:sz="6" w:space="0" w:color="000000"/>
            </w:tcBorders>
            <w:shd w:val="clear" w:color="auto" w:fill="auto"/>
            <w:vAlign w:val="bottom"/>
          </w:tcPr>
          <w:p w14:paraId="2A73B1E7" w14:textId="77777777" w:rsidR="00FA5565" w:rsidRDefault="00FA5565">
            <w:pPr>
              <w:textAlignment w:val="bottom"/>
              <w:rPr>
                <w:rFonts w:ascii="Times New Roman" w:hAnsi="Times New Roman"/>
                <w:sz w:val="20"/>
                <w:szCs w:val="20"/>
              </w:rPr>
            </w:pPr>
          </w:p>
        </w:tc>
      </w:tr>
    </w:tbl>
    <w:p w14:paraId="2A73B1E9" w14:textId="77777777" w:rsidR="00FA5565" w:rsidRDefault="00FA5565">
      <w:pPr>
        <w:spacing w:line="288" w:lineRule="auto"/>
        <w:jc w:val="both"/>
        <w:rPr>
          <w:rFonts w:ascii="Times New Roman" w:hAnsi="Times New Roman"/>
          <w:sz w:val="20"/>
          <w:szCs w:val="20"/>
        </w:rPr>
      </w:pPr>
    </w:p>
    <w:p w14:paraId="2A73B1EA"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Other Income/(Expense), Net</w:t>
      </w:r>
    </w:p>
    <w:p w14:paraId="2A73B1E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w:t>
      </w:r>
      <w:r>
        <w:rPr>
          <w:rFonts w:ascii="Helvetica" w:eastAsia="Helvetica" w:hAnsi="Helvetica" w:cs="Helvetica"/>
          <w:sz w:val="18"/>
          <w:szCs w:val="18"/>
        </w:rPr>
        <w:t>following table shows the detail of OI&amp;E for 2019, 2018 and 2017 (in millions):</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FA5565" w14:paraId="2A73B1ED" w14:textId="77777777">
        <w:tc>
          <w:tcPr>
            <w:tcW w:w="0" w:type="auto"/>
            <w:gridSpan w:val="12"/>
            <w:shd w:val="clear" w:color="auto" w:fill="auto"/>
            <w:vAlign w:val="center"/>
          </w:tcPr>
          <w:p w14:paraId="2A73B1EC" w14:textId="77777777" w:rsidR="00FA5565" w:rsidRDefault="00FA5565">
            <w:pPr>
              <w:rPr>
                <w:rFonts w:ascii="Times New Roman" w:hAnsi="Times New Roman"/>
                <w:sz w:val="20"/>
                <w:szCs w:val="20"/>
              </w:rPr>
            </w:pPr>
          </w:p>
        </w:tc>
      </w:tr>
      <w:tr w:rsidR="00FA5565" w14:paraId="2A73B1FA" w14:textId="77777777">
        <w:tc>
          <w:tcPr>
            <w:tcW w:w="2950" w:type="pct"/>
            <w:shd w:val="clear" w:color="auto" w:fill="auto"/>
            <w:vAlign w:val="center"/>
          </w:tcPr>
          <w:p w14:paraId="2A73B1EE" w14:textId="77777777" w:rsidR="00FA5565" w:rsidRDefault="00FA5565">
            <w:pPr>
              <w:rPr>
                <w:rFonts w:ascii="Times New Roman" w:hAnsi="Times New Roman"/>
                <w:sz w:val="20"/>
                <w:szCs w:val="20"/>
              </w:rPr>
            </w:pPr>
          </w:p>
        </w:tc>
        <w:tc>
          <w:tcPr>
            <w:tcW w:w="50" w:type="pct"/>
            <w:shd w:val="clear" w:color="auto" w:fill="auto"/>
            <w:vAlign w:val="center"/>
          </w:tcPr>
          <w:p w14:paraId="2A73B1EF" w14:textId="77777777" w:rsidR="00FA5565" w:rsidRDefault="00FA5565">
            <w:pPr>
              <w:rPr>
                <w:rFonts w:ascii="Times New Roman" w:hAnsi="Times New Roman"/>
                <w:sz w:val="20"/>
                <w:szCs w:val="20"/>
              </w:rPr>
            </w:pPr>
          </w:p>
        </w:tc>
        <w:tc>
          <w:tcPr>
            <w:tcW w:w="550" w:type="pct"/>
            <w:shd w:val="clear" w:color="auto" w:fill="auto"/>
            <w:vAlign w:val="center"/>
          </w:tcPr>
          <w:p w14:paraId="2A73B1F0" w14:textId="77777777" w:rsidR="00FA5565" w:rsidRDefault="00FA5565">
            <w:pPr>
              <w:rPr>
                <w:rFonts w:ascii="Times New Roman" w:hAnsi="Times New Roman"/>
                <w:sz w:val="20"/>
                <w:szCs w:val="20"/>
              </w:rPr>
            </w:pPr>
          </w:p>
        </w:tc>
        <w:tc>
          <w:tcPr>
            <w:tcW w:w="50" w:type="pct"/>
            <w:shd w:val="clear" w:color="auto" w:fill="auto"/>
            <w:vAlign w:val="center"/>
          </w:tcPr>
          <w:p w14:paraId="2A73B1F1" w14:textId="77777777" w:rsidR="00FA5565" w:rsidRDefault="00FA5565">
            <w:pPr>
              <w:rPr>
                <w:rFonts w:ascii="Times New Roman" w:hAnsi="Times New Roman"/>
                <w:sz w:val="20"/>
                <w:szCs w:val="20"/>
              </w:rPr>
            </w:pPr>
          </w:p>
        </w:tc>
        <w:tc>
          <w:tcPr>
            <w:tcW w:w="50" w:type="pct"/>
            <w:shd w:val="clear" w:color="auto" w:fill="auto"/>
            <w:vAlign w:val="center"/>
          </w:tcPr>
          <w:p w14:paraId="2A73B1F2" w14:textId="77777777" w:rsidR="00FA5565" w:rsidRDefault="00FA5565">
            <w:pPr>
              <w:rPr>
                <w:rFonts w:ascii="Times New Roman" w:hAnsi="Times New Roman"/>
                <w:sz w:val="20"/>
                <w:szCs w:val="20"/>
              </w:rPr>
            </w:pPr>
          </w:p>
        </w:tc>
        <w:tc>
          <w:tcPr>
            <w:tcW w:w="50" w:type="pct"/>
            <w:shd w:val="clear" w:color="auto" w:fill="auto"/>
            <w:vAlign w:val="center"/>
          </w:tcPr>
          <w:p w14:paraId="2A73B1F3" w14:textId="77777777" w:rsidR="00FA5565" w:rsidRDefault="00FA5565">
            <w:pPr>
              <w:rPr>
                <w:rFonts w:ascii="Times New Roman" w:hAnsi="Times New Roman"/>
                <w:sz w:val="20"/>
                <w:szCs w:val="20"/>
              </w:rPr>
            </w:pPr>
          </w:p>
        </w:tc>
        <w:tc>
          <w:tcPr>
            <w:tcW w:w="550" w:type="pct"/>
            <w:shd w:val="clear" w:color="auto" w:fill="auto"/>
            <w:vAlign w:val="center"/>
          </w:tcPr>
          <w:p w14:paraId="2A73B1F4" w14:textId="77777777" w:rsidR="00FA5565" w:rsidRDefault="00FA5565">
            <w:pPr>
              <w:rPr>
                <w:rFonts w:ascii="Times New Roman" w:hAnsi="Times New Roman"/>
                <w:sz w:val="20"/>
                <w:szCs w:val="20"/>
              </w:rPr>
            </w:pPr>
          </w:p>
        </w:tc>
        <w:tc>
          <w:tcPr>
            <w:tcW w:w="50" w:type="pct"/>
            <w:shd w:val="clear" w:color="auto" w:fill="auto"/>
            <w:vAlign w:val="center"/>
          </w:tcPr>
          <w:p w14:paraId="2A73B1F5" w14:textId="77777777" w:rsidR="00FA5565" w:rsidRDefault="00FA5565">
            <w:pPr>
              <w:rPr>
                <w:rFonts w:ascii="Times New Roman" w:hAnsi="Times New Roman"/>
                <w:sz w:val="20"/>
                <w:szCs w:val="20"/>
              </w:rPr>
            </w:pPr>
          </w:p>
        </w:tc>
        <w:tc>
          <w:tcPr>
            <w:tcW w:w="50" w:type="pct"/>
            <w:shd w:val="clear" w:color="auto" w:fill="auto"/>
            <w:vAlign w:val="center"/>
          </w:tcPr>
          <w:p w14:paraId="2A73B1F6" w14:textId="77777777" w:rsidR="00FA5565" w:rsidRDefault="00FA5565">
            <w:pPr>
              <w:rPr>
                <w:rFonts w:ascii="Times New Roman" w:hAnsi="Times New Roman"/>
                <w:sz w:val="20"/>
                <w:szCs w:val="20"/>
              </w:rPr>
            </w:pPr>
          </w:p>
        </w:tc>
        <w:tc>
          <w:tcPr>
            <w:tcW w:w="50" w:type="pct"/>
            <w:shd w:val="clear" w:color="auto" w:fill="auto"/>
            <w:vAlign w:val="center"/>
          </w:tcPr>
          <w:p w14:paraId="2A73B1F7" w14:textId="77777777" w:rsidR="00FA5565" w:rsidRDefault="00FA5565">
            <w:pPr>
              <w:rPr>
                <w:rFonts w:ascii="Times New Roman" w:hAnsi="Times New Roman"/>
                <w:sz w:val="20"/>
                <w:szCs w:val="20"/>
              </w:rPr>
            </w:pPr>
          </w:p>
        </w:tc>
        <w:tc>
          <w:tcPr>
            <w:tcW w:w="550" w:type="pct"/>
            <w:shd w:val="clear" w:color="auto" w:fill="auto"/>
            <w:vAlign w:val="center"/>
          </w:tcPr>
          <w:p w14:paraId="2A73B1F8" w14:textId="77777777" w:rsidR="00FA5565" w:rsidRDefault="00FA5565">
            <w:pPr>
              <w:rPr>
                <w:rFonts w:ascii="Times New Roman" w:hAnsi="Times New Roman"/>
                <w:sz w:val="20"/>
                <w:szCs w:val="20"/>
              </w:rPr>
            </w:pPr>
          </w:p>
        </w:tc>
        <w:tc>
          <w:tcPr>
            <w:tcW w:w="50" w:type="pct"/>
            <w:shd w:val="clear" w:color="auto" w:fill="auto"/>
            <w:vAlign w:val="center"/>
          </w:tcPr>
          <w:p w14:paraId="2A73B1F9" w14:textId="77777777" w:rsidR="00FA5565" w:rsidRDefault="00FA5565">
            <w:pPr>
              <w:rPr>
                <w:rFonts w:ascii="Times New Roman" w:hAnsi="Times New Roman"/>
                <w:sz w:val="20"/>
                <w:szCs w:val="20"/>
              </w:rPr>
            </w:pPr>
          </w:p>
        </w:tc>
      </w:tr>
      <w:tr w:rsidR="00FA5565" w14:paraId="2A73B201" w14:textId="77777777">
        <w:tc>
          <w:tcPr>
            <w:tcW w:w="0" w:type="auto"/>
            <w:shd w:val="clear" w:color="auto" w:fill="auto"/>
            <w:tcMar>
              <w:top w:w="40" w:type="dxa"/>
              <w:left w:w="40" w:type="dxa"/>
              <w:bottom w:w="40" w:type="dxa"/>
              <w:right w:w="40" w:type="dxa"/>
            </w:tcMar>
            <w:vAlign w:val="bottom"/>
          </w:tcPr>
          <w:p w14:paraId="2A73B1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1F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1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1FE"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1F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200"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20E" w14:textId="77777777">
        <w:tc>
          <w:tcPr>
            <w:tcW w:w="0" w:type="auto"/>
            <w:shd w:val="clear" w:color="auto" w:fill="auto"/>
            <w:tcMar>
              <w:top w:w="40" w:type="dxa"/>
              <w:left w:w="40" w:type="dxa"/>
              <w:bottom w:w="40" w:type="dxa"/>
              <w:right w:w="40" w:type="dxa"/>
            </w:tcMar>
          </w:tcPr>
          <w:p w14:paraId="2A73B20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Interest and dividend income</w:t>
            </w:r>
          </w:p>
        </w:tc>
        <w:tc>
          <w:tcPr>
            <w:tcW w:w="0" w:type="auto"/>
            <w:shd w:val="clear" w:color="auto" w:fill="auto"/>
            <w:tcMar>
              <w:top w:w="40" w:type="dxa"/>
              <w:left w:w="40" w:type="dxa"/>
              <w:bottom w:w="40" w:type="dxa"/>
            </w:tcMar>
            <w:vAlign w:val="bottom"/>
          </w:tcPr>
          <w:p w14:paraId="2A73B20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20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4,961</w:t>
            </w:r>
          </w:p>
        </w:tc>
        <w:tc>
          <w:tcPr>
            <w:tcW w:w="0" w:type="auto"/>
            <w:shd w:val="clear" w:color="auto" w:fill="auto"/>
            <w:vAlign w:val="bottom"/>
          </w:tcPr>
          <w:p w14:paraId="2A73B20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2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20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20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5,686</w:t>
            </w:r>
          </w:p>
        </w:tc>
        <w:tc>
          <w:tcPr>
            <w:tcW w:w="0" w:type="auto"/>
            <w:tcBorders>
              <w:top w:val="single" w:sz="8" w:space="0" w:color="000000"/>
            </w:tcBorders>
            <w:shd w:val="clear" w:color="auto" w:fill="auto"/>
            <w:vAlign w:val="bottom"/>
          </w:tcPr>
          <w:p w14:paraId="2A73B20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20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20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20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5,201</w:t>
            </w:r>
          </w:p>
        </w:tc>
        <w:tc>
          <w:tcPr>
            <w:tcW w:w="0" w:type="auto"/>
            <w:tcBorders>
              <w:top w:val="single" w:sz="8" w:space="0" w:color="000000"/>
            </w:tcBorders>
            <w:shd w:val="clear" w:color="auto" w:fill="auto"/>
            <w:vAlign w:val="bottom"/>
          </w:tcPr>
          <w:p w14:paraId="2A73B20D" w14:textId="77777777" w:rsidR="00FA5565" w:rsidRDefault="00FA5565">
            <w:pPr>
              <w:textAlignment w:val="bottom"/>
              <w:rPr>
                <w:rFonts w:ascii="Times New Roman" w:hAnsi="Times New Roman"/>
                <w:sz w:val="20"/>
                <w:szCs w:val="20"/>
              </w:rPr>
            </w:pPr>
          </w:p>
        </w:tc>
      </w:tr>
      <w:tr w:rsidR="00FA5565" w14:paraId="2A73B218" w14:textId="77777777">
        <w:tc>
          <w:tcPr>
            <w:tcW w:w="0" w:type="auto"/>
            <w:shd w:val="clear" w:color="auto" w:fill="EFEFEF"/>
            <w:tcMar>
              <w:top w:w="40" w:type="dxa"/>
              <w:left w:w="40" w:type="dxa"/>
              <w:bottom w:w="40" w:type="dxa"/>
              <w:right w:w="40" w:type="dxa"/>
            </w:tcMar>
          </w:tcPr>
          <w:p w14:paraId="2A73B20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Interest expense</w:t>
            </w:r>
          </w:p>
        </w:tc>
        <w:tc>
          <w:tcPr>
            <w:tcW w:w="0" w:type="auto"/>
            <w:gridSpan w:val="2"/>
            <w:shd w:val="clear" w:color="auto" w:fill="EFEFEF"/>
            <w:tcMar>
              <w:top w:w="40" w:type="dxa"/>
              <w:left w:w="40" w:type="dxa"/>
              <w:bottom w:w="40" w:type="dxa"/>
            </w:tcMar>
            <w:vAlign w:val="bottom"/>
          </w:tcPr>
          <w:p w14:paraId="2A73B21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(3,576</w:t>
            </w:r>
          </w:p>
        </w:tc>
        <w:tc>
          <w:tcPr>
            <w:tcW w:w="0" w:type="auto"/>
            <w:shd w:val="clear" w:color="auto" w:fill="EFEFEF"/>
            <w:tcMar>
              <w:top w:w="40" w:type="dxa"/>
              <w:bottom w:w="40" w:type="dxa"/>
              <w:right w:w="40" w:type="dxa"/>
            </w:tcMar>
            <w:vAlign w:val="bottom"/>
          </w:tcPr>
          <w:p w14:paraId="2A73B21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21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21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(3,240</w:t>
            </w:r>
          </w:p>
        </w:tc>
        <w:tc>
          <w:tcPr>
            <w:tcW w:w="0" w:type="auto"/>
            <w:shd w:val="clear" w:color="auto" w:fill="EFEFEF"/>
            <w:tcMar>
              <w:top w:w="40" w:type="dxa"/>
              <w:bottom w:w="40" w:type="dxa"/>
              <w:right w:w="40" w:type="dxa"/>
            </w:tcMar>
            <w:vAlign w:val="bottom"/>
          </w:tcPr>
          <w:p w14:paraId="2A73B21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21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21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(2,323</w:t>
            </w:r>
          </w:p>
        </w:tc>
        <w:tc>
          <w:tcPr>
            <w:tcW w:w="0" w:type="auto"/>
            <w:shd w:val="clear" w:color="auto" w:fill="EFEFEF"/>
            <w:tcMar>
              <w:top w:w="40" w:type="dxa"/>
              <w:bottom w:w="40" w:type="dxa"/>
              <w:right w:w="40" w:type="dxa"/>
            </w:tcMar>
            <w:vAlign w:val="bottom"/>
          </w:tcPr>
          <w:p w14:paraId="2A73B21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222" w14:textId="77777777">
        <w:tc>
          <w:tcPr>
            <w:tcW w:w="0" w:type="auto"/>
            <w:shd w:val="clear" w:color="auto" w:fill="auto"/>
            <w:tcMar>
              <w:top w:w="40" w:type="dxa"/>
              <w:left w:w="40" w:type="dxa"/>
              <w:bottom w:w="40" w:type="dxa"/>
              <w:right w:w="40" w:type="dxa"/>
            </w:tcMar>
          </w:tcPr>
          <w:p w14:paraId="2A73B21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Other </w:t>
            </w:r>
            <w:r>
              <w:rPr>
                <w:rFonts w:ascii="Helvetica" w:eastAsia="Helvetica" w:hAnsi="Helvetica" w:cs="Helvetica"/>
                <w:sz w:val="18"/>
                <w:szCs w:val="18"/>
              </w:rPr>
              <w:t>income/(expense), net</w:t>
            </w:r>
          </w:p>
        </w:tc>
        <w:tc>
          <w:tcPr>
            <w:tcW w:w="0" w:type="auto"/>
            <w:gridSpan w:val="2"/>
            <w:tcBorders>
              <w:bottom w:val="single" w:sz="8" w:space="0" w:color="000000"/>
            </w:tcBorders>
            <w:shd w:val="clear" w:color="auto" w:fill="auto"/>
            <w:tcMar>
              <w:top w:w="40" w:type="dxa"/>
              <w:left w:w="40" w:type="dxa"/>
              <w:bottom w:w="40" w:type="dxa"/>
            </w:tcMar>
            <w:vAlign w:val="bottom"/>
          </w:tcPr>
          <w:p w14:paraId="2A73B21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422</w:t>
            </w:r>
          </w:p>
        </w:tc>
        <w:tc>
          <w:tcPr>
            <w:tcW w:w="0" w:type="auto"/>
            <w:tcBorders>
              <w:bottom w:val="single" w:sz="8" w:space="0" w:color="000000"/>
            </w:tcBorders>
            <w:shd w:val="clear" w:color="auto" w:fill="auto"/>
            <w:vAlign w:val="bottom"/>
          </w:tcPr>
          <w:p w14:paraId="2A73B21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2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21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(441</w:t>
            </w:r>
          </w:p>
        </w:tc>
        <w:tc>
          <w:tcPr>
            <w:tcW w:w="0" w:type="auto"/>
            <w:tcBorders>
              <w:bottom w:val="single" w:sz="8" w:space="0" w:color="000000"/>
            </w:tcBorders>
            <w:shd w:val="clear" w:color="auto" w:fill="auto"/>
            <w:tcMar>
              <w:top w:w="40" w:type="dxa"/>
              <w:bottom w:w="40" w:type="dxa"/>
              <w:right w:w="40" w:type="dxa"/>
            </w:tcMar>
            <w:vAlign w:val="bottom"/>
          </w:tcPr>
          <w:p w14:paraId="2A73B21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21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22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(133</w:t>
            </w:r>
          </w:p>
        </w:tc>
        <w:tc>
          <w:tcPr>
            <w:tcW w:w="0" w:type="auto"/>
            <w:tcBorders>
              <w:bottom w:val="single" w:sz="8" w:space="0" w:color="000000"/>
            </w:tcBorders>
            <w:shd w:val="clear" w:color="auto" w:fill="auto"/>
            <w:tcMar>
              <w:top w:w="40" w:type="dxa"/>
              <w:bottom w:w="40" w:type="dxa"/>
              <w:right w:w="40" w:type="dxa"/>
            </w:tcMar>
            <w:vAlign w:val="bottom"/>
          </w:tcPr>
          <w:p w14:paraId="2A73B22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22F" w14:textId="77777777">
        <w:tc>
          <w:tcPr>
            <w:tcW w:w="0" w:type="auto"/>
            <w:shd w:val="clear" w:color="auto" w:fill="EFEFEF"/>
            <w:tcMar>
              <w:top w:w="40" w:type="dxa"/>
              <w:left w:w="560" w:type="dxa"/>
              <w:bottom w:w="40" w:type="dxa"/>
              <w:right w:w="40" w:type="dxa"/>
            </w:tcMar>
          </w:tcPr>
          <w:p w14:paraId="2A73B22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other income/(expense), net</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22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22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1,807</w:t>
            </w:r>
          </w:p>
        </w:tc>
        <w:tc>
          <w:tcPr>
            <w:tcW w:w="0" w:type="auto"/>
            <w:tcBorders>
              <w:top w:val="single" w:sz="8" w:space="0" w:color="000000"/>
              <w:bottom w:val="double" w:sz="6" w:space="0" w:color="000000"/>
            </w:tcBorders>
            <w:shd w:val="clear" w:color="auto" w:fill="EFEFEF"/>
            <w:vAlign w:val="bottom"/>
          </w:tcPr>
          <w:p w14:paraId="2A73B22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2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B22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22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2,005</w:t>
            </w:r>
          </w:p>
        </w:tc>
        <w:tc>
          <w:tcPr>
            <w:tcW w:w="0" w:type="auto"/>
            <w:tcBorders>
              <w:bottom w:val="double" w:sz="6" w:space="0" w:color="000000"/>
            </w:tcBorders>
            <w:shd w:val="clear" w:color="auto" w:fill="EFEFEF"/>
            <w:vAlign w:val="bottom"/>
          </w:tcPr>
          <w:p w14:paraId="2A73B22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2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B22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22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2,745</w:t>
            </w:r>
          </w:p>
        </w:tc>
        <w:tc>
          <w:tcPr>
            <w:tcW w:w="0" w:type="auto"/>
            <w:tcBorders>
              <w:bottom w:val="double" w:sz="6" w:space="0" w:color="000000"/>
            </w:tcBorders>
            <w:shd w:val="clear" w:color="auto" w:fill="EFEFEF"/>
            <w:vAlign w:val="bottom"/>
          </w:tcPr>
          <w:p w14:paraId="2A73B22E" w14:textId="77777777" w:rsidR="00FA5565" w:rsidRDefault="00FA5565">
            <w:pPr>
              <w:textAlignment w:val="bottom"/>
              <w:rPr>
                <w:rFonts w:ascii="Times New Roman" w:hAnsi="Times New Roman"/>
                <w:sz w:val="20"/>
                <w:szCs w:val="20"/>
              </w:rPr>
            </w:pPr>
          </w:p>
        </w:tc>
      </w:tr>
    </w:tbl>
    <w:p w14:paraId="2A73B230" w14:textId="77777777" w:rsidR="00FA5565" w:rsidRDefault="00FA5565">
      <w:pPr>
        <w:spacing w:line="288" w:lineRule="auto"/>
        <w:jc w:val="both"/>
        <w:rPr>
          <w:rFonts w:ascii="Times New Roman" w:hAnsi="Times New Roman"/>
          <w:sz w:val="20"/>
          <w:szCs w:val="20"/>
        </w:rPr>
      </w:pPr>
    </w:p>
    <w:p w14:paraId="2A73B231"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Note 5 – Income Taxes</w:t>
      </w:r>
    </w:p>
    <w:p w14:paraId="2A73B232"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U.S. Tax Cuts and Jobs Act</w:t>
      </w:r>
    </w:p>
    <w:p w14:paraId="2A73B23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On December 22, 2017, the U.S. enacted the Tax Cuts and Jobs Act (the “Act”), which </w:t>
      </w:r>
      <w:r>
        <w:rPr>
          <w:rFonts w:ascii="Helvetica" w:eastAsia="Helvetica" w:hAnsi="Helvetica" w:cs="Helvetica"/>
          <w:sz w:val="18"/>
          <w:szCs w:val="18"/>
        </w:rPr>
        <w:t xml:space="preserve">significantly changed U.S. tax law. The Act lowered the Company’s U.S. statutory federal income tax rate from 35% to 21% effective January 1, 2018, while also imposing a deemed repatriation tax on previously deferred foreign income. The Act also created a </w:t>
      </w:r>
      <w:r>
        <w:rPr>
          <w:rFonts w:ascii="Helvetica" w:eastAsia="Helvetica" w:hAnsi="Helvetica" w:cs="Helvetica"/>
          <w:sz w:val="18"/>
          <w:szCs w:val="18"/>
        </w:rPr>
        <w:t>new minimum tax on certain foreign earnings, for which the Company has elected to record certain deferred tax assets and liabilities. The Company completed its accounting for the income tax effects of the Act during 2019, in accordance with the U.S. Securi</w:t>
      </w:r>
      <w:r>
        <w:rPr>
          <w:rFonts w:ascii="Helvetica" w:eastAsia="Helvetica" w:hAnsi="Helvetica" w:cs="Helvetica"/>
          <w:sz w:val="18"/>
          <w:szCs w:val="18"/>
        </w:rPr>
        <w:t>ties and Exchange Commission Staff Accounting Bulletin No. 118.</w:t>
      </w:r>
    </w:p>
    <w:p w14:paraId="2A73B23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Provision for Income Taxes and Effective Tax Rate</w:t>
      </w:r>
    </w:p>
    <w:p w14:paraId="2A73B23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provision for income taxes for 2019, 2018 and 2017, consisted of the following (in millions):</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FA5565" w14:paraId="2A73B237" w14:textId="77777777">
        <w:tc>
          <w:tcPr>
            <w:tcW w:w="0" w:type="auto"/>
            <w:gridSpan w:val="12"/>
            <w:shd w:val="clear" w:color="auto" w:fill="auto"/>
            <w:vAlign w:val="center"/>
          </w:tcPr>
          <w:p w14:paraId="2A73B236" w14:textId="77777777" w:rsidR="00FA5565" w:rsidRDefault="00FA5565">
            <w:pPr>
              <w:rPr>
                <w:rFonts w:ascii="Times New Roman" w:hAnsi="Times New Roman"/>
                <w:sz w:val="20"/>
                <w:szCs w:val="20"/>
              </w:rPr>
            </w:pPr>
          </w:p>
        </w:tc>
      </w:tr>
      <w:tr w:rsidR="00FA5565" w14:paraId="2A73B244" w14:textId="77777777">
        <w:tc>
          <w:tcPr>
            <w:tcW w:w="2950" w:type="pct"/>
            <w:shd w:val="clear" w:color="auto" w:fill="auto"/>
            <w:vAlign w:val="center"/>
          </w:tcPr>
          <w:p w14:paraId="2A73B238" w14:textId="77777777" w:rsidR="00FA5565" w:rsidRDefault="00FA5565">
            <w:pPr>
              <w:rPr>
                <w:rFonts w:ascii="Times New Roman" w:hAnsi="Times New Roman"/>
                <w:sz w:val="20"/>
                <w:szCs w:val="20"/>
              </w:rPr>
            </w:pPr>
          </w:p>
        </w:tc>
        <w:tc>
          <w:tcPr>
            <w:tcW w:w="50" w:type="pct"/>
            <w:shd w:val="clear" w:color="auto" w:fill="auto"/>
            <w:vAlign w:val="center"/>
          </w:tcPr>
          <w:p w14:paraId="2A73B239" w14:textId="77777777" w:rsidR="00FA5565" w:rsidRDefault="00FA5565">
            <w:pPr>
              <w:rPr>
                <w:rFonts w:ascii="Times New Roman" w:hAnsi="Times New Roman"/>
                <w:sz w:val="20"/>
                <w:szCs w:val="20"/>
              </w:rPr>
            </w:pPr>
          </w:p>
        </w:tc>
        <w:tc>
          <w:tcPr>
            <w:tcW w:w="550" w:type="pct"/>
            <w:shd w:val="clear" w:color="auto" w:fill="auto"/>
            <w:vAlign w:val="center"/>
          </w:tcPr>
          <w:p w14:paraId="2A73B23A" w14:textId="77777777" w:rsidR="00FA5565" w:rsidRDefault="00FA5565">
            <w:pPr>
              <w:rPr>
                <w:rFonts w:ascii="Times New Roman" w:hAnsi="Times New Roman"/>
                <w:sz w:val="20"/>
                <w:szCs w:val="20"/>
              </w:rPr>
            </w:pPr>
          </w:p>
        </w:tc>
        <w:tc>
          <w:tcPr>
            <w:tcW w:w="50" w:type="pct"/>
            <w:shd w:val="clear" w:color="auto" w:fill="auto"/>
            <w:vAlign w:val="center"/>
          </w:tcPr>
          <w:p w14:paraId="2A73B23B" w14:textId="77777777" w:rsidR="00FA5565" w:rsidRDefault="00FA5565">
            <w:pPr>
              <w:rPr>
                <w:rFonts w:ascii="Times New Roman" w:hAnsi="Times New Roman"/>
                <w:sz w:val="20"/>
                <w:szCs w:val="20"/>
              </w:rPr>
            </w:pPr>
          </w:p>
        </w:tc>
        <w:tc>
          <w:tcPr>
            <w:tcW w:w="50" w:type="pct"/>
            <w:shd w:val="clear" w:color="auto" w:fill="auto"/>
            <w:vAlign w:val="center"/>
          </w:tcPr>
          <w:p w14:paraId="2A73B23C" w14:textId="77777777" w:rsidR="00FA5565" w:rsidRDefault="00FA5565">
            <w:pPr>
              <w:rPr>
                <w:rFonts w:ascii="Times New Roman" w:hAnsi="Times New Roman"/>
                <w:sz w:val="20"/>
                <w:szCs w:val="20"/>
              </w:rPr>
            </w:pPr>
          </w:p>
        </w:tc>
        <w:tc>
          <w:tcPr>
            <w:tcW w:w="50" w:type="pct"/>
            <w:shd w:val="clear" w:color="auto" w:fill="auto"/>
            <w:vAlign w:val="center"/>
          </w:tcPr>
          <w:p w14:paraId="2A73B23D" w14:textId="77777777" w:rsidR="00FA5565" w:rsidRDefault="00FA5565">
            <w:pPr>
              <w:rPr>
                <w:rFonts w:ascii="Times New Roman" w:hAnsi="Times New Roman"/>
                <w:sz w:val="20"/>
                <w:szCs w:val="20"/>
              </w:rPr>
            </w:pPr>
          </w:p>
        </w:tc>
        <w:tc>
          <w:tcPr>
            <w:tcW w:w="550" w:type="pct"/>
            <w:shd w:val="clear" w:color="auto" w:fill="auto"/>
            <w:vAlign w:val="center"/>
          </w:tcPr>
          <w:p w14:paraId="2A73B23E" w14:textId="77777777" w:rsidR="00FA5565" w:rsidRDefault="00FA5565">
            <w:pPr>
              <w:rPr>
                <w:rFonts w:ascii="Times New Roman" w:hAnsi="Times New Roman"/>
                <w:sz w:val="20"/>
                <w:szCs w:val="20"/>
              </w:rPr>
            </w:pPr>
          </w:p>
        </w:tc>
        <w:tc>
          <w:tcPr>
            <w:tcW w:w="50" w:type="pct"/>
            <w:shd w:val="clear" w:color="auto" w:fill="auto"/>
            <w:vAlign w:val="center"/>
          </w:tcPr>
          <w:p w14:paraId="2A73B23F" w14:textId="77777777" w:rsidR="00FA5565" w:rsidRDefault="00FA5565">
            <w:pPr>
              <w:rPr>
                <w:rFonts w:ascii="Times New Roman" w:hAnsi="Times New Roman"/>
                <w:sz w:val="20"/>
                <w:szCs w:val="20"/>
              </w:rPr>
            </w:pPr>
          </w:p>
        </w:tc>
        <w:tc>
          <w:tcPr>
            <w:tcW w:w="50" w:type="pct"/>
            <w:shd w:val="clear" w:color="auto" w:fill="auto"/>
            <w:vAlign w:val="center"/>
          </w:tcPr>
          <w:p w14:paraId="2A73B240" w14:textId="77777777" w:rsidR="00FA5565" w:rsidRDefault="00FA5565">
            <w:pPr>
              <w:rPr>
                <w:rFonts w:ascii="Times New Roman" w:hAnsi="Times New Roman"/>
                <w:sz w:val="20"/>
                <w:szCs w:val="20"/>
              </w:rPr>
            </w:pPr>
          </w:p>
        </w:tc>
        <w:tc>
          <w:tcPr>
            <w:tcW w:w="50" w:type="pct"/>
            <w:shd w:val="clear" w:color="auto" w:fill="auto"/>
            <w:vAlign w:val="center"/>
          </w:tcPr>
          <w:p w14:paraId="2A73B241" w14:textId="77777777" w:rsidR="00FA5565" w:rsidRDefault="00FA5565">
            <w:pPr>
              <w:rPr>
                <w:rFonts w:ascii="Times New Roman" w:hAnsi="Times New Roman"/>
                <w:sz w:val="20"/>
                <w:szCs w:val="20"/>
              </w:rPr>
            </w:pPr>
          </w:p>
        </w:tc>
        <w:tc>
          <w:tcPr>
            <w:tcW w:w="550" w:type="pct"/>
            <w:shd w:val="clear" w:color="auto" w:fill="auto"/>
            <w:vAlign w:val="center"/>
          </w:tcPr>
          <w:p w14:paraId="2A73B242" w14:textId="77777777" w:rsidR="00FA5565" w:rsidRDefault="00FA5565">
            <w:pPr>
              <w:rPr>
                <w:rFonts w:ascii="Times New Roman" w:hAnsi="Times New Roman"/>
                <w:sz w:val="20"/>
                <w:szCs w:val="20"/>
              </w:rPr>
            </w:pPr>
          </w:p>
        </w:tc>
        <w:tc>
          <w:tcPr>
            <w:tcW w:w="50" w:type="pct"/>
            <w:shd w:val="clear" w:color="auto" w:fill="auto"/>
            <w:vAlign w:val="center"/>
          </w:tcPr>
          <w:p w14:paraId="2A73B243" w14:textId="77777777" w:rsidR="00FA5565" w:rsidRDefault="00FA5565">
            <w:pPr>
              <w:rPr>
                <w:rFonts w:ascii="Times New Roman" w:hAnsi="Times New Roman"/>
                <w:sz w:val="20"/>
                <w:szCs w:val="20"/>
              </w:rPr>
            </w:pPr>
          </w:p>
        </w:tc>
      </w:tr>
      <w:tr w:rsidR="00FA5565" w14:paraId="2A73B24B" w14:textId="77777777">
        <w:tc>
          <w:tcPr>
            <w:tcW w:w="0" w:type="auto"/>
            <w:shd w:val="clear" w:color="auto" w:fill="auto"/>
            <w:tcMar>
              <w:top w:w="40" w:type="dxa"/>
              <w:left w:w="40" w:type="dxa"/>
              <w:bottom w:w="40" w:type="dxa"/>
              <w:right w:w="40" w:type="dxa"/>
            </w:tcMar>
            <w:vAlign w:val="bottom"/>
          </w:tcPr>
          <w:p w14:paraId="2A73B2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24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24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24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2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24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252" w14:textId="77777777">
        <w:tc>
          <w:tcPr>
            <w:tcW w:w="0" w:type="auto"/>
            <w:shd w:val="clear" w:color="auto" w:fill="auto"/>
            <w:tcMar>
              <w:top w:w="40" w:type="dxa"/>
              <w:left w:w="40" w:type="dxa"/>
              <w:bottom w:w="40" w:type="dxa"/>
              <w:right w:w="40" w:type="dxa"/>
            </w:tcMar>
          </w:tcPr>
          <w:p w14:paraId="2A73B24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Federal:</w:t>
            </w:r>
          </w:p>
        </w:tc>
        <w:tc>
          <w:tcPr>
            <w:tcW w:w="0" w:type="auto"/>
            <w:gridSpan w:val="3"/>
            <w:shd w:val="clear" w:color="auto" w:fill="auto"/>
            <w:tcMar>
              <w:top w:w="40" w:type="dxa"/>
              <w:left w:w="40" w:type="dxa"/>
              <w:bottom w:w="40" w:type="dxa"/>
              <w:right w:w="40" w:type="dxa"/>
            </w:tcMar>
            <w:vAlign w:val="bottom"/>
          </w:tcPr>
          <w:p w14:paraId="2A73B2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2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24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25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25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25F" w14:textId="77777777">
        <w:tc>
          <w:tcPr>
            <w:tcW w:w="0" w:type="auto"/>
            <w:shd w:val="clear" w:color="auto" w:fill="EFEFEF"/>
            <w:tcMar>
              <w:top w:w="40" w:type="dxa"/>
              <w:left w:w="560" w:type="dxa"/>
              <w:bottom w:w="40" w:type="dxa"/>
              <w:right w:w="40" w:type="dxa"/>
            </w:tcMar>
          </w:tcPr>
          <w:p w14:paraId="2A73B25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Current</w:t>
            </w:r>
          </w:p>
        </w:tc>
        <w:tc>
          <w:tcPr>
            <w:tcW w:w="0" w:type="auto"/>
            <w:shd w:val="clear" w:color="auto" w:fill="EFEFEF"/>
            <w:tcMar>
              <w:top w:w="40" w:type="dxa"/>
              <w:left w:w="40" w:type="dxa"/>
              <w:bottom w:w="40" w:type="dxa"/>
            </w:tcMar>
            <w:vAlign w:val="bottom"/>
          </w:tcPr>
          <w:p w14:paraId="2A73B25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25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6,384</w:t>
            </w:r>
          </w:p>
        </w:tc>
        <w:tc>
          <w:tcPr>
            <w:tcW w:w="0" w:type="auto"/>
            <w:shd w:val="clear" w:color="auto" w:fill="EFEFEF"/>
            <w:vAlign w:val="bottom"/>
          </w:tcPr>
          <w:p w14:paraId="2A73B25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25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25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41,425</w:t>
            </w:r>
          </w:p>
        </w:tc>
        <w:tc>
          <w:tcPr>
            <w:tcW w:w="0" w:type="auto"/>
            <w:shd w:val="clear" w:color="auto" w:fill="EFEFEF"/>
            <w:vAlign w:val="bottom"/>
          </w:tcPr>
          <w:p w14:paraId="2A73B25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5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25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25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7,842</w:t>
            </w:r>
          </w:p>
        </w:tc>
        <w:tc>
          <w:tcPr>
            <w:tcW w:w="0" w:type="auto"/>
            <w:shd w:val="clear" w:color="auto" w:fill="EFEFEF"/>
            <w:vAlign w:val="bottom"/>
          </w:tcPr>
          <w:p w14:paraId="2A73B25E" w14:textId="77777777" w:rsidR="00FA5565" w:rsidRDefault="00FA5565">
            <w:pPr>
              <w:textAlignment w:val="bottom"/>
              <w:rPr>
                <w:rFonts w:ascii="Times New Roman" w:hAnsi="Times New Roman"/>
                <w:sz w:val="20"/>
                <w:szCs w:val="20"/>
              </w:rPr>
            </w:pPr>
          </w:p>
        </w:tc>
      </w:tr>
      <w:tr w:rsidR="00FA5565" w14:paraId="2A73B269" w14:textId="77777777">
        <w:tc>
          <w:tcPr>
            <w:tcW w:w="0" w:type="auto"/>
            <w:shd w:val="clear" w:color="auto" w:fill="auto"/>
            <w:tcMar>
              <w:top w:w="40" w:type="dxa"/>
              <w:left w:w="560" w:type="dxa"/>
              <w:bottom w:w="40" w:type="dxa"/>
              <w:right w:w="40" w:type="dxa"/>
            </w:tcMar>
          </w:tcPr>
          <w:p w14:paraId="2A73B26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Deferred</w:t>
            </w:r>
          </w:p>
        </w:tc>
        <w:tc>
          <w:tcPr>
            <w:tcW w:w="0" w:type="auto"/>
            <w:gridSpan w:val="2"/>
            <w:tcBorders>
              <w:bottom w:val="single" w:sz="8" w:space="0" w:color="000000"/>
            </w:tcBorders>
            <w:shd w:val="clear" w:color="auto" w:fill="auto"/>
            <w:tcMar>
              <w:top w:w="40" w:type="dxa"/>
              <w:left w:w="40" w:type="dxa"/>
              <w:bottom w:w="40" w:type="dxa"/>
            </w:tcMar>
            <w:vAlign w:val="bottom"/>
          </w:tcPr>
          <w:p w14:paraId="2A73B26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(2,939</w:t>
            </w:r>
          </w:p>
        </w:tc>
        <w:tc>
          <w:tcPr>
            <w:tcW w:w="0" w:type="auto"/>
            <w:tcBorders>
              <w:bottom w:val="single" w:sz="8" w:space="0" w:color="000000"/>
            </w:tcBorders>
            <w:shd w:val="clear" w:color="auto" w:fill="auto"/>
            <w:tcMar>
              <w:top w:w="40" w:type="dxa"/>
              <w:bottom w:w="40" w:type="dxa"/>
              <w:right w:w="40" w:type="dxa"/>
            </w:tcMar>
            <w:vAlign w:val="bottom"/>
          </w:tcPr>
          <w:p w14:paraId="2A73B26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26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26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(33,819</w:t>
            </w:r>
          </w:p>
        </w:tc>
        <w:tc>
          <w:tcPr>
            <w:tcW w:w="0" w:type="auto"/>
            <w:tcBorders>
              <w:bottom w:val="single" w:sz="8" w:space="0" w:color="000000"/>
            </w:tcBorders>
            <w:shd w:val="clear" w:color="auto" w:fill="auto"/>
            <w:tcMar>
              <w:top w:w="40" w:type="dxa"/>
              <w:bottom w:w="40" w:type="dxa"/>
              <w:right w:w="40" w:type="dxa"/>
            </w:tcMar>
            <w:vAlign w:val="bottom"/>
          </w:tcPr>
          <w:p w14:paraId="2A73B26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26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26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5,980</w:t>
            </w:r>
          </w:p>
        </w:tc>
        <w:tc>
          <w:tcPr>
            <w:tcW w:w="0" w:type="auto"/>
            <w:tcBorders>
              <w:bottom w:val="single" w:sz="8" w:space="0" w:color="000000"/>
            </w:tcBorders>
            <w:shd w:val="clear" w:color="auto" w:fill="auto"/>
            <w:vAlign w:val="bottom"/>
          </w:tcPr>
          <w:p w14:paraId="2A73B268" w14:textId="77777777" w:rsidR="00FA5565" w:rsidRDefault="00FA5565">
            <w:pPr>
              <w:textAlignment w:val="bottom"/>
              <w:rPr>
                <w:rFonts w:ascii="Times New Roman" w:hAnsi="Times New Roman"/>
                <w:sz w:val="20"/>
                <w:szCs w:val="20"/>
              </w:rPr>
            </w:pPr>
          </w:p>
        </w:tc>
      </w:tr>
      <w:tr w:rsidR="00FA5565" w14:paraId="2A73B273" w14:textId="77777777">
        <w:tc>
          <w:tcPr>
            <w:tcW w:w="0" w:type="auto"/>
            <w:shd w:val="clear" w:color="auto" w:fill="EFEFEF"/>
            <w:tcMar>
              <w:top w:w="40" w:type="dxa"/>
              <w:left w:w="1040" w:type="dxa"/>
              <w:bottom w:w="40" w:type="dxa"/>
              <w:right w:w="40" w:type="dxa"/>
            </w:tcMar>
          </w:tcPr>
          <w:p w14:paraId="2A73B26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26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3,445</w:t>
            </w:r>
          </w:p>
        </w:tc>
        <w:tc>
          <w:tcPr>
            <w:tcW w:w="0" w:type="auto"/>
            <w:tcBorders>
              <w:bottom w:val="single" w:sz="8" w:space="0" w:color="000000"/>
            </w:tcBorders>
            <w:shd w:val="clear" w:color="auto" w:fill="EFEFEF"/>
            <w:vAlign w:val="bottom"/>
          </w:tcPr>
          <w:p w14:paraId="2A73B26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6D"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EFEFEF"/>
            <w:tcMar>
              <w:top w:w="40" w:type="dxa"/>
              <w:left w:w="40" w:type="dxa"/>
              <w:bottom w:w="40" w:type="dxa"/>
            </w:tcMar>
            <w:vAlign w:val="bottom"/>
          </w:tcPr>
          <w:p w14:paraId="2A73B26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7,606</w:t>
            </w:r>
          </w:p>
        </w:tc>
        <w:tc>
          <w:tcPr>
            <w:tcW w:w="0" w:type="auto"/>
            <w:tcBorders>
              <w:bottom w:val="single" w:sz="8" w:space="0" w:color="000000"/>
            </w:tcBorders>
            <w:shd w:val="clear" w:color="auto" w:fill="EFEFEF"/>
            <w:vAlign w:val="bottom"/>
          </w:tcPr>
          <w:p w14:paraId="2A73B26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70"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EFEFEF"/>
            <w:tcMar>
              <w:top w:w="40" w:type="dxa"/>
              <w:left w:w="40" w:type="dxa"/>
              <w:bottom w:w="40" w:type="dxa"/>
            </w:tcMar>
            <w:vAlign w:val="bottom"/>
          </w:tcPr>
          <w:p w14:paraId="2A73B27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13,822</w:t>
            </w:r>
          </w:p>
        </w:tc>
        <w:tc>
          <w:tcPr>
            <w:tcW w:w="0" w:type="auto"/>
            <w:tcBorders>
              <w:bottom w:val="single" w:sz="8" w:space="0" w:color="000000"/>
            </w:tcBorders>
            <w:shd w:val="clear" w:color="auto" w:fill="EFEFEF"/>
            <w:vAlign w:val="bottom"/>
          </w:tcPr>
          <w:p w14:paraId="2A73B272" w14:textId="77777777" w:rsidR="00FA5565" w:rsidRDefault="00FA5565">
            <w:pPr>
              <w:textAlignment w:val="bottom"/>
              <w:rPr>
                <w:rFonts w:ascii="Times New Roman" w:hAnsi="Times New Roman"/>
                <w:sz w:val="20"/>
                <w:szCs w:val="20"/>
              </w:rPr>
            </w:pPr>
          </w:p>
        </w:tc>
      </w:tr>
      <w:tr w:rsidR="00FA5565" w14:paraId="2A73B27A" w14:textId="77777777">
        <w:tc>
          <w:tcPr>
            <w:tcW w:w="0" w:type="auto"/>
            <w:shd w:val="clear" w:color="auto" w:fill="auto"/>
            <w:tcMar>
              <w:top w:w="40" w:type="dxa"/>
              <w:left w:w="40" w:type="dxa"/>
              <w:bottom w:w="40" w:type="dxa"/>
              <w:right w:w="40" w:type="dxa"/>
            </w:tcMar>
          </w:tcPr>
          <w:p w14:paraId="2A73B27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State:</w:t>
            </w:r>
          </w:p>
        </w:tc>
        <w:tc>
          <w:tcPr>
            <w:tcW w:w="0" w:type="auto"/>
            <w:gridSpan w:val="3"/>
            <w:shd w:val="clear" w:color="auto" w:fill="auto"/>
            <w:tcMar>
              <w:top w:w="40" w:type="dxa"/>
              <w:left w:w="40" w:type="dxa"/>
              <w:bottom w:w="40" w:type="dxa"/>
              <w:right w:w="40" w:type="dxa"/>
            </w:tcMar>
            <w:vAlign w:val="bottom"/>
          </w:tcPr>
          <w:p w14:paraId="2A73B27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27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2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27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27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284" w14:textId="77777777">
        <w:tc>
          <w:tcPr>
            <w:tcW w:w="0" w:type="auto"/>
            <w:shd w:val="clear" w:color="auto" w:fill="EFEFEF"/>
            <w:tcMar>
              <w:top w:w="40" w:type="dxa"/>
              <w:left w:w="560" w:type="dxa"/>
              <w:bottom w:w="40" w:type="dxa"/>
              <w:right w:w="40" w:type="dxa"/>
            </w:tcMar>
          </w:tcPr>
          <w:p w14:paraId="2A73B27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Current</w:t>
            </w:r>
          </w:p>
        </w:tc>
        <w:tc>
          <w:tcPr>
            <w:tcW w:w="0" w:type="auto"/>
            <w:gridSpan w:val="2"/>
            <w:shd w:val="clear" w:color="auto" w:fill="EFEFEF"/>
            <w:tcMar>
              <w:top w:w="40" w:type="dxa"/>
              <w:left w:w="40" w:type="dxa"/>
              <w:bottom w:w="40" w:type="dxa"/>
            </w:tcMar>
            <w:vAlign w:val="bottom"/>
          </w:tcPr>
          <w:p w14:paraId="2A73B27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475</w:t>
            </w:r>
          </w:p>
        </w:tc>
        <w:tc>
          <w:tcPr>
            <w:tcW w:w="0" w:type="auto"/>
            <w:shd w:val="clear" w:color="auto" w:fill="EFEFEF"/>
            <w:vAlign w:val="bottom"/>
          </w:tcPr>
          <w:p w14:paraId="2A73B27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7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27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551</w:t>
            </w:r>
          </w:p>
        </w:tc>
        <w:tc>
          <w:tcPr>
            <w:tcW w:w="0" w:type="auto"/>
            <w:shd w:val="clear" w:color="auto" w:fill="EFEFEF"/>
            <w:vAlign w:val="bottom"/>
          </w:tcPr>
          <w:p w14:paraId="2A73B28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28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259</w:t>
            </w:r>
          </w:p>
        </w:tc>
        <w:tc>
          <w:tcPr>
            <w:tcW w:w="0" w:type="auto"/>
            <w:shd w:val="clear" w:color="auto" w:fill="EFEFEF"/>
            <w:vAlign w:val="bottom"/>
          </w:tcPr>
          <w:p w14:paraId="2A73B283" w14:textId="77777777" w:rsidR="00FA5565" w:rsidRDefault="00FA5565">
            <w:pPr>
              <w:textAlignment w:val="bottom"/>
              <w:rPr>
                <w:rFonts w:ascii="Times New Roman" w:hAnsi="Times New Roman"/>
                <w:sz w:val="20"/>
                <w:szCs w:val="20"/>
              </w:rPr>
            </w:pPr>
          </w:p>
        </w:tc>
      </w:tr>
      <w:tr w:rsidR="00FA5565" w14:paraId="2A73B28E" w14:textId="77777777">
        <w:tc>
          <w:tcPr>
            <w:tcW w:w="0" w:type="auto"/>
            <w:shd w:val="clear" w:color="auto" w:fill="auto"/>
            <w:tcMar>
              <w:top w:w="40" w:type="dxa"/>
              <w:left w:w="560" w:type="dxa"/>
              <w:bottom w:w="40" w:type="dxa"/>
              <w:right w:w="40" w:type="dxa"/>
            </w:tcMar>
          </w:tcPr>
          <w:p w14:paraId="2A73B28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Deferred</w:t>
            </w:r>
          </w:p>
        </w:tc>
        <w:tc>
          <w:tcPr>
            <w:tcW w:w="0" w:type="auto"/>
            <w:gridSpan w:val="2"/>
            <w:tcBorders>
              <w:bottom w:val="single" w:sz="8" w:space="0" w:color="000000"/>
            </w:tcBorders>
            <w:shd w:val="clear" w:color="auto" w:fill="auto"/>
            <w:tcMar>
              <w:top w:w="40" w:type="dxa"/>
              <w:left w:w="40" w:type="dxa"/>
              <w:bottom w:w="40" w:type="dxa"/>
            </w:tcMar>
            <w:vAlign w:val="bottom"/>
          </w:tcPr>
          <w:p w14:paraId="2A73B28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(67</w:t>
            </w:r>
          </w:p>
        </w:tc>
        <w:tc>
          <w:tcPr>
            <w:tcW w:w="0" w:type="auto"/>
            <w:tcBorders>
              <w:bottom w:val="single" w:sz="8" w:space="0" w:color="000000"/>
            </w:tcBorders>
            <w:shd w:val="clear" w:color="auto" w:fill="auto"/>
            <w:tcMar>
              <w:top w:w="40" w:type="dxa"/>
              <w:bottom w:w="40" w:type="dxa"/>
              <w:right w:w="40" w:type="dxa"/>
            </w:tcMar>
            <w:vAlign w:val="bottom"/>
          </w:tcPr>
          <w:p w14:paraId="2A73B28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2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28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w:t>
            </w:r>
          </w:p>
        </w:tc>
        <w:tc>
          <w:tcPr>
            <w:tcW w:w="0" w:type="auto"/>
            <w:tcBorders>
              <w:bottom w:val="single" w:sz="8" w:space="0" w:color="000000"/>
            </w:tcBorders>
            <w:shd w:val="clear" w:color="auto" w:fill="auto"/>
            <w:vAlign w:val="bottom"/>
          </w:tcPr>
          <w:p w14:paraId="2A73B28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2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28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tcBorders>
              <w:bottom w:val="single" w:sz="8" w:space="0" w:color="000000"/>
            </w:tcBorders>
            <w:shd w:val="clear" w:color="auto" w:fill="auto"/>
            <w:vAlign w:val="bottom"/>
          </w:tcPr>
          <w:p w14:paraId="2A73B28D" w14:textId="77777777" w:rsidR="00FA5565" w:rsidRDefault="00FA5565">
            <w:pPr>
              <w:textAlignment w:val="bottom"/>
              <w:rPr>
                <w:rFonts w:ascii="Times New Roman" w:hAnsi="Times New Roman"/>
                <w:sz w:val="20"/>
                <w:szCs w:val="20"/>
              </w:rPr>
            </w:pPr>
          </w:p>
        </w:tc>
      </w:tr>
      <w:tr w:rsidR="00FA5565" w14:paraId="2A73B298" w14:textId="77777777">
        <w:tc>
          <w:tcPr>
            <w:tcW w:w="0" w:type="auto"/>
            <w:shd w:val="clear" w:color="auto" w:fill="EFEFEF"/>
            <w:tcMar>
              <w:top w:w="40" w:type="dxa"/>
              <w:left w:w="1040" w:type="dxa"/>
              <w:bottom w:w="40" w:type="dxa"/>
              <w:right w:w="40" w:type="dxa"/>
            </w:tcMar>
          </w:tcPr>
          <w:p w14:paraId="2A73B28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29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408</w:t>
            </w:r>
          </w:p>
        </w:tc>
        <w:tc>
          <w:tcPr>
            <w:tcW w:w="0" w:type="auto"/>
            <w:tcBorders>
              <w:bottom w:val="single" w:sz="8" w:space="0" w:color="000000"/>
            </w:tcBorders>
            <w:shd w:val="clear" w:color="auto" w:fill="EFEFEF"/>
            <w:vAlign w:val="bottom"/>
          </w:tcPr>
          <w:p w14:paraId="2A73B29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92"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EFEFEF"/>
            <w:tcMar>
              <w:top w:w="40" w:type="dxa"/>
              <w:left w:w="40" w:type="dxa"/>
              <w:bottom w:w="40" w:type="dxa"/>
            </w:tcMar>
            <w:vAlign w:val="bottom"/>
          </w:tcPr>
          <w:p w14:paraId="2A73B29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599</w:t>
            </w:r>
          </w:p>
        </w:tc>
        <w:tc>
          <w:tcPr>
            <w:tcW w:w="0" w:type="auto"/>
            <w:tcBorders>
              <w:bottom w:val="single" w:sz="8" w:space="0" w:color="000000"/>
            </w:tcBorders>
            <w:shd w:val="clear" w:color="auto" w:fill="EFEFEF"/>
            <w:vAlign w:val="bottom"/>
          </w:tcPr>
          <w:p w14:paraId="2A73B29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95"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EFEFEF"/>
            <w:tcMar>
              <w:top w:w="40" w:type="dxa"/>
              <w:left w:w="40" w:type="dxa"/>
              <w:bottom w:w="40" w:type="dxa"/>
            </w:tcMar>
            <w:vAlign w:val="bottom"/>
          </w:tcPr>
          <w:p w14:paraId="2A73B29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261</w:t>
            </w:r>
          </w:p>
        </w:tc>
        <w:tc>
          <w:tcPr>
            <w:tcW w:w="0" w:type="auto"/>
            <w:tcBorders>
              <w:bottom w:val="single" w:sz="8" w:space="0" w:color="000000"/>
            </w:tcBorders>
            <w:shd w:val="clear" w:color="auto" w:fill="EFEFEF"/>
            <w:vAlign w:val="bottom"/>
          </w:tcPr>
          <w:p w14:paraId="2A73B297" w14:textId="77777777" w:rsidR="00FA5565" w:rsidRDefault="00FA5565">
            <w:pPr>
              <w:textAlignment w:val="bottom"/>
              <w:rPr>
                <w:rFonts w:ascii="Times New Roman" w:hAnsi="Times New Roman"/>
                <w:sz w:val="20"/>
                <w:szCs w:val="20"/>
              </w:rPr>
            </w:pPr>
          </w:p>
        </w:tc>
      </w:tr>
      <w:tr w:rsidR="00FA5565" w14:paraId="2A73B29F" w14:textId="77777777">
        <w:tc>
          <w:tcPr>
            <w:tcW w:w="0" w:type="auto"/>
            <w:shd w:val="clear" w:color="auto" w:fill="auto"/>
            <w:tcMar>
              <w:top w:w="40" w:type="dxa"/>
              <w:left w:w="40" w:type="dxa"/>
              <w:bottom w:w="40" w:type="dxa"/>
              <w:right w:w="40" w:type="dxa"/>
            </w:tcMar>
          </w:tcPr>
          <w:p w14:paraId="2A73B29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w:t>
            </w:r>
          </w:p>
        </w:tc>
        <w:tc>
          <w:tcPr>
            <w:tcW w:w="0" w:type="auto"/>
            <w:gridSpan w:val="3"/>
            <w:shd w:val="clear" w:color="auto" w:fill="auto"/>
            <w:tcMar>
              <w:top w:w="40" w:type="dxa"/>
              <w:left w:w="40" w:type="dxa"/>
              <w:bottom w:w="40" w:type="dxa"/>
              <w:right w:w="40" w:type="dxa"/>
            </w:tcMar>
            <w:vAlign w:val="bottom"/>
          </w:tcPr>
          <w:p w14:paraId="2A73B29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29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2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29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29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2A9" w14:textId="77777777">
        <w:tc>
          <w:tcPr>
            <w:tcW w:w="0" w:type="auto"/>
            <w:shd w:val="clear" w:color="auto" w:fill="EFEFEF"/>
            <w:tcMar>
              <w:top w:w="40" w:type="dxa"/>
              <w:left w:w="560" w:type="dxa"/>
              <w:bottom w:w="40" w:type="dxa"/>
              <w:right w:w="40" w:type="dxa"/>
            </w:tcMar>
          </w:tcPr>
          <w:p w14:paraId="2A73B2A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Current</w:t>
            </w:r>
          </w:p>
        </w:tc>
        <w:tc>
          <w:tcPr>
            <w:tcW w:w="0" w:type="auto"/>
            <w:gridSpan w:val="2"/>
            <w:shd w:val="clear" w:color="auto" w:fill="EFEFEF"/>
            <w:tcMar>
              <w:top w:w="40" w:type="dxa"/>
              <w:left w:w="40" w:type="dxa"/>
              <w:bottom w:w="40" w:type="dxa"/>
            </w:tcMar>
            <w:vAlign w:val="bottom"/>
          </w:tcPr>
          <w:p w14:paraId="2A73B2A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3,962</w:t>
            </w:r>
          </w:p>
        </w:tc>
        <w:tc>
          <w:tcPr>
            <w:tcW w:w="0" w:type="auto"/>
            <w:shd w:val="clear" w:color="auto" w:fill="EFEFEF"/>
            <w:vAlign w:val="bottom"/>
          </w:tcPr>
          <w:p w14:paraId="2A73B2A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A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2A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3,986</w:t>
            </w:r>
          </w:p>
        </w:tc>
        <w:tc>
          <w:tcPr>
            <w:tcW w:w="0" w:type="auto"/>
            <w:shd w:val="clear" w:color="auto" w:fill="EFEFEF"/>
            <w:vAlign w:val="bottom"/>
          </w:tcPr>
          <w:p w14:paraId="2A73B2A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A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2A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1,671</w:t>
            </w:r>
          </w:p>
        </w:tc>
        <w:tc>
          <w:tcPr>
            <w:tcW w:w="0" w:type="auto"/>
            <w:shd w:val="clear" w:color="auto" w:fill="EFEFEF"/>
            <w:vAlign w:val="bottom"/>
          </w:tcPr>
          <w:p w14:paraId="2A73B2A8" w14:textId="77777777" w:rsidR="00FA5565" w:rsidRDefault="00FA5565">
            <w:pPr>
              <w:textAlignment w:val="bottom"/>
              <w:rPr>
                <w:rFonts w:ascii="Times New Roman" w:hAnsi="Times New Roman"/>
                <w:sz w:val="20"/>
                <w:szCs w:val="20"/>
              </w:rPr>
            </w:pPr>
          </w:p>
        </w:tc>
      </w:tr>
      <w:tr w:rsidR="00FA5565" w14:paraId="2A73B2B3" w14:textId="77777777">
        <w:tc>
          <w:tcPr>
            <w:tcW w:w="0" w:type="auto"/>
            <w:shd w:val="clear" w:color="auto" w:fill="auto"/>
            <w:tcMar>
              <w:top w:w="40" w:type="dxa"/>
              <w:left w:w="560" w:type="dxa"/>
              <w:bottom w:w="40" w:type="dxa"/>
              <w:right w:w="40" w:type="dxa"/>
            </w:tcMar>
          </w:tcPr>
          <w:p w14:paraId="2A73B2A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Deferred</w:t>
            </w:r>
          </w:p>
        </w:tc>
        <w:tc>
          <w:tcPr>
            <w:tcW w:w="0" w:type="auto"/>
            <w:gridSpan w:val="2"/>
            <w:tcBorders>
              <w:bottom w:val="single" w:sz="8" w:space="0" w:color="000000"/>
            </w:tcBorders>
            <w:shd w:val="clear" w:color="auto" w:fill="auto"/>
            <w:tcMar>
              <w:top w:w="40" w:type="dxa"/>
              <w:left w:w="40" w:type="dxa"/>
              <w:bottom w:w="40" w:type="dxa"/>
            </w:tcMar>
            <w:vAlign w:val="bottom"/>
          </w:tcPr>
          <w:p w14:paraId="2A73B2A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2,666</w:t>
            </w:r>
          </w:p>
        </w:tc>
        <w:tc>
          <w:tcPr>
            <w:tcW w:w="0" w:type="auto"/>
            <w:tcBorders>
              <w:bottom w:val="single" w:sz="8" w:space="0" w:color="000000"/>
            </w:tcBorders>
            <w:shd w:val="clear" w:color="auto" w:fill="auto"/>
            <w:vAlign w:val="bottom"/>
          </w:tcPr>
          <w:p w14:paraId="2A73B2A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2A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2A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1,181</w:t>
            </w:r>
          </w:p>
        </w:tc>
        <w:tc>
          <w:tcPr>
            <w:tcW w:w="0" w:type="auto"/>
            <w:tcBorders>
              <w:bottom w:val="single" w:sz="8" w:space="0" w:color="000000"/>
            </w:tcBorders>
            <w:shd w:val="clear" w:color="auto" w:fill="auto"/>
            <w:vAlign w:val="bottom"/>
          </w:tcPr>
          <w:p w14:paraId="2A73B2A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2B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2B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w:t>
            </w:r>
          </w:p>
        </w:tc>
        <w:tc>
          <w:tcPr>
            <w:tcW w:w="0" w:type="auto"/>
            <w:tcBorders>
              <w:bottom w:val="single" w:sz="8" w:space="0" w:color="000000"/>
            </w:tcBorders>
            <w:shd w:val="clear" w:color="auto" w:fill="auto"/>
            <w:tcMar>
              <w:top w:w="40" w:type="dxa"/>
              <w:bottom w:w="40" w:type="dxa"/>
              <w:right w:w="40" w:type="dxa"/>
            </w:tcMar>
            <w:vAlign w:val="bottom"/>
          </w:tcPr>
          <w:p w14:paraId="2A73B2B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2BD" w14:textId="77777777">
        <w:tc>
          <w:tcPr>
            <w:tcW w:w="0" w:type="auto"/>
            <w:shd w:val="clear" w:color="auto" w:fill="EFEFEF"/>
            <w:tcMar>
              <w:top w:w="40" w:type="dxa"/>
              <w:left w:w="1040" w:type="dxa"/>
              <w:bottom w:w="40" w:type="dxa"/>
              <w:right w:w="40" w:type="dxa"/>
            </w:tcMar>
          </w:tcPr>
          <w:p w14:paraId="2A73B2B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2B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6,628</w:t>
            </w:r>
          </w:p>
        </w:tc>
        <w:tc>
          <w:tcPr>
            <w:tcW w:w="0" w:type="auto"/>
            <w:tcBorders>
              <w:bottom w:val="single" w:sz="8" w:space="0" w:color="000000"/>
            </w:tcBorders>
            <w:shd w:val="clear" w:color="auto" w:fill="EFEFEF"/>
            <w:vAlign w:val="bottom"/>
          </w:tcPr>
          <w:p w14:paraId="2A73B2B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B7"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EFEFEF"/>
            <w:tcMar>
              <w:top w:w="40" w:type="dxa"/>
              <w:left w:w="40" w:type="dxa"/>
              <w:bottom w:w="40" w:type="dxa"/>
            </w:tcMar>
            <w:vAlign w:val="bottom"/>
          </w:tcPr>
          <w:p w14:paraId="2A73B2B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5,167</w:t>
            </w:r>
          </w:p>
        </w:tc>
        <w:tc>
          <w:tcPr>
            <w:tcW w:w="0" w:type="auto"/>
            <w:tcBorders>
              <w:bottom w:val="single" w:sz="8" w:space="0" w:color="000000"/>
            </w:tcBorders>
            <w:shd w:val="clear" w:color="auto" w:fill="EFEFEF"/>
            <w:vAlign w:val="bottom"/>
          </w:tcPr>
          <w:p w14:paraId="2A73B2B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BA"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EFEFEF"/>
            <w:tcMar>
              <w:top w:w="40" w:type="dxa"/>
              <w:left w:w="40" w:type="dxa"/>
              <w:bottom w:w="40" w:type="dxa"/>
            </w:tcMar>
            <w:vAlign w:val="bottom"/>
          </w:tcPr>
          <w:p w14:paraId="2A73B2B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1,655</w:t>
            </w:r>
          </w:p>
        </w:tc>
        <w:tc>
          <w:tcPr>
            <w:tcW w:w="0" w:type="auto"/>
            <w:tcBorders>
              <w:bottom w:val="single" w:sz="8" w:space="0" w:color="000000"/>
            </w:tcBorders>
            <w:shd w:val="clear" w:color="auto" w:fill="EFEFEF"/>
            <w:vAlign w:val="bottom"/>
          </w:tcPr>
          <w:p w14:paraId="2A73B2BC" w14:textId="77777777" w:rsidR="00FA5565" w:rsidRDefault="00FA5565">
            <w:pPr>
              <w:textAlignment w:val="bottom"/>
              <w:rPr>
                <w:rFonts w:ascii="Times New Roman" w:hAnsi="Times New Roman"/>
                <w:sz w:val="20"/>
                <w:szCs w:val="20"/>
              </w:rPr>
            </w:pPr>
          </w:p>
        </w:tc>
      </w:tr>
      <w:tr w:rsidR="00FA5565" w14:paraId="2A73B2CA" w14:textId="77777777">
        <w:tc>
          <w:tcPr>
            <w:tcW w:w="0" w:type="auto"/>
            <w:shd w:val="clear" w:color="auto" w:fill="auto"/>
            <w:tcMar>
              <w:top w:w="40" w:type="dxa"/>
              <w:left w:w="40" w:type="dxa"/>
              <w:bottom w:w="40" w:type="dxa"/>
              <w:right w:w="40" w:type="dxa"/>
            </w:tcMar>
          </w:tcPr>
          <w:p w14:paraId="2A73B2B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Provision for income taxes</w:t>
            </w:r>
          </w:p>
        </w:tc>
        <w:tc>
          <w:tcPr>
            <w:tcW w:w="0" w:type="auto"/>
            <w:tcBorders>
              <w:bottom w:val="double" w:sz="6" w:space="0" w:color="000000"/>
            </w:tcBorders>
            <w:shd w:val="clear" w:color="auto" w:fill="auto"/>
            <w:tcMar>
              <w:top w:w="40" w:type="dxa"/>
              <w:left w:w="40" w:type="dxa"/>
              <w:bottom w:w="40" w:type="dxa"/>
            </w:tcMar>
            <w:vAlign w:val="bottom"/>
          </w:tcPr>
          <w:p w14:paraId="2A73B2B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2C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10,481</w:t>
            </w:r>
          </w:p>
        </w:tc>
        <w:tc>
          <w:tcPr>
            <w:tcW w:w="0" w:type="auto"/>
            <w:tcBorders>
              <w:bottom w:val="double" w:sz="6" w:space="0" w:color="000000"/>
            </w:tcBorders>
            <w:shd w:val="clear" w:color="auto" w:fill="auto"/>
            <w:vAlign w:val="bottom"/>
          </w:tcPr>
          <w:p w14:paraId="2A73B2C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2C2"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auto"/>
            <w:tcMar>
              <w:top w:w="40" w:type="dxa"/>
              <w:left w:w="40" w:type="dxa"/>
              <w:bottom w:w="40" w:type="dxa"/>
            </w:tcMar>
            <w:vAlign w:val="bottom"/>
          </w:tcPr>
          <w:p w14:paraId="2A73B2C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2C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13,372</w:t>
            </w:r>
          </w:p>
        </w:tc>
        <w:tc>
          <w:tcPr>
            <w:tcW w:w="0" w:type="auto"/>
            <w:tcBorders>
              <w:bottom w:val="double" w:sz="6" w:space="0" w:color="000000"/>
            </w:tcBorders>
            <w:shd w:val="clear" w:color="auto" w:fill="auto"/>
            <w:vAlign w:val="bottom"/>
          </w:tcPr>
          <w:p w14:paraId="2A73B2C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2C6"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auto"/>
            <w:tcMar>
              <w:top w:w="40" w:type="dxa"/>
              <w:left w:w="40" w:type="dxa"/>
              <w:bottom w:w="40" w:type="dxa"/>
            </w:tcMar>
            <w:vAlign w:val="bottom"/>
          </w:tcPr>
          <w:p w14:paraId="2A73B2C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2C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15,738</w:t>
            </w:r>
          </w:p>
        </w:tc>
        <w:tc>
          <w:tcPr>
            <w:tcW w:w="0" w:type="auto"/>
            <w:tcBorders>
              <w:bottom w:val="double" w:sz="6" w:space="0" w:color="000000"/>
            </w:tcBorders>
            <w:shd w:val="clear" w:color="auto" w:fill="auto"/>
            <w:vAlign w:val="bottom"/>
          </w:tcPr>
          <w:p w14:paraId="2A73B2C9" w14:textId="77777777" w:rsidR="00FA5565" w:rsidRDefault="00FA5565">
            <w:pPr>
              <w:textAlignment w:val="bottom"/>
              <w:rPr>
                <w:rFonts w:ascii="Times New Roman" w:hAnsi="Times New Roman"/>
                <w:sz w:val="20"/>
                <w:szCs w:val="20"/>
              </w:rPr>
            </w:pPr>
          </w:p>
        </w:tc>
      </w:tr>
    </w:tbl>
    <w:p w14:paraId="2A73B2CB" w14:textId="77777777" w:rsidR="00FA5565" w:rsidRDefault="00FA5565">
      <w:pPr>
        <w:spacing w:line="288" w:lineRule="auto"/>
        <w:jc w:val="both"/>
        <w:rPr>
          <w:rFonts w:ascii="Times New Roman" w:hAnsi="Times New Roman"/>
          <w:sz w:val="20"/>
          <w:szCs w:val="20"/>
        </w:rPr>
      </w:pPr>
    </w:p>
    <w:p w14:paraId="2A73B2C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foreign provision for income taxes is based on foreign pre-tax earnings of $44.3 </w:t>
      </w:r>
      <w:r>
        <w:rPr>
          <w:rFonts w:ascii="Helvetica" w:eastAsia="Helvetica" w:hAnsi="Helvetica" w:cs="Helvetica"/>
          <w:sz w:val="18"/>
          <w:szCs w:val="18"/>
        </w:rPr>
        <w:t>billion, $48.0 billion and $44.7 billion in 2019, 2018 and 2017, respectively.</w:t>
      </w:r>
    </w:p>
    <w:p w14:paraId="2A73B2CD" w14:textId="77777777" w:rsidR="00FA5565" w:rsidRDefault="00FA5565">
      <w:pPr>
        <w:rPr>
          <w:rFonts w:ascii="Times New Roman" w:hAnsi="Times New Roman"/>
          <w:sz w:val="20"/>
          <w:szCs w:val="20"/>
        </w:rPr>
      </w:pPr>
    </w:p>
    <w:p w14:paraId="2A73B2CE"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44</w:t>
      </w:r>
    </w:p>
    <w:p w14:paraId="2A73B2CF" w14:textId="77777777" w:rsidR="00FA5565" w:rsidRDefault="00D804D1">
      <w:r>
        <w:rPr>
          <w:rFonts w:ascii="Times New Roman" w:hAnsi="Times New Roman"/>
          <w:sz w:val="16"/>
          <w:szCs w:val="16"/>
        </w:rPr>
        <w:pict w14:anchorId="2A73C0C8">
          <v:rect id="_x0000_i1070" style="width:415.3pt;height:1.5pt" o:hralign="center" o:hrstd="t" o:hr="t" fillcolor="#a0a0a0" stroked="f"/>
        </w:pict>
      </w:r>
    </w:p>
    <w:p w14:paraId="2A73B2D0" w14:textId="77777777" w:rsidR="00FA5565" w:rsidRDefault="00FA5565">
      <w:pPr>
        <w:rPr>
          <w:rFonts w:ascii="Times New Roman" w:hAnsi="Times New Roman"/>
          <w:sz w:val="20"/>
          <w:szCs w:val="20"/>
        </w:rPr>
      </w:pPr>
    </w:p>
    <w:p w14:paraId="2A73B2D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 reconciliation of the provision for income taxes, with the amount computed by applying the statutory federal income tax rate (21% in </w:t>
      </w:r>
      <w:r>
        <w:rPr>
          <w:rFonts w:ascii="Helvetica" w:eastAsia="Helvetica" w:hAnsi="Helvetica" w:cs="Helvetica"/>
          <w:sz w:val="18"/>
          <w:szCs w:val="18"/>
        </w:rPr>
        <w:t>2019; 24.5% in 2018; 35% in 2017) to income before provision for income taxes for 2019, 2018 and 2017, is as follows (dollars in millions):</w:t>
      </w:r>
    </w:p>
    <w:tbl>
      <w:tblPr>
        <w:tblW w:w="5000" w:type="pct"/>
        <w:tblCellMar>
          <w:left w:w="0" w:type="dxa"/>
          <w:right w:w="0" w:type="dxa"/>
        </w:tblCellMar>
        <w:tblLook w:val="04A0" w:firstRow="1" w:lastRow="0" w:firstColumn="1" w:lastColumn="0" w:noHBand="0" w:noVBand="1"/>
      </w:tblPr>
      <w:tblGrid>
        <w:gridCol w:w="4745"/>
        <w:gridCol w:w="141"/>
        <w:gridCol w:w="758"/>
        <w:gridCol w:w="201"/>
        <w:gridCol w:w="130"/>
        <w:gridCol w:w="141"/>
        <w:gridCol w:w="758"/>
        <w:gridCol w:w="201"/>
        <w:gridCol w:w="130"/>
        <w:gridCol w:w="141"/>
        <w:gridCol w:w="759"/>
        <w:gridCol w:w="201"/>
      </w:tblGrid>
      <w:tr w:rsidR="00FA5565" w14:paraId="2A73B2D3" w14:textId="77777777">
        <w:tc>
          <w:tcPr>
            <w:tcW w:w="0" w:type="auto"/>
            <w:gridSpan w:val="12"/>
            <w:shd w:val="clear" w:color="auto" w:fill="auto"/>
            <w:vAlign w:val="center"/>
          </w:tcPr>
          <w:p w14:paraId="2A73B2D2" w14:textId="77777777" w:rsidR="00FA5565" w:rsidRDefault="00FA5565">
            <w:pPr>
              <w:rPr>
                <w:rFonts w:ascii="Times New Roman" w:hAnsi="Times New Roman"/>
                <w:sz w:val="20"/>
                <w:szCs w:val="20"/>
              </w:rPr>
            </w:pPr>
          </w:p>
        </w:tc>
      </w:tr>
      <w:tr w:rsidR="00FA5565" w14:paraId="2A73B2E0" w14:textId="77777777">
        <w:tc>
          <w:tcPr>
            <w:tcW w:w="2950" w:type="pct"/>
            <w:shd w:val="clear" w:color="auto" w:fill="auto"/>
            <w:vAlign w:val="center"/>
          </w:tcPr>
          <w:p w14:paraId="2A73B2D4" w14:textId="77777777" w:rsidR="00FA5565" w:rsidRDefault="00FA5565">
            <w:pPr>
              <w:rPr>
                <w:rFonts w:ascii="Times New Roman" w:hAnsi="Times New Roman"/>
                <w:sz w:val="20"/>
                <w:szCs w:val="20"/>
              </w:rPr>
            </w:pPr>
          </w:p>
        </w:tc>
        <w:tc>
          <w:tcPr>
            <w:tcW w:w="50" w:type="pct"/>
            <w:shd w:val="clear" w:color="auto" w:fill="auto"/>
            <w:vAlign w:val="center"/>
          </w:tcPr>
          <w:p w14:paraId="2A73B2D5" w14:textId="77777777" w:rsidR="00FA5565" w:rsidRDefault="00FA5565">
            <w:pPr>
              <w:rPr>
                <w:rFonts w:ascii="Times New Roman" w:hAnsi="Times New Roman"/>
                <w:sz w:val="20"/>
                <w:szCs w:val="20"/>
              </w:rPr>
            </w:pPr>
          </w:p>
        </w:tc>
        <w:tc>
          <w:tcPr>
            <w:tcW w:w="550" w:type="pct"/>
            <w:shd w:val="clear" w:color="auto" w:fill="auto"/>
            <w:vAlign w:val="center"/>
          </w:tcPr>
          <w:p w14:paraId="2A73B2D6" w14:textId="77777777" w:rsidR="00FA5565" w:rsidRDefault="00FA5565">
            <w:pPr>
              <w:rPr>
                <w:rFonts w:ascii="Times New Roman" w:hAnsi="Times New Roman"/>
                <w:sz w:val="20"/>
                <w:szCs w:val="20"/>
              </w:rPr>
            </w:pPr>
          </w:p>
        </w:tc>
        <w:tc>
          <w:tcPr>
            <w:tcW w:w="50" w:type="pct"/>
            <w:shd w:val="clear" w:color="auto" w:fill="auto"/>
            <w:vAlign w:val="center"/>
          </w:tcPr>
          <w:p w14:paraId="2A73B2D7" w14:textId="77777777" w:rsidR="00FA5565" w:rsidRDefault="00FA5565">
            <w:pPr>
              <w:rPr>
                <w:rFonts w:ascii="Times New Roman" w:hAnsi="Times New Roman"/>
                <w:sz w:val="20"/>
                <w:szCs w:val="20"/>
              </w:rPr>
            </w:pPr>
          </w:p>
        </w:tc>
        <w:tc>
          <w:tcPr>
            <w:tcW w:w="50" w:type="pct"/>
            <w:shd w:val="clear" w:color="auto" w:fill="auto"/>
            <w:vAlign w:val="center"/>
          </w:tcPr>
          <w:p w14:paraId="2A73B2D8" w14:textId="77777777" w:rsidR="00FA5565" w:rsidRDefault="00FA5565">
            <w:pPr>
              <w:rPr>
                <w:rFonts w:ascii="Times New Roman" w:hAnsi="Times New Roman"/>
                <w:sz w:val="20"/>
                <w:szCs w:val="20"/>
              </w:rPr>
            </w:pPr>
          </w:p>
        </w:tc>
        <w:tc>
          <w:tcPr>
            <w:tcW w:w="50" w:type="pct"/>
            <w:shd w:val="clear" w:color="auto" w:fill="auto"/>
            <w:vAlign w:val="center"/>
          </w:tcPr>
          <w:p w14:paraId="2A73B2D9" w14:textId="77777777" w:rsidR="00FA5565" w:rsidRDefault="00FA5565">
            <w:pPr>
              <w:rPr>
                <w:rFonts w:ascii="Times New Roman" w:hAnsi="Times New Roman"/>
                <w:sz w:val="20"/>
                <w:szCs w:val="20"/>
              </w:rPr>
            </w:pPr>
          </w:p>
        </w:tc>
        <w:tc>
          <w:tcPr>
            <w:tcW w:w="550" w:type="pct"/>
            <w:shd w:val="clear" w:color="auto" w:fill="auto"/>
            <w:vAlign w:val="center"/>
          </w:tcPr>
          <w:p w14:paraId="2A73B2DA" w14:textId="77777777" w:rsidR="00FA5565" w:rsidRDefault="00FA5565">
            <w:pPr>
              <w:rPr>
                <w:rFonts w:ascii="Times New Roman" w:hAnsi="Times New Roman"/>
                <w:sz w:val="20"/>
                <w:szCs w:val="20"/>
              </w:rPr>
            </w:pPr>
          </w:p>
        </w:tc>
        <w:tc>
          <w:tcPr>
            <w:tcW w:w="50" w:type="pct"/>
            <w:shd w:val="clear" w:color="auto" w:fill="auto"/>
            <w:vAlign w:val="center"/>
          </w:tcPr>
          <w:p w14:paraId="2A73B2DB" w14:textId="77777777" w:rsidR="00FA5565" w:rsidRDefault="00FA5565">
            <w:pPr>
              <w:rPr>
                <w:rFonts w:ascii="Times New Roman" w:hAnsi="Times New Roman"/>
                <w:sz w:val="20"/>
                <w:szCs w:val="20"/>
              </w:rPr>
            </w:pPr>
          </w:p>
        </w:tc>
        <w:tc>
          <w:tcPr>
            <w:tcW w:w="50" w:type="pct"/>
            <w:shd w:val="clear" w:color="auto" w:fill="auto"/>
            <w:vAlign w:val="center"/>
          </w:tcPr>
          <w:p w14:paraId="2A73B2DC" w14:textId="77777777" w:rsidR="00FA5565" w:rsidRDefault="00FA5565">
            <w:pPr>
              <w:rPr>
                <w:rFonts w:ascii="Times New Roman" w:hAnsi="Times New Roman"/>
                <w:sz w:val="20"/>
                <w:szCs w:val="20"/>
              </w:rPr>
            </w:pPr>
          </w:p>
        </w:tc>
        <w:tc>
          <w:tcPr>
            <w:tcW w:w="50" w:type="pct"/>
            <w:shd w:val="clear" w:color="auto" w:fill="auto"/>
            <w:vAlign w:val="center"/>
          </w:tcPr>
          <w:p w14:paraId="2A73B2DD" w14:textId="77777777" w:rsidR="00FA5565" w:rsidRDefault="00FA5565">
            <w:pPr>
              <w:rPr>
                <w:rFonts w:ascii="Times New Roman" w:hAnsi="Times New Roman"/>
                <w:sz w:val="20"/>
                <w:szCs w:val="20"/>
              </w:rPr>
            </w:pPr>
          </w:p>
        </w:tc>
        <w:tc>
          <w:tcPr>
            <w:tcW w:w="550" w:type="pct"/>
            <w:shd w:val="clear" w:color="auto" w:fill="auto"/>
            <w:vAlign w:val="center"/>
          </w:tcPr>
          <w:p w14:paraId="2A73B2DE" w14:textId="77777777" w:rsidR="00FA5565" w:rsidRDefault="00FA5565">
            <w:pPr>
              <w:rPr>
                <w:rFonts w:ascii="Times New Roman" w:hAnsi="Times New Roman"/>
                <w:sz w:val="20"/>
                <w:szCs w:val="20"/>
              </w:rPr>
            </w:pPr>
          </w:p>
        </w:tc>
        <w:tc>
          <w:tcPr>
            <w:tcW w:w="50" w:type="pct"/>
            <w:shd w:val="clear" w:color="auto" w:fill="auto"/>
            <w:vAlign w:val="center"/>
          </w:tcPr>
          <w:p w14:paraId="2A73B2DF" w14:textId="77777777" w:rsidR="00FA5565" w:rsidRDefault="00FA5565">
            <w:pPr>
              <w:rPr>
                <w:rFonts w:ascii="Times New Roman" w:hAnsi="Times New Roman"/>
                <w:sz w:val="20"/>
                <w:szCs w:val="20"/>
              </w:rPr>
            </w:pPr>
          </w:p>
        </w:tc>
      </w:tr>
      <w:tr w:rsidR="00FA5565" w14:paraId="2A73B2E7" w14:textId="77777777">
        <w:tc>
          <w:tcPr>
            <w:tcW w:w="0" w:type="auto"/>
            <w:shd w:val="clear" w:color="auto" w:fill="auto"/>
            <w:tcMar>
              <w:top w:w="40" w:type="dxa"/>
              <w:left w:w="40" w:type="dxa"/>
              <w:bottom w:w="40" w:type="dxa"/>
              <w:right w:w="40" w:type="dxa"/>
            </w:tcMar>
            <w:vAlign w:val="bottom"/>
          </w:tcPr>
          <w:p w14:paraId="2A73B2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2E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2E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2E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2E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2E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2F4" w14:textId="77777777">
        <w:tc>
          <w:tcPr>
            <w:tcW w:w="0" w:type="auto"/>
            <w:shd w:val="clear" w:color="auto" w:fill="auto"/>
            <w:tcMar>
              <w:top w:w="40" w:type="dxa"/>
              <w:left w:w="40" w:type="dxa"/>
              <w:bottom w:w="40" w:type="dxa"/>
              <w:right w:w="40" w:type="dxa"/>
            </w:tcMar>
          </w:tcPr>
          <w:p w14:paraId="2A73B2E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Computed expected tax</w:t>
            </w:r>
          </w:p>
        </w:tc>
        <w:tc>
          <w:tcPr>
            <w:tcW w:w="0" w:type="auto"/>
            <w:tcBorders>
              <w:top w:val="single" w:sz="8" w:space="0" w:color="000000"/>
            </w:tcBorders>
            <w:shd w:val="clear" w:color="auto" w:fill="auto"/>
            <w:tcMar>
              <w:top w:w="40" w:type="dxa"/>
              <w:left w:w="40" w:type="dxa"/>
              <w:bottom w:w="40" w:type="dxa"/>
            </w:tcMar>
            <w:vAlign w:val="bottom"/>
          </w:tcPr>
          <w:p w14:paraId="2A73B2E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2E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13,805</w:t>
            </w:r>
          </w:p>
        </w:tc>
        <w:tc>
          <w:tcPr>
            <w:tcW w:w="0" w:type="auto"/>
            <w:tcBorders>
              <w:top w:val="single" w:sz="8" w:space="0" w:color="000000"/>
            </w:tcBorders>
            <w:shd w:val="clear" w:color="auto" w:fill="auto"/>
            <w:vAlign w:val="bottom"/>
          </w:tcPr>
          <w:p w14:paraId="2A73B2E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2E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2E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2E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17,890</w:t>
            </w:r>
          </w:p>
        </w:tc>
        <w:tc>
          <w:tcPr>
            <w:tcW w:w="0" w:type="auto"/>
            <w:shd w:val="clear" w:color="auto" w:fill="auto"/>
            <w:vAlign w:val="bottom"/>
          </w:tcPr>
          <w:p w14:paraId="2A73B2E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2F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2F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2F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22,431</w:t>
            </w:r>
          </w:p>
        </w:tc>
        <w:tc>
          <w:tcPr>
            <w:tcW w:w="0" w:type="auto"/>
            <w:shd w:val="clear" w:color="auto" w:fill="auto"/>
            <w:vAlign w:val="bottom"/>
          </w:tcPr>
          <w:p w14:paraId="2A73B2F3" w14:textId="77777777" w:rsidR="00FA5565" w:rsidRDefault="00FA5565">
            <w:pPr>
              <w:textAlignment w:val="bottom"/>
              <w:rPr>
                <w:rFonts w:ascii="Times New Roman" w:hAnsi="Times New Roman"/>
                <w:sz w:val="20"/>
                <w:szCs w:val="20"/>
              </w:rPr>
            </w:pPr>
          </w:p>
        </w:tc>
      </w:tr>
      <w:tr w:rsidR="00FA5565" w14:paraId="2A73B2FE" w14:textId="77777777">
        <w:tc>
          <w:tcPr>
            <w:tcW w:w="0" w:type="auto"/>
            <w:shd w:val="clear" w:color="auto" w:fill="EFEFEF"/>
            <w:tcMar>
              <w:top w:w="40" w:type="dxa"/>
              <w:left w:w="40" w:type="dxa"/>
              <w:bottom w:w="40" w:type="dxa"/>
              <w:right w:w="40" w:type="dxa"/>
            </w:tcMar>
          </w:tcPr>
          <w:p w14:paraId="2A73B2F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State taxes, net of </w:t>
            </w:r>
            <w:r>
              <w:rPr>
                <w:rFonts w:ascii="Helvetica" w:eastAsia="Helvetica" w:hAnsi="Helvetica" w:cs="Helvetica"/>
                <w:sz w:val="18"/>
                <w:szCs w:val="18"/>
              </w:rPr>
              <w:t>federal effect</w:t>
            </w:r>
          </w:p>
        </w:tc>
        <w:tc>
          <w:tcPr>
            <w:tcW w:w="0" w:type="auto"/>
            <w:gridSpan w:val="2"/>
            <w:shd w:val="clear" w:color="auto" w:fill="EFEFEF"/>
            <w:tcMar>
              <w:top w:w="40" w:type="dxa"/>
              <w:left w:w="40" w:type="dxa"/>
              <w:bottom w:w="40" w:type="dxa"/>
            </w:tcMar>
            <w:vAlign w:val="bottom"/>
          </w:tcPr>
          <w:p w14:paraId="2A73B2F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423</w:t>
            </w:r>
          </w:p>
        </w:tc>
        <w:tc>
          <w:tcPr>
            <w:tcW w:w="0" w:type="auto"/>
            <w:shd w:val="clear" w:color="auto" w:fill="EFEFEF"/>
            <w:vAlign w:val="bottom"/>
          </w:tcPr>
          <w:p w14:paraId="2A73B2F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F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2F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271</w:t>
            </w:r>
          </w:p>
        </w:tc>
        <w:tc>
          <w:tcPr>
            <w:tcW w:w="0" w:type="auto"/>
            <w:shd w:val="clear" w:color="auto" w:fill="EFEFEF"/>
            <w:vAlign w:val="bottom"/>
          </w:tcPr>
          <w:p w14:paraId="2A73B2F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2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2F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185</w:t>
            </w:r>
          </w:p>
        </w:tc>
        <w:tc>
          <w:tcPr>
            <w:tcW w:w="0" w:type="auto"/>
            <w:shd w:val="clear" w:color="auto" w:fill="EFEFEF"/>
            <w:vAlign w:val="bottom"/>
          </w:tcPr>
          <w:p w14:paraId="2A73B2FD" w14:textId="77777777" w:rsidR="00FA5565" w:rsidRDefault="00FA5565">
            <w:pPr>
              <w:textAlignment w:val="bottom"/>
              <w:rPr>
                <w:rFonts w:ascii="Times New Roman" w:hAnsi="Times New Roman"/>
                <w:sz w:val="20"/>
                <w:szCs w:val="20"/>
              </w:rPr>
            </w:pPr>
          </w:p>
        </w:tc>
      </w:tr>
      <w:tr w:rsidR="00FA5565" w14:paraId="2A73B308" w14:textId="77777777">
        <w:tc>
          <w:tcPr>
            <w:tcW w:w="0" w:type="auto"/>
            <w:shd w:val="clear" w:color="auto" w:fill="auto"/>
            <w:tcMar>
              <w:top w:w="40" w:type="dxa"/>
              <w:left w:w="40" w:type="dxa"/>
              <w:bottom w:w="40" w:type="dxa"/>
              <w:right w:w="40" w:type="dxa"/>
            </w:tcMar>
          </w:tcPr>
          <w:p w14:paraId="2A73B2F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Impacts of the Act</w:t>
            </w:r>
          </w:p>
        </w:tc>
        <w:tc>
          <w:tcPr>
            <w:tcW w:w="0" w:type="auto"/>
            <w:gridSpan w:val="2"/>
            <w:shd w:val="clear" w:color="auto" w:fill="auto"/>
            <w:tcMar>
              <w:top w:w="40" w:type="dxa"/>
              <w:left w:w="40" w:type="dxa"/>
              <w:bottom w:w="40" w:type="dxa"/>
            </w:tcMar>
            <w:vAlign w:val="bottom"/>
          </w:tcPr>
          <w:p w14:paraId="2A73B30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2A73B30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0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0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1,515</w:t>
            </w:r>
          </w:p>
        </w:tc>
        <w:tc>
          <w:tcPr>
            <w:tcW w:w="0" w:type="auto"/>
            <w:shd w:val="clear" w:color="auto" w:fill="auto"/>
            <w:vAlign w:val="bottom"/>
          </w:tcPr>
          <w:p w14:paraId="2A73B30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0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0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2A73B307" w14:textId="77777777" w:rsidR="00FA5565" w:rsidRDefault="00FA5565">
            <w:pPr>
              <w:textAlignment w:val="bottom"/>
              <w:rPr>
                <w:rFonts w:ascii="Times New Roman" w:hAnsi="Times New Roman"/>
                <w:sz w:val="20"/>
                <w:szCs w:val="20"/>
              </w:rPr>
            </w:pPr>
          </w:p>
        </w:tc>
      </w:tr>
      <w:tr w:rsidR="00FA5565" w14:paraId="2A73B312" w14:textId="77777777">
        <w:tc>
          <w:tcPr>
            <w:tcW w:w="0" w:type="auto"/>
            <w:shd w:val="clear" w:color="auto" w:fill="EFEFEF"/>
            <w:tcMar>
              <w:top w:w="40" w:type="dxa"/>
              <w:left w:w="40" w:type="dxa"/>
              <w:bottom w:w="40" w:type="dxa"/>
              <w:right w:w="40" w:type="dxa"/>
            </w:tcMar>
          </w:tcPr>
          <w:p w14:paraId="2A73B30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Earnings of foreign subsidiaries</w:t>
            </w:r>
          </w:p>
        </w:tc>
        <w:tc>
          <w:tcPr>
            <w:tcW w:w="0" w:type="auto"/>
            <w:gridSpan w:val="2"/>
            <w:shd w:val="clear" w:color="auto" w:fill="EFEFEF"/>
            <w:tcMar>
              <w:top w:w="40" w:type="dxa"/>
              <w:left w:w="40" w:type="dxa"/>
              <w:bottom w:w="40" w:type="dxa"/>
            </w:tcMar>
            <w:vAlign w:val="bottom"/>
          </w:tcPr>
          <w:p w14:paraId="2A73B30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(2,625</w:t>
            </w:r>
          </w:p>
        </w:tc>
        <w:tc>
          <w:tcPr>
            <w:tcW w:w="0" w:type="auto"/>
            <w:shd w:val="clear" w:color="auto" w:fill="EFEFEF"/>
            <w:tcMar>
              <w:top w:w="40" w:type="dxa"/>
              <w:bottom w:w="40" w:type="dxa"/>
              <w:right w:w="40" w:type="dxa"/>
            </w:tcMar>
            <w:vAlign w:val="bottom"/>
          </w:tcPr>
          <w:p w14:paraId="2A73B30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3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30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(5,606</w:t>
            </w:r>
          </w:p>
        </w:tc>
        <w:tc>
          <w:tcPr>
            <w:tcW w:w="0" w:type="auto"/>
            <w:shd w:val="clear" w:color="auto" w:fill="EFEFEF"/>
            <w:tcMar>
              <w:top w:w="40" w:type="dxa"/>
              <w:bottom w:w="40" w:type="dxa"/>
              <w:right w:w="40" w:type="dxa"/>
            </w:tcMar>
            <w:vAlign w:val="bottom"/>
          </w:tcPr>
          <w:p w14:paraId="2A73B30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30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31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(6,135</w:t>
            </w:r>
          </w:p>
        </w:tc>
        <w:tc>
          <w:tcPr>
            <w:tcW w:w="0" w:type="auto"/>
            <w:shd w:val="clear" w:color="auto" w:fill="EFEFEF"/>
            <w:tcMar>
              <w:top w:w="40" w:type="dxa"/>
              <w:bottom w:w="40" w:type="dxa"/>
              <w:right w:w="40" w:type="dxa"/>
            </w:tcMar>
            <w:vAlign w:val="bottom"/>
          </w:tcPr>
          <w:p w14:paraId="2A73B31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31C" w14:textId="77777777">
        <w:tc>
          <w:tcPr>
            <w:tcW w:w="0" w:type="auto"/>
            <w:shd w:val="clear" w:color="auto" w:fill="auto"/>
            <w:tcMar>
              <w:top w:w="40" w:type="dxa"/>
              <w:left w:w="40" w:type="dxa"/>
              <w:bottom w:w="40" w:type="dxa"/>
              <w:right w:w="40" w:type="dxa"/>
            </w:tcMar>
          </w:tcPr>
          <w:p w14:paraId="2A73B31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Research and development credit, net</w:t>
            </w:r>
          </w:p>
        </w:tc>
        <w:tc>
          <w:tcPr>
            <w:tcW w:w="0" w:type="auto"/>
            <w:gridSpan w:val="2"/>
            <w:shd w:val="clear" w:color="auto" w:fill="auto"/>
            <w:tcMar>
              <w:top w:w="40" w:type="dxa"/>
              <w:left w:w="40" w:type="dxa"/>
              <w:bottom w:w="40" w:type="dxa"/>
            </w:tcMar>
            <w:vAlign w:val="bottom"/>
          </w:tcPr>
          <w:p w14:paraId="2A73B31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(548</w:t>
            </w:r>
          </w:p>
        </w:tc>
        <w:tc>
          <w:tcPr>
            <w:tcW w:w="0" w:type="auto"/>
            <w:shd w:val="clear" w:color="auto" w:fill="auto"/>
            <w:tcMar>
              <w:top w:w="40" w:type="dxa"/>
              <w:bottom w:w="40" w:type="dxa"/>
              <w:right w:w="40" w:type="dxa"/>
            </w:tcMar>
            <w:vAlign w:val="bottom"/>
          </w:tcPr>
          <w:p w14:paraId="2A73B31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3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1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(560</w:t>
            </w:r>
          </w:p>
        </w:tc>
        <w:tc>
          <w:tcPr>
            <w:tcW w:w="0" w:type="auto"/>
            <w:shd w:val="clear" w:color="auto" w:fill="auto"/>
            <w:tcMar>
              <w:top w:w="40" w:type="dxa"/>
              <w:bottom w:w="40" w:type="dxa"/>
              <w:right w:w="40" w:type="dxa"/>
            </w:tcMar>
            <w:vAlign w:val="bottom"/>
          </w:tcPr>
          <w:p w14:paraId="2A73B31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3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1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(678</w:t>
            </w:r>
          </w:p>
        </w:tc>
        <w:tc>
          <w:tcPr>
            <w:tcW w:w="0" w:type="auto"/>
            <w:shd w:val="clear" w:color="auto" w:fill="auto"/>
            <w:tcMar>
              <w:top w:w="40" w:type="dxa"/>
              <w:bottom w:w="40" w:type="dxa"/>
              <w:right w:w="40" w:type="dxa"/>
            </w:tcMar>
            <w:vAlign w:val="bottom"/>
          </w:tcPr>
          <w:p w14:paraId="2A73B31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326" w14:textId="77777777">
        <w:tc>
          <w:tcPr>
            <w:tcW w:w="0" w:type="auto"/>
            <w:shd w:val="clear" w:color="auto" w:fill="EFEFEF"/>
            <w:tcMar>
              <w:top w:w="40" w:type="dxa"/>
              <w:left w:w="40" w:type="dxa"/>
              <w:bottom w:w="40" w:type="dxa"/>
              <w:right w:w="40" w:type="dxa"/>
            </w:tcMar>
          </w:tcPr>
          <w:p w14:paraId="2A73B31D"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Excess tax benefits from equity awards</w:t>
            </w:r>
          </w:p>
        </w:tc>
        <w:tc>
          <w:tcPr>
            <w:tcW w:w="0" w:type="auto"/>
            <w:gridSpan w:val="2"/>
            <w:shd w:val="clear" w:color="auto" w:fill="EFEFEF"/>
            <w:tcMar>
              <w:top w:w="40" w:type="dxa"/>
              <w:left w:w="40" w:type="dxa"/>
              <w:bottom w:w="40" w:type="dxa"/>
            </w:tcMar>
            <w:vAlign w:val="bottom"/>
          </w:tcPr>
          <w:p w14:paraId="2A73B31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(639</w:t>
            </w:r>
          </w:p>
        </w:tc>
        <w:tc>
          <w:tcPr>
            <w:tcW w:w="0" w:type="auto"/>
            <w:shd w:val="clear" w:color="auto" w:fill="EFEFEF"/>
            <w:tcMar>
              <w:top w:w="40" w:type="dxa"/>
              <w:bottom w:w="40" w:type="dxa"/>
              <w:right w:w="40" w:type="dxa"/>
            </w:tcMar>
            <w:vAlign w:val="bottom"/>
          </w:tcPr>
          <w:p w14:paraId="2A73B31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3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32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(675</w:t>
            </w:r>
          </w:p>
        </w:tc>
        <w:tc>
          <w:tcPr>
            <w:tcW w:w="0" w:type="auto"/>
            <w:shd w:val="clear" w:color="auto" w:fill="EFEFEF"/>
            <w:tcMar>
              <w:top w:w="40" w:type="dxa"/>
              <w:bottom w:w="40" w:type="dxa"/>
              <w:right w:w="40" w:type="dxa"/>
            </w:tcMar>
            <w:vAlign w:val="bottom"/>
          </w:tcPr>
          <w:p w14:paraId="2A73B32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3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32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2A73B325" w14:textId="77777777" w:rsidR="00FA5565" w:rsidRDefault="00FA5565">
            <w:pPr>
              <w:textAlignment w:val="bottom"/>
              <w:rPr>
                <w:rFonts w:ascii="Times New Roman" w:hAnsi="Times New Roman"/>
                <w:sz w:val="20"/>
                <w:szCs w:val="20"/>
              </w:rPr>
            </w:pPr>
          </w:p>
        </w:tc>
      </w:tr>
      <w:tr w:rsidR="00FA5565" w14:paraId="2A73B330" w14:textId="77777777">
        <w:tc>
          <w:tcPr>
            <w:tcW w:w="0" w:type="auto"/>
            <w:shd w:val="clear" w:color="auto" w:fill="auto"/>
            <w:tcMar>
              <w:top w:w="40" w:type="dxa"/>
              <w:left w:w="40" w:type="dxa"/>
              <w:bottom w:w="40" w:type="dxa"/>
              <w:right w:w="40" w:type="dxa"/>
            </w:tcMar>
          </w:tcPr>
          <w:p w14:paraId="2A73B32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2A73B32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65</w:t>
            </w:r>
          </w:p>
        </w:tc>
        <w:tc>
          <w:tcPr>
            <w:tcW w:w="0" w:type="auto"/>
            <w:tcBorders>
              <w:bottom w:val="single" w:sz="8" w:space="0" w:color="000000"/>
            </w:tcBorders>
            <w:shd w:val="clear" w:color="auto" w:fill="auto"/>
            <w:vAlign w:val="bottom"/>
          </w:tcPr>
          <w:p w14:paraId="2A73B32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32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537</w:t>
            </w:r>
          </w:p>
        </w:tc>
        <w:tc>
          <w:tcPr>
            <w:tcW w:w="0" w:type="auto"/>
            <w:tcBorders>
              <w:bottom w:val="single" w:sz="8" w:space="0" w:color="000000"/>
            </w:tcBorders>
            <w:shd w:val="clear" w:color="auto" w:fill="auto"/>
            <w:vAlign w:val="bottom"/>
          </w:tcPr>
          <w:p w14:paraId="2A73B32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2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32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(65</w:t>
            </w:r>
          </w:p>
        </w:tc>
        <w:tc>
          <w:tcPr>
            <w:tcW w:w="0" w:type="auto"/>
            <w:tcBorders>
              <w:bottom w:val="single" w:sz="8" w:space="0" w:color="000000"/>
            </w:tcBorders>
            <w:shd w:val="clear" w:color="auto" w:fill="auto"/>
            <w:tcMar>
              <w:top w:w="40" w:type="dxa"/>
              <w:bottom w:w="40" w:type="dxa"/>
              <w:right w:w="40" w:type="dxa"/>
            </w:tcMar>
            <w:vAlign w:val="bottom"/>
          </w:tcPr>
          <w:p w14:paraId="2A73B32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33D" w14:textId="77777777">
        <w:tc>
          <w:tcPr>
            <w:tcW w:w="0" w:type="auto"/>
            <w:shd w:val="clear" w:color="auto" w:fill="EFEFEF"/>
            <w:tcMar>
              <w:top w:w="40" w:type="dxa"/>
              <w:left w:w="560" w:type="dxa"/>
              <w:bottom w:w="40" w:type="dxa"/>
              <w:right w:w="40" w:type="dxa"/>
            </w:tcMar>
          </w:tcPr>
          <w:p w14:paraId="2A73B33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Provision for income taxes</w:t>
            </w:r>
          </w:p>
        </w:tc>
        <w:tc>
          <w:tcPr>
            <w:tcW w:w="0" w:type="auto"/>
            <w:tcBorders>
              <w:bottom w:val="double" w:sz="6" w:space="0" w:color="000000"/>
            </w:tcBorders>
            <w:shd w:val="clear" w:color="auto" w:fill="EFEFEF"/>
            <w:tcMar>
              <w:top w:w="40" w:type="dxa"/>
              <w:left w:w="40" w:type="dxa"/>
              <w:bottom w:w="40" w:type="dxa"/>
            </w:tcMar>
            <w:vAlign w:val="bottom"/>
          </w:tcPr>
          <w:p w14:paraId="2A73B33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33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10,481</w:t>
            </w:r>
          </w:p>
        </w:tc>
        <w:tc>
          <w:tcPr>
            <w:tcW w:w="0" w:type="auto"/>
            <w:tcBorders>
              <w:bottom w:val="double" w:sz="6" w:space="0" w:color="000000"/>
            </w:tcBorders>
            <w:shd w:val="clear" w:color="auto" w:fill="EFEFEF"/>
            <w:vAlign w:val="bottom"/>
          </w:tcPr>
          <w:p w14:paraId="2A73B33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35"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EFEFEF"/>
            <w:tcMar>
              <w:top w:w="40" w:type="dxa"/>
              <w:left w:w="40" w:type="dxa"/>
              <w:bottom w:w="40" w:type="dxa"/>
            </w:tcMar>
            <w:vAlign w:val="bottom"/>
          </w:tcPr>
          <w:p w14:paraId="2A73B33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33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13,372</w:t>
            </w:r>
          </w:p>
        </w:tc>
        <w:tc>
          <w:tcPr>
            <w:tcW w:w="0" w:type="auto"/>
            <w:tcBorders>
              <w:bottom w:val="double" w:sz="6" w:space="0" w:color="000000"/>
            </w:tcBorders>
            <w:shd w:val="clear" w:color="auto" w:fill="EFEFEF"/>
            <w:vAlign w:val="bottom"/>
          </w:tcPr>
          <w:p w14:paraId="2A73B33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39"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EFEFEF"/>
            <w:tcMar>
              <w:top w:w="40" w:type="dxa"/>
              <w:left w:w="40" w:type="dxa"/>
              <w:bottom w:w="40" w:type="dxa"/>
            </w:tcMar>
            <w:vAlign w:val="bottom"/>
          </w:tcPr>
          <w:p w14:paraId="2A73B33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33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15,738</w:t>
            </w:r>
          </w:p>
        </w:tc>
        <w:tc>
          <w:tcPr>
            <w:tcW w:w="0" w:type="auto"/>
            <w:tcBorders>
              <w:bottom w:val="double" w:sz="6" w:space="0" w:color="000000"/>
            </w:tcBorders>
            <w:shd w:val="clear" w:color="auto" w:fill="EFEFEF"/>
            <w:vAlign w:val="bottom"/>
          </w:tcPr>
          <w:p w14:paraId="2A73B33C" w14:textId="77777777" w:rsidR="00FA5565" w:rsidRDefault="00FA5565">
            <w:pPr>
              <w:textAlignment w:val="bottom"/>
              <w:rPr>
                <w:rFonts w:ascii="Times New Roman" w:hAnsi="Times New Roman"/>
                <w:sz w:val="20"/>
                <w:szCs w:val="20"/>
              </w:rPr>
            </w:pPr>
          </w:p>
        </w:tc>
      </w:tr>
      <w:tr w:rsidR="00FA5565" w14:paraId="2A73B347" w14:textId="77777777">
        <w:tc>
          <w:tcPr>
            <w:tcW w:w="0" w:type="auto"/>
            <w:shd w:val="clear" w:color="auto" w:fill="auto"/>
            <w:tcMar>
              <w:top w:w="40" w:type="dxa"/>
              <w:left w:w="560" w:type="dxa"/>
              <w:bottom w:w="40" w:type="dxa"/>
              <w:right w:w="40" w:type="dxa"/>
            </w:tcMar>
          </w:tcPr>
          <w:p w14:paraId="2A73B33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Effective tax rate</w:t>
            </w:r>
          </w:p>
        </w:tc>
        <w:tc>
          <w:tcPr>
            <w:tcW w:w="0" w:type="auto"/>
            <w:gridSpan w:val="2"/>
            <w:shd w:val="clear" w:color="auto" w:fill="auto"/>
            <w:tcMar>
              <w:top w:w="40" w:type="dxa"/>
              <w:left w:w="40" w:type="dxa"/>
              <w:bottom w:w="40" w:type="dxa"/>
            </w:tcMar>
            <w:vAlign w:val="bottom"/>
          </w:tcPr>
          <w:p w14:paraId="2A73B33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15.9</w:t>
            </w:r>
          </w:p>
        </w:tc>
        <w:tc>
          <w:tcPr>
            <w:tcW w:w="0" w:type="auto"/>
            <w:shd w:val="clear" w:color="auto" w:fill="auto"/>
            <w:tcMar>
              <w:top w:w="40" w:type="dxa"/>
              <w:bottom w:w="40" w:type="dxa"/>
              <w:right w:w="40" w:type="dxa"/>
            </w:tcMar>
            <w:vAlign w:val="bottom"/>
          </w:tcPr>
          <w:p w14:paraId="2A73B34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34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4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18.3</w:t>
            </w:r>
          </w:p>
        </w:tc>
        <w:tc>
          <w:tcPr>
            <w:tcW w:w="0" w:type="auto"/>
            <w:shd w:val="clear" w:color="auto" w:fill="auto"/>
            <w:tcMar>
              <w:top w:w="40" w:type="dxa"/>
              <w:bottom w:w="40" w:type="dxa"/>
              <w:right w:w="40" w:type="dxa"/>
            </w:tcMar>
            <w:vAlign w:val="bottom"/>
          </w:tcPr>
          <w:p w14:paraId="2A73B34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34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4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24.6</w:t>
            </w:r>
          </w:p>
        </w:tc>
        <w:tc>
          <w:tcPr>
            <w:tcW w:w="0" w:type="auto"/>
            <w:shd w:val="clear" w:color="auto" w:fill="auto"/>
            <w:tcMar>
              <w:top w:w="40" w:type="dxa"/>
              <w:bottom w:w="40" w:type="dxa"/>
              <w:right w:w="40" w:type="dxa"/>
            </w:tcMar>
            <w:vAlign w:val="bottom"/>
          </w:tcPr>
          <w:p w14:paraId="2A73B34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bl>
    <w:p w14:paraId="2A73B348" w14:textId="77777777" w:rsidR="00FA5565" w:rsidRDefault="00FA5565">
      <w:pPr>
        <w:spacing w:line="288" w:lineRule="auto"/>
        <w:jc w:val="both"/>
        <w:rPr>
          <w:rFonts w:ascii="Times New Roman" w:hAnsi="Times New Roman"/>
          <w:sz w:val="20"/>
          <w:szCs w:val="20"/>
        </w:rPr>
      </w:pPr>
    </w:p>
    <w:p w14:paraId="2A73B34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income taxes payable have been reduced by the tax benefits from employee stock plan awards. For </w:t>
      </w:r>
      <w:r>
        <w:rPr>
          <w:rFonts w:ascii="Helvetica" w:eastAsia="Helvetica" w:hAnsi="Helvetica" w:cs="Helvetica"/>
          <w:sz w:val="18"/>
          <w:szCs w:val="18"/>
        </w:rPr>
        <w:t>restricted stock units (“RSUs”), the Company receives an income tax benefit upon the award’s vesting equal to the tax effect of the underlying stock’s fair market value. Prior to 2018, the Company reflected net excess tax benefits from equity awards as inc</w:t>
      </w:r>
      <w:r>
        <w:rPr>
          <w:rFonts w:ascii="Helvetica" w:eastAsia="Helvetica" w:hAnsi="Helvetica" w:cs="Helvetica"/>
          <w:sz w:val="18"/>
          <w:szCs w:val="18"/>
        </w:rPr>
        <w:t>reases to additional paid-in capital, which amounted to $620 million in 2017.</w:t>
      </w:r>
    </w:p>
    <w:p w14:paraId="2A73B34A"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Deferred Tax Assets and Liabilities</w:t>
      </w:r>
    </w:p>
    <w:p w14:paraId="2A73B34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As of September 28, 2019 and September 29, 2018, the significant components of the Company’s deferred tax assets and liabilities were (in mill</w:t>
      </w:r>
      <w:r>
        <w:rPr>
          <w:rFonts w:ascii="Helvetica" w:eastAsia="Helvetica" w:hAnsi="Helvetica" w:cs="Helvetica"/>
          <w:sz w:val="18"/>
          <w:szCs w:val="18"/>
        </w:rPr>
        <w:t>ions):</w:t>
      </w:r>
    </w:p>
    <w:tbl>
      <w:tblPr>
        <w:tblW w:w="5000" w:type="pct"/>
        <w:tblCellMar>
          <w:left w:w="0" w:type="dxa"/>
          <w:right w:w="0" w:type="dxa"/>
        </w:tblCellMar>
        <w:tblLook w:val="04A0" w:firstRow="1" w:lastRow="0" w:firstColumn="1" w:lastColumn="0" w:noHBand="0" w:noVBand="1"/>
      </w:tblPr>
      <w:tblGrid>
        <w:gridCol w:w="5864"/>
        <w:gridCol w:w="141"/>
        <w:gridCol w:w="964"/>
        <w:gridCol w:w="50"/>
        <w:gridCol w:w="130"/>
        <w:gridCol w:w="141"/>
        <w:gridCol w:w="965"/>
        <w:gridCol w:w="51"/>
      </w:tblGrid>
      <w:tr w:rsidR="00FA5565" w14:paraId="2A73B34D" w14:textId="77777777">
        <w:tc>
          <w:tcPr>
            <w:tcW w:w="0" w:type="auto"/>
            <w:gridSpan w:val="8"/>
            <w:shd w:val="clear" w:color="auto" w:fill="auto"/>
            <w:vAlign w:val="center"/>
          </w:tcPr>
          <w:p w14:paraId="2A73B34C" w14:textId="77777777" w:rsidR="00FA5565" w:rsidRDefault="00FA5565">
            <w:pPr>
              <w:rPr>
                <w:rFonts w:ascii="Times New Roman" w:hAnsi="Times New Roman"/>
                <w:sz w:val="20"/>
                <w:szCs w:val="20"/>
              </w:rPr>
            </w:pPr>
          </w:p>
        </w:tc>
      </w:tr>
      <w:tr w:rsidR="00FA5565" w14:paraId="2A73B356" w14:textId="77777777">
        <w:tc>
          <w:tcPr>
            <w:tcW w:w="3550" w:type="pct"/>
            <w:shd w:val="clear" w:color="auto" w:fill="auto"/>
            <w:vAlign w:val="center"/>
          </w:tcPr>
          <w:p w14:paraId="2A73B34E" w14:textId="77777777" w:rsidR="00FA5565" w:rsidRDefault="00FA5565">
            <w:pPr>
              <w:rPr>
                <w:rFonts w:ascii="Times New Roman" w:hAnsi="Times New Roman"/>
                <w:sz w:val="20"/>
                <w:szCs w:val="20"/>
              </w:rPr>
            </w:pPr>
          </w:p>
        </w:tc>
        <w:tc>
          <w:tcPr>
            <w:tcW w:w="50" w:type="pct"/>
            <w:shd w:val="clear" w:color="auto" w:fill="auto"/>
            <w:vAlign w:val="center"/>
          </w:tcPr>
          <w:p w14:paraId="2A73B34F" w14:textId="77777777" w:rsidR="00FA5565" w:rsidRDefault="00FA5565">
            <w:pPr>
              <w:rPr>
                <w:rFonts w:ascii="Times New Roman" w:hAnsi="Times New Roman"/>
                <w:sz w:val="20"/>
                <w:szCs w:val="20"/>
              </w:rPr>
            </w:pPr>
          </w:p>
        </w:tc>
        <w:tc>
          <w:tcPr>
            <w:tcW w:w="600" w:type="pct"/>
            <w:shd w:val="clear" w:color="auto" w:fill="auto"/>
            <w:vAlign w:val="center"/>
          </w:tcPr>
          <w:p w14:paraId="2A73B350" w14:textId="77777777" w:rsidR="00FA5565" w:rsidRDefault="00FA5565">
            <w:pPr>
              <w:rPr>
                <w:rFonts w:ascii="Times New Roman" w:hAnsi="Times New Roman"/>
                <w:sz w:val="20"/>
                <w:szCs w:val="20"/>
              </w:rPr>
            </w:pPr>
          </w:p>
        </w:tc>
        <w:tc>
          <w:tcPr>
            <w:tcW w:w="50" w:type="pct"/>
            <w:shd w:val="clear" w:color="auto" w:fill="auto"/>
            <w:vAlign w:val="center"/>
          </w:tcPr>
          <w:p w14:paraId="2A73B351" w14:textId="77777777" w:rsidR="00FA5565" w:rsidRDefault="00FA5565">
            <w:pPr>
              <w:rPr>
                <w:rFonts w:ascii="Times New Roman" w:hAnsi="Times New Roman"/>
                <w:sz w:val="20"/>
                <w:szCs w:val="20"/>
              </w:rPr>
            </w:pPr>
          </w:p>
        </w:tc>
        <w:tc>
          <w:tcPr>
            <w:tcW w:w="50" w:type="pct"/>
            <w:shd w:val="clear" w:color="auto" w:fill="auto"/>
            <w:vAlign w:val="center"/>
          </w:tcPr>
          <w:p w14:paraId="2A73B352" w14:textId="77777777" w:rsidR="00FA5565" w:rsidRDefault="00FA5565">
            <w:pPr>
              <w:rPr>
                <w:rFonts w:ascii="Times New Roman" w:hAnsi="Times New Roman"/>
                <w:sz w:val="20"/>
                <w:szCs w:val="20"/>
              </w:rPr>
            </w:pPr>
          </w:p>
        </w:tc>
        <w:tc>
          <w:tcPr>
            <w:tcW w:w="50" w:type="pct"/>
            <w:shd w:val="clear" w:color="auto" w:fill="auto"/>
            <w:vAlign w:val="center"/>
          </w:tcPr>
          <w:p w14:paraId="2A73B353" w14:textId="77777777" w:rsidR="00FA5565" w:rsidRDefault="00FA5565">
            <w:pPr>
              <w:rPr>
                <w:rFonts w:ascii="Times New Roman" w:hAnsi="Times New Roman"/>
                <w:sz w:val="20"/>
                <w:szCs w:val="20"/>
              </w:rPr>
            </w:pPr>
          </w:p>
        </w:tc>
        <w:tc>
          <w:tcPr>
            <w:tcW w:w="600" w:type="pct"/>
            <w:shd w:val="clear" w:color="auto" w:fill="auto"/>
            <w:vAlign w:val="center"/>
          </w:tcPr>
          <w:p w14:paraId="2A73B354" w14:textId="77777777" w:rsidR="00FA5565" w:rsidRDefault="00FA5565">
            <w:pPr>
              <w:rPr>
                <w:rFonts w:ascii="Times New Roman" w:hAnsi="Times New Roman"/>
                <w:sz w:val="20"/>
                <w:szCs w:val="20"/>
              </w:rPr>
            </w:pPr>
          </w:p>
        </w:tc>
        <w:tc>
          <w:tcPr>
            <w:tcW w:w="50" w:type="pct"/>
            <w:shd w:val="clear" w:color="auto" w:fill="auto"/>
            <w:vAlign w:val="center"/>
          </w:tcPr>
          <w:p w14:paraId="2A73B355" w14:textId="77777777" w:rsidR="00FA5565" w:rsidRDefault="00FA5565">
            <w:pPr>
              <w:rPr>
                <w:rFonts w:ascii="Times New Roman" w:hAnsi="Times New Roman"/>
                <w:sz w:val="20"/>
                <w:szCs w:val="20"/>
              </w:rPr>
            </w:pPr>
          </w:p>
        </w:tc>
      </w:tr>
      <w:tr w:rsidR="00FA5565" w14:paraId="2A73B35B" w14:textId="77777777">
        <w:tc>
          <w:tcPr>
            <w:tcW w:w="0" w:type="auto"/>
            <w:shd w:val="clear" w:color="auto" w:fill="auto"/>
            <w:tcMar>
              <w:top w:w="40" w:type="dxa"/>
              <w:left w:w="40" w:type="dxa"/>
              <w:bottom w:w="40" w:type="dxa"/>
              <w:right w:w="40" w:type="dxa"/>
            </w:tcMar>
            <w:vAlign w:val="bottom"/>
          </w:tcPr>
          <w:p w14:paraId="2A73B3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35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35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35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r>
      <w:tr w:rsidR="00FA5565" w14:paraId="2A73B360" w14:textId="77777777">
        <w:tc>
          <w:tcPr>
            <w:tcW w:w="0" w:type="auto"/>
            <w:shd w:val="clear" w:color="auto" w:fill="auto"/>
            <w:tcMar>
              <w:top w:w="40" w:type="dxa"/>
              <w:left w:w="40" w:type="dxa"/>
              <w:bottom w:w="40" w:type="dxa"/>
              <w:right w:w="40" w:type="dxa"/>
            </w:tcMar>
          </w:tcPr>
          <w:p w14:paraId="2A73B35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Deferred tax assets:</w:t>
            </w:r>
          </w:p>
        </w:tc>
        <w:tc>
          <w:tcPr>
            <w:tcW w:w="0" w:type="auto"/>
            <w:gridSpan w:val="3"/>
            <w:shd w:val="clear" w:color="auto" w:fill="auto"/>
            <w:tcMar>
              <w:top w:w="40" w:type="dxa"/>
              <w:left w:w="40" w:type="dxa"/>
              <w:bottom w:w="40" w:type="dxa"/>
              <w:right w:w="40" w:type="dxa"/>
            </w:tcMar>
            <w:vAlign w:val="bottom"/>
          </w:tcPr>
          <w:p w14:paraId="2A73B3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3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35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369" w14:textId="77777777">
        <w:tc>
          <w:tcPr>
            <w:tcW w:w="0" w:type="auto"/>
            <w:shd w:val="clear" w:color="auto" w:fill="EFEFEF"/>
            <w:tcMar>
              <w:top w:w="40" w:type="dxa"/>
              <w:left w:w="560" w:type="dxa"/>
              <w:bottom w:w="40" w:type="dxa"/>
              <w:right w:w="40" w:type="dxa"/>
            </w:tcMar>
          </w:tcPr>
          <w:p w14:paraId="2A73B36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Amortization and depreciation</w:t>
            </w:r>
          </w:p>
        </w:tc>
        <w:tc>
          <w:tcPr>
            <w:tcW w:w="0" w:type="auto"/>
            <w:shd w:val="clear" w:color="auto" w:fill="EFEFEF"/>
            <w:tcMar>
              <w:top w:w="40" w:type="dxa"/>
              <w:left w:w="40" w:type="dxa"/>
              <w:bottom w:w="40" w:type="dxa"/>
            </w:tcMar>
            <w:vAlign w:val="bottom"/>
          </w:tcPr>
          <w:p w14:paraId="2A73B36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36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11,433</w:t>
            </w:r>
          </w:p>
        </w:tc>
        <w:tc>
          <w:tcPr>
            <w:tcW w:w="0" w:type="auto"/>
            <w:shd w:val="clear" w:color="auto" w:fill="EFEFEF"/>
            <w:vAlign w:val="bottom"/>
          </w:tcPr>
          <w:p w14:paraId="2A73B36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6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36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36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137</w:t>
            </w:r>
          </w:p>
        </w:tc>
        <w:tc>
          <w:tcPr>
            <w:tcW w:w="0" w:type="auto"/>
            <w:shd w:val="clear" w:color="auto" w:fill="EFEFEF"/>
            <w:vAlign w:val="bottom"/>
          </w:tcPr>
          <w:p w14:paraId="2A73B368" w14:textId="77777777" w:rsidR="00FA5565" w:rsidRDefault="00FA5565">
            <w:pPr>
              <w:textAlignment w:val="bottom"/>
              <w:rPr>
                <w:rFonts w:ascii="Times New Roman" w:hAnsi="Times New Roman"/>
                <w:sz w:val="20"/>
                <w:szCs w:val="20"/>
              </w:rPr>
            </w:pPr>
          </w:p>
        </w:tc>
      </w:tr>
      <w:tr w:rsidR="00FA5565" w14:paraId="2A73B370" w14:textId="77777777">
        <w:tc>
          <w:tcPr>
            <w:tcW w:w="0" w:type="auto"/>
            <w:shd w:val="clear" w:color="auto" w:fill="auto"/>
            <w:tcMar>
              <w:top w:w="40" w:type="dxa"/>
              <w:left w:w="560" w:type="dxa"/>
              <w:bottom w:w="40" w:type="dxa"/>
              <w:right w:w="40" w:type="dxa"/>
            </w:tcMar>
          </w:tcPr>
          <w:p w14:paraId="2A73B36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Accrued liabilities and other reserves</w:t>
            </w:r>
          </w:p>
        </w:tc>
        <w:tc>
          <w:tcPr>
            <w:tcW w:w="0" w:type="auto"/>
            <w:gridSpan w:val="2"/>
            <w:shd w:val="clear" w:color="auto" w:fill="auto"/>
            <w:tcMar>
              <w:top w:w="40" w:type="dxa"/>
              <w:left w:w="40" w:type="dxa"/>
              <w:bottom w:w="40" w:type="dxa"/>
            </w:tcMar>
            <w:vAlign w:val="bottom"/>
          </w:tcPr>
          <w:p w14:paraId="2A73B36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5,389</w:t>
            </w:r>
          </w:p>
        </w:tc>
        <w:tc>
          <w:tcPr>
            <w:tcW w:w="0" w:type="auto"/>
            <w:shd w:val="clear" w:color="auto" w:fill="auto"/>
            <w:vAlign w:val="bottom"/>
          </w:tcPr>
          <w:p w14:paraId="2A73B36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6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3,151</w:t>
            </w:r>
          </w:p>
        </w:tc>
        <w:tc>
          <w:tcPr>
            <w:tcW w:w="0" w:type="auto"/>
            <w:shd w:val="clear" w:color="auto" w:fill="auto"/>
            <w:vAlign w:val="bottom"/>
          </w:tcPr>
          <w:p w14:paraId="2A73B36F" w14:textId="77777777" w:rsidR="00FA5565" w:rsidRDefault="00FA5565">
            <w:pPr>
              <w:textAlignment w:val="bottom"/>
              <w:rPr>
                <w:rFonts w:ascii="Times New Roman" w:hAnsi="Times New Roman"/>
                <w:sz w:val="20"/>
                <w:szCs w:val="20"/>
              </w:rPr>
            </w:pPr>
          </w:p>
        </w:tc>
      </w:tr>
      <w:tr w:rsidR="00FA5565" w14:paraId="2A73B377" w14:textId="77777777">
        <w:tc>
          <w:tcPr>
            <w:tcW w:w="0" w:type="auto"/>
            <w:shd w:val="clear" w:color="auto" w:fill="EFEFEF"/>
            <w:tcMar>
              <w:top w:w="40" w:type="dxa"/>
              <w:left w:w="560" w:type="dxa"/>
              <w:bottom w:w="40" w:type="dxa"/>
              <w:right w:w="40" w:type="dxa"/>
            </w:tcMar>
          </w:tcPr>
          <w:p w14:paraId="2A73B37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Deferred revenue</w:t>
            </w:r>
          </w:p>
        </w:tc>
        <w:tc>
          <w:tcPr>
            <w:tcW w:w="0" w:type="auto"/>
            <w:gridSpan w:val="2"/>
            <w:shd w:val="clear" w:color="auto" w:fill="EFEFEF"/>
            <w:tcMar>
              <w:top w:w="40" w:type="dxa"/>
              <w:left w:w="40" w:type="dxa"/>
              <w:bottom w:w="40" w:type="dxa"/>
            </w:tcMar>
            <w:vAlign w:val="bottom"/>
          </w:tcPr>
          <w:p w14:paraId="2A73B37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1,372</w:t>
            </w:r>
          </w:p>
        </w:tc>
        <w:tc>
          <w:tcPr>
            <w:tcW w:w="0" w:type="auto"/>
            <w:shd w:val="clear" w:color="auto" w:fill="EFEFEF"/>
            <w:vAlign w:val="bottom"/>
          </w:tcPr>
          <w:p w14:paraId="2A73B37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37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1,141</w:t>
            </w:r>
          </w:p>
        </w:tc>
        <w:tc>
          <w:tcPr>
            <w:tcW w:w="0" w:type="auto"/>
            <w:shd w:val="clear" w:color="auto" w:fill="EFEFEF"/>
            <w:vAlign w:val="bottom"/>
          </w:tcPr>
          <w:p w14:paraId="2A73B376" w14:textId="77777777" w:rsidR="00FA5565" w:rsidRDefault="00FA5565">
            <w:pPr>
              <w:textAlignment w:val="bottom"/>
              <w:rPr>
                <w:rFonts w:ascii="Times New Roman" w:hAnsi="Times New Roman"/>
                <w:sz w:val="20"/>
                <w:szCs w:val="20"/>
              </w:rPr>
            </w:pPr>
          </w:p>
        </w:tc>
      </w:tr>
      <w:tr w:rsidR="00FA5565" w14:paraId="2A73B37E" w14:textId="77777777">
        <w:tc>
          <w:tcPr>
            <w:tcW w:w="0" w:type="auto"/>
            <w:shd w:val="clear" w:color="auto" w:fill="auto"/>
            <w:tcMar>
              <w:top w:w="40" w:type="dxa"/>
              <w:left w:w="560" w:type="dxa"/>
              <w:bottom w:w="40" w:type="dxa"/>
              <w:right w:w="40" w:type="dxa"/>
            </w:tcMar>
          </w:tcPr>
          <w:p w14:paraId="2A73B37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Share-based compensation</w:t>
            </w:r>
          </w:p>
        </w:tc>
        <w:tc>
          <w:tcPr>
            <w:tcW w:w="0" w:type="auto"/>
            <w:gridSpan w:val="2"/>
            <w:shd w:val="clear" w:color="auto" w:fill="auto"/>
            <w:tcMar>
              <w:top w:w="40" w:type="dxa"/>
              <w:left w:w="40" w:type="dxa"/>
              <w:bottom w:w="40" w:type="dxa"/>
            </w:tcMar>
            <w:vAlign w:val="bottom"/>
          </w:tcPr>
          <w:p w14:paraId="2A73B37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749</w:t>
            </w:r>
          </w:p>
        </w:tc>
        <w:tc>
          <w:tcPr>
            <w:tcW w:w="0" w:type="auto"/>
            <w:shd w:val="clear" w:color="auto" w:fill="auto"/>
            <w:vAlign w:val="bottom"/>
          </w:tcPr>
          <w:p w14:paraId="2A73B37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7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7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513</w:t>
            </w:r>
          </w:p>
        </w:tc>
        <w:tc>
          <w:tcPr>
            <w:tcW w:w="0" w:type="auto"/>
            <w:shd w:val="clear" w:color="auto" w:fill="auto"/>
            <w:vAlign w:val="bottom"/>
          </w:tcPr>
          <w:p w14:paraId="2A73B37D" w14:textId="77777777" w:rsidR="00FA5565" w:rsidRDefault="00FA5565">
            <w:pPr>
              <w:textAlignment w:val="bottom"/>
              <w:rPr>
                <w:rFonts w:ascii="Times New Roman" w:hAnsi="Times New Roman"/>
                <w:sz w:val="20"/>
                <w:szCs w:val="20"/>
              </w:rPr>
            </w:pPr>
          </w:p>
        </w:tc>
      </w:tr>
      <w:tr w:rsidR="00FA5565" w14:paraId="2A73B385" w14:textId="77777777">
        <w:tc>
          <w:tcPr>
            <w:tcW w:w="0" w:type="auto"/>
            <w:shd w:val="clear" w:color="auto" w:fill="EFEFEF"/>
            <w:tcMar>
              <w:top w:w="40" w:type="dxa"/>
              <w:left w:w="560" w:type="dxa"/>
              <w:bottom w:w="40" w:type="dxa"/>
              <w:right w:w="40" w:type="dxa"/>
            </w:tcMar>
          </w:tcPr>
          <w:p w14:paraId="2A73B37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Unrealized losses</w:t>
            </w:r>
          </w:p>
        </w:tc>
        <w:tc>
          <w:tcPr>
            <w:tcW w:w="0" w:type="auto"/>
            <w:gridSpan w:val="2"/>
            <w:shd w:val="clear" w:color="auto" w:fill="EFEFEF"/>
            <w:tcMar>
              <w:top w:w="40" w:type="dxa"/>
              <w:left w:w="40" w:type="dxa"/>
              <w:bottom w:w="40" w:type="dxa"/>
            </w:tcMar>
            <w:vAlign w:val="bottom"/>
          </w:tcPr>
          <w:p w14:paraId="2A73B38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2A73B38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8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38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871</w:t>
            </w:r>
          </w:p>
        </w:tc>
        <w:tc>
          <w:tcPr>
            <w:tcW w:w="0" w:type="auto"/>
            <w:shd w:val="clear" w:color="auto" w:fill="EFEFEF"/>
            <w:vAlign w:val="bottom"/>
          </w:tcPr>
          <w:p w14:paraId="2A73B384" w14:textId="77777777" w:rsidR="00FA5565" w:rsidRDefault="00FA5565">
            <w:pPr>
              <w:textAlignment w:val="bottom"/>
              <w:rPr>
                <w:rFonts w:ascii="Times New Roman" w:hAnsi="Times New Roman"/>
                <w:sz w:val="20"/>
                <w:szCs w:val="20"/>
              </w:rPr>
            </w:pPr>
          </w:p>
        </w:tc>
      </w:tr>
      <w:tr w:rsidR="00FA5565" w14:paraId="2A73B38C" w14:textId="77777777">
        <w:tc>
          <w:tcPr>
            <w:tcW w:w="0" w:type="auto"/>
            <w:shd w:val="clear" w:color="auto" w:fill="auto"/>
            <w:tcMar>
              <w:top w:w="40" w:type="dxa"/>
              <w:left w:w="560" w:type="dxa"/>
              <w:bottom w:w="40" w:type="dxa"/>
              <w:right w:w="40" w:type="dxa"/>
            </w:tcMar>
          </w:tcPr>
          <w:p w14:paraId="2A73B38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2A73B38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697</w:t>
            </w:r>
          </w:p>
        </w:tc>
        <w:tc>
          <w:tcPr>
            <w:tcW w:w="0" w:type="auto"/>
            <w:tcBorders>
              <w:bottom w:val="single" w:sz="8" w:space="0" w:color="000000"/>
            </w:tcBorders>
            <w:shd w:val="clear" w:color="auto" w:fill="auto"/>
            <w:vAlign w:val="bottom"/>
          </w:tcPr>
          <w:p w14:paraId="2A73B38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38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797</w:t>
            </w:r>
          </w:p>
        </w:tc>
        <w:tc>
          <w:tcPr>
            <w:tcW w:w="0" w:type="auto"/>
            <w:tcBorders>
              <w:bottom w:val="single" w:sz="8" w:space="0" w:color="000000"/>
            </w:tcBorders>
            <w:shd w:val="clear" w:color="auto" w:fill="auto"/>
            <w:vAlign w:val="bottom"/>
          </w:tcPr>
          <w:p w14:paraId="2A73B38B" w14:textId="77777777" w:rsidR="00FA5565" w:rsidRDefault="00FA5565">
            <w:pPr>
              <w:textAlignment w:val="bottom"/>
              <w:rPr>
                <w:rFonts w:ascii="Times New Roman" w:hAnsi="Times New Roman"/>
                <w:sz w:val="20"/>
                <w:szCs w:val="20"/>
              </w:rPr>
            </w:pPr>
          </w:p>
        </w:tc>
      </w:tr>
      <w:tr w:rsidR="00FA5565" w14:paraId="2A73B393" w14:textId="77777777">
        <w:tc>
          <w:tcPr>
            <w:tcW w:w="0" w:type="auto"/>
            <w:shd w:val="clear" w:color="auto" w:fill="EFEFEF"/>
            <w:tcMar>
              <w:top w:w="40" w:type="dxa"/>
              <w:left w:w="1040" w:type="dxa"/>
              <w:bottom w:w="40" w:type="dxa"/>
              <w:right w:w="40" w:type="dxa"/>
            </w:tcMar>
          </w:tcPr>
          <w:p w14:paraId="2A73B38D"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deferred tax assets, net</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38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19,640</w:t>
            </w:r>
          </w:p>
        </w:tc>
        <w:tc>
          <w:tcPr>
            <w:tcW w:w="0" w:type="auto"/>
            <w:tcBorders>
              <w:bottom w:val="single" w:sz="8" w:space="0" w:color="000000"/>
            </w:tcBorders>
            <w:shd w:val="clear" w:color="auto" w:fill="EFEFEF"/>
            <w:vAlign w:val="bottom"/>
          </w:tcPr>
          <w:p w14:paraId="2A73B38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39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6,610</w:t>
            </w:r>
          </w:p>
        </w:tc>
        <w:tc>
          <w:tcPr>
            <w:tcW w:w="0" w:type="auto"/>
            <w:tcBorders>
              <w:bottom w:val="single" w:sz="8" w:space="0" w:color="000000"/>
            </w:tcBorders>
            <w:shd w:val="clear" w:color="auto" w:fill="EFEFEF"/>
            <w:vAlign w:val="bottom"/>
          </w:tcPr>
          <w:p w14:paraId="2A73B392" w14:textId="77777777" w:rsidR="00FA5565" w:rsidRDefault="00FA5565">
            <w:pPr>
              <w:textAlignment w:val="bottom"/>
              <w:rPr>
                <w:rFonts w:ascii="Times New Roman" w:hAnsi="Times New Roman"/>
                <w:sz w:val="20"/>
                <w:szCs w:val="20"/>
              </w:rPr>
            </w:pPr>
          </w:p>
        </w:tc>
      </w:tr>
      <w:tr w:rsidR="00FA5565" w14:paraId="2A73B398" w14:textId="77777777">
        <w:tc>
          <w:tcPr>
            <w:tcW w:w="0" w:type="auto"/>
            <w:shd w:val="clear" w:color="auto" w:fill="auto"/>
            <w:tcMar>
              <w:top w:w="40" w:type="dxa"/>
              <w:left w:w="40" w:type="dxa"/>
              <w:bottom w:w="40" w:type="dxa"/>
              <w:right w:w="40" w:type="dxa"/>
            </w:tcMar>
          </w:tcPr>
          <w:p w14:paraId="2A73B39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Deferred tax liabilities:</w:t>
            </w:r>
          </w:p>
        </w:tc>
        <w:tc>
          <w:tcPr>
            <w:tcW w:w="0" w:type="auto"/>
            <w:gridSpan w:val="3"/>
            <w:shd w:val="clear" w:color="auto" w:fill="auto"/>
            <w:tcMar>
              <w:top w:w="40" w:type="dxa"/>
              <w:left w:w="40" w:type="dxa"/>
              <w:bottom w:w="40" w:type="dxa"/>
              <w:right w:w="40" w:type="dxa"/>
            </w:tcMar>
            <w:vAlign w:val="bottom"/>
          </w:tcPr>
          <w:p w14:paraId="2A73B3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39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39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39F" w14:textId="77777777">
        <w:tc>
          <w:tcPr>
            <w:tcW w:w="0" w:type="auto"/>
            <w:shd w:val="clear" w:color="auto" w:fill="EFEFEF"/>
            <w:tcMar>
              <w:top w:w="40" w:type="dxa"/>
              <w:left w:w="560" w:type="dxa"/>
              <w:bottom w:w="40" w:type="dxa"/>
              <w:right w:w="40" w:type="dxa"/>
            </w:tcMar>
          </w:tcPr>
          <w:p w14:paraId="2A73B39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Minimum tax on foreign earnings</w:t>
            </w:r>
          </w:p>
        </w:tc>
        <w:tc>
          <w:tcPr>
            <w:tcW w:w="0" w:type="auto"/>
            <w:gridSpan w:val="2"/>
            <w:shd w:val="clear" w:color="auto" w:fill="EFEFEF"/>
            <w:tcMar>
              <w:top w:w="40" w:type="dxa"/>
              <w:left w:w="40" w:type="dxa"/>
              <w:bottom w:w="40" w:type="dxa"/>
            </w:tcMar>
            <w:vAlign w:val="bottom"/>
          </w:tcPr>
          <w:p w14:paraId="2A73B39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10,809</w:t>
            </w:r>
          </w:p>
        </w:tc>
        <w:tc>
          <w:tcPr>
            <w:tcW w:w="0" w:type="auto"/>
            <w:shd w:val="clear" w:color="auto" w:fill="EFEFEF"/>
            <w:vAlign w:val="bottom"/>
          </w:tcPr>
          <w:p w14:paraId="2A73B39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39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vAlign w:val="bottom"/>
          </w:tcPr>
          <w:p w14:paraId="2A73B39E" w14:textId="77777777" w:rsidR="00FA5565" w:rsidRDefault="00FA5565">
            <w:pPr>
              <w:textAlignment w:val="bottom"/>
              <w:rPr>
                <w:rFonts w:ascii="Times New Roman" w:hAnsi="Times New Roman"/>
                <w:sz w:val="20"/>
                <w:szCs w:val="20"/>
              </w:rPr>
            </w:pPr>
          </w:p>
        </w:tc>
      </w:tr>
      <w:tr w:rsidR="00FA5565" w14:paraId="2A73B3A6" w14:textId="77777777">
        <w:tc>
          <w:tcPr>
            <w:tcW w:w="0" w:type="auto"/>
            <w:shd w:val="clear" w:color="auto" w:fill="auto"/>
            <w:tcMar>
              <w:top w:w="40" w:type="dxa"/>
              <w:left w:w="560" w:type="dxa"/>
              <w:bottom w:w="40" w:type="dxa"/>
              <w:right w:w="40" w:type="dxa"/>
            </w:tcMar>
          </w:tcPr>
          <w:p w14:paraId="2A73B3A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Earnings of foreign subsidiaries</w:t>
            </w:r>
          </w:p>
        </w:tc>
        <w:tc>
          <w:tcPr>
            <w:tcW w:w="0" w:type="auto"/>
            <w:gridSpan w:val="2"/>
            <w:shd w:val="clear" w:color="auto" w:fill="auto"/>
            <w:tcMar>
              <w:top w:w="40" w:type="dxa"/>
              <w:left w:w="40" w:type="dxa"/>
              <w:bottom w:w="40" w:type="dxa"/>
            </w:tcMar>
            <w:vAlign w:val="bottom"/>
          </w:tcPr>
          <w:p w14:paraId="2A73B3A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330</w:t>
            </w:r>
          </w:p>
        </w:tc>
        <w:tc>
          <w:tcPr>
            <w:tcW w:w="0" w:type="auto"/>
            <w:shd w:val="clear" w:color="auto" w:fill="auto"/>
            <w:vAlign w:val="bottom"/>
          </w:tcPr>
          <w:p w14:paraId="2A73B3A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A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A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275</w:t>
            </w:r>
          </w:p>
        </w:tc>
        <w:tc>
          <w:tcPr>
            <w:tcW w:w="0" w:type="auto"/>
            <w:shd w:val="clear" w:color="auto" w:fill="auto"/>
            <w:vAlign w:val="bottom"/>
          </w:tcPr>
          <w:p w14:paraId="2A73B3A5" w14:textId="77777777" w:rsidR="00FA5565" w:rsidRDefault="00FA5565">
            <w:pPr>
              <w:textAlignment w:val="bottom"/>
              <w:rPr>
                <w:rFonts w:ascii="Times New Roman" w:hAnsi="Times New Roman"/>
                <w:sz w:val="20"/>
                <w:szCs w:val="20"/>
              </w:rPr>
            </w:pPr>
          </w:p>
        </w:tc>
      </w:tr>
      <w:tr w:rsidR="00FA5565" w14:paraId="2A73B3AD" w14:textId="77777777">
        <w:tc>
          <w:tcPr>
            <w:tcW w:w="0" w:type="auto"/>
            <w:shd w:val="clear" w:color="auto" w:fill="EFEFEF"/>
            <w:tcMar>
              <w:top w:w="40" w:type="dxa"/>
              <w:left w:w="560" w:type="dxa"/>
              <w:bottom w:w="40" w:type="dxa"/>
              <w:right w:w="40" w:type="dxa"/>
            </w:tcMar>
          </w:tcPr>
          <w:p w14:paraId="2A73B3A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3A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456</w:t>
            </w:r>
          </w:p>
        </w:tc>
        <w:tc>
          <w:tcPr>
            <w:tcW w:w="0" w:type="auto"/>
            <w:tcBorders>
              <w:bottom w:val="single" w:sz="8" w:space="0" w:color="000000"/>
            </w:tcBorders>
            <w:shd w:val="clear" w:color="auto" w:fill="EFEFEF"/>
            <w:vAlign w:val="bottom"/>
          </w:tcPr>
          <w:p w14:paraId="2A73B3A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3A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501</w:t>
            </w:r>
          </w:p>
        </w:tc>
        <w:tc>
          <w:tcPr>
            <w:tcW w:w="0" w:type="auto"/>
            <w:tcBorders>
              <w:bottom w:val="single" w:sz="8" w:space="0" w:color="000000"/>
            </w:tcBorders>
            <w:shd w:val="clear" w:color="auto" w:fill="EFEFEF"/>
            <w:vAlign w:val="bottom"/>
          </w:tcPr>
          <w:p w14:paraId="2A73B3AC" w14:textId="77777777" w:rsidR="00FA5565" w:rsidRDefault="00FA5565">
            <w:pPr>
              <w:textAlignment w:val="bottom"/>
              <w:rPr>
                <w:rFonts w:ascii="Times New Roman" w:hAnsi="Times New Roman"/>
                <w:sz w:val="20"/>
                <w:szCs w:val="20"/>
              </w:rPr>
            </w:pPr>
          </w:p>
        </w:tc>
      </w:tr>
      <w:tr w:rsidR="00FA5565" w14:paraId="2A73B3B4" w14:textId="77777777">
        <w:tc>
          <w:tcPr>
            <w:tcW w:w="0" w:type="auto"/>
            <w:shd w:val="clear" w:color="auto" w:fill="auto"/>
            <w:tcMar>
              <w:top w:w="40" w:type="dxa"/>
              <w:left w:w="1040" w:type="dxa"/>
              <w:bottom w:w="40" w:type="dxa"/>
              <w:right w:w="40" w:type="dxa"/>
            </w:tcMar>
          </w:tcPr>
          <w:p w14:paraId="2A73B3A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Total </w:t>
            </w:r>
            <w:r>
              <w:rPr>
                <w:rFonts w:ascii="Helvetica" w:eastAsia="Helvetica" w:hAnsi="Helvetica" w:cs="Helvetica"/>
                <w:sz w:val="18"/>
                <w:szCs w:val="18"/>
              </w:rPr>
              <w:t>deferred tax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2A73B3A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11,595</w:t>
            </w:r>
          </w:p>
        </w:tc>
        <w:tc>
          <w:tcPr>
            <w:tcW w:w="0" w:type="auto"/>
            <w:tcBorders>
              <w:bottom w:val="single" w:sz="8" w:space="0" w:color="000000"/>
            </w:tcBorders>
            <w:shd w:val="clear" w:color="auto" w:fill="auto"/>
            <w:vAlign w:val="bottom"/>
          </w:tcPr>
          <w:p w14:paraId="2A73B3B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3B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776</w:t>
            </w:r>
          </w:p>
        </w:tc>
        <w:tc>
          <w:tcPr>
            <w:tcW w:w="0" w:type="auto"/>
            <w:tcBorders>
              <w:bottom w:val="single" w:sz="8" w:space="0" w:color="000000"/>
            </w:tcBorders>
            <w:shd w:val="clear" w:color="auto" w:fill="auto"/>
            <w:vAlign w:val="bottom"/>
          </w:tcPr>
          <w:p w14:paraId="2A73B3B3" w14:textId="77777777" w:rsidR="00FA5565" w:rsidRDefault="00FA5565">
            <w:pPr>
              <w:textAlignment w:val="bottom"/>
              <w:rPr>
                <w:rFonts w:ascii="Times New Roman" w:hAnsi="Times New Roman"/>
                <w:sz w:val="20"/>
                <w:szCs w:val="20"/>
              </w:rPr>
            </w:pPr>
          </w:p>
        </w:tc>
      </w:tr>
      <w:tr w:rsidR="00FA5565" w14:paraId="2A73B3BD" w14:textId="77777777">
        <w:tc>
          <w:tcPr>
            <w:tcW w:w="0" w:type="auto"/>
            <w:shd w:val="clear" w:color="auto" w:fill="EFEFEF"/>
            <w:tcMar>
              <w:top w:w="40" w:type="dxa"/>
              <w:left w:w="40" w:type="dxa"/>
              <w:bottom w:w="40" w:type="dxa"/>
              <w:right w:w="40" w:type="dxa"/>
            </w:tcMar>
          </w:tcPr>
          <w:p w14:paraId="2A73B3B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deferred tax assets/(liabilities)</w:t>
            </w:r>
          </w:p>
        </w:tc>
        <w:tc>
          <w:tcPr>
            <w:tcW w:w="0" w:type="auto"/>
            <w:tcBorders>
              <w:bottom w:val="double" w:sz="6" w:space="0" w:color="000000"/>
            </w:tcBorders>
            <w:shd w:val="clear" w:color="auto" w:fill="EFEFEF"/>
            <w:tcMar>
              <w:top w:w="40" w:type="dxa"/>
              <w:left w:w="40" w:type="dxa"/>
              <w:bottom w:w="40" w:type="dxa"/>
            </w:tcMar>
            <w:vAlign w:val="bottom"/>
          </w:tcPr>
          <w:p w14:paraId="2A73B3B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3B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8,045</w:t>
            </w:r>
          </w:p>
        </w:tc>
        <w:tc>
          <w:tcPr>
            <w:tcW w:w="0" w:type="auto"/>
            <w:tcBorders>
              <w:bottom w:val="double" w:sz="6" w:space="0" w:color="000000"/>
            </w:tcBorders>
            <w:shd w:val="clear" w:color="auto" w:fill="EFEFEF"/>
            <w:vAlign w:val="bottom"/>
          </w:tcPr>
          <w:p w14:paraId="2A73B3B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B9"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EFEFEF"/>
            <w:tcMar>
              <w:top w:w="40" w:type="dxa"/>
              <w:left w:w="40" w:type="dxa"/>
              <w:bottom w:w="40" w:type="dxa"/>
            </w:tcMar>
            <w:vAlign w:val="bottom"/>
          </w:tcPr>
          <w:p w14:paraId="2A73B3B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3B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5,834</w:t>
            </w:r>
          </w:p>
        </w:tc>
        <w:tc>
          <w:tcPr>
            <w:tcW w:w="0" w:type="auto"/>
            <w:tcBorders>
              <w:bottom w:val="double" w:sz="6" w:space="0" w:color="000000"/>
            </w:tcBorders>
            <w:shd w:val="clear" w:color="auto" w:fill="EFEFEF"/>
            <w:vAlign w:val="bottom"/>
          </w:tcPr>
          <w:p w14:paraId="2A73B3BC" w14:textId="77777777" w:rsidR="00FA5565" w:rsidRDefault="00FA5565">
            <w:pPr>
              <w:textAlignment w:val="bottom"/>
              <w:rPr>
                <w:rFonts w:ascii="Times New Roman" w:hAnsi="Times New Roman"/>
                <w:sz w:val="20"/>
                <w:szCs w:val="20"/>
              </w:rPr>
            </w:pPr>
          </w:p>
        </w:tc>
      </w:tr>
    </w:tbl>
    <w:p w14:paraId="2A73B3BE" w14:textId="77777777" w:rsidR="00FA5565" w:rsidRDefault="00FA5565">
      <w:pPr>
        <w:spacing w:line="288" w:lineRule="auto"/>
        <w:jc w:val="both"/>
        <w:rPr>
          <w:rFonts w:ascii="Times New Roman" w:hAnsi="Times New Roman"/>
          <w:sz w:val="20"/>
          <w:szCs w:val="20"/>
        </w:rPr>
      </w:pPr>
    </w:p>
    <w:p w14:paraId="2A73B3B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Deferred tax assets and liabilities reflect the effects of tax credits and the future income tax effects of temporary differences between the </w:t>
      </w:r>
      <w:r>
        <w:rPr>
          <w:rFonts w:ascii="Helvetica" w:eastAsia="Helvetica" w:hAnsi="Helvetica" w:cs="Helvetica"/>
          <w:sz w:val="18"/>
          <w:szCs w:val="18"/>
        </w:rPr>
        <w:t xml:space="preserve">consolidated financial statement carrying amounts of existing assets and liabilities and their respective tax bases, and are measured using enacted tax rates that apply to taxable income in the years in which those temporary differences are expected to be </w:t>
      </w:r>
      <w:r>
        <w:rPr>
          <w:rFonts w:ascii="Helvetica" w:eastAsia="Helvetica" w:hAnsi="Helvetica" w:cs="Helvetica"/>
          <w:sz w:val="18"/>
          <w:szCs w:val="18"/>
        </w:rPr>
        <w:t>recovered or settled.</w:t>
      </w:r>
    </w:p>
    <w:p w14:paraId="2A73B3C0" w14:textId="77777777" w:rsidR="00FA5565" w:rsidRDefault="00FA5565">
      <w:pPr>
        <w:rPr>
          <w:rFonts w:ascii="Times New Roman" w:hAnsi="Times New Roman"/>
          <w:sz w:val="20"/>
          <w:szCs w:val="20"/>
        </w:rPr>
      </w:pPr>
    </w:p>
    <w:p w14:paraId="2A73B3C1"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45</w:t>
      </w:r>
    </w:p>
    <w:p w14:paraId="2A73B3C2" w14:textId="77777777" w:rsidR="00FA5565" w:rsidRDefault="00D804D1">
      <w:r>
        <w:rPr>
          <w:rFonts w:ascii="Times New Roman" w:hAnsi="Times New Roman"/>
          <w:sz w:val="16"/>
          <w:szCs w:val="16"/>
        </w:rPr>
        <w:pict w14:anchorId="2A73C0C9">
          <v:rect id="_x0000_i1071" style="width:415.3pt;height:1.5pt" o:hralign="center" o:hrstd="t" o:hr="t" fillcolor="#a0a0a0" stroked="f"/>
        </w:pict>
      </w:r>
    </w:p>
    <w:p w14:paraId="2A73B3C3" w14:textId="77777777" w:rsidR="00FA5565" w:rsidRDefault="00FA5565">
      <w:pPr>
        <w:rPr>
          <w:rFonts w:ascii="Times New Roman" w:hAnsi="Times New Roman"/>
          <w:sz w:val="20"/>
          <w:szCs w:val="20"/>
        </w:rPr>
      </w:pPr>
    </w:p>
    <w:p w14:paraId="2A73B3C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Uncertain Tax Positions</w:t>
      </w:r>
    </w:p>
    <w:p w14:paraId="2A73B3C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As of September 28, 2019, the total amount of gross unrecognized tax benefits was $15.6 billion, of which $8.6 billion, if recognized, would impact the Company’s </w:t>
      </w:r>
      <w:r>
        <w:rPr>
          <w:rFonts w:ascii="Helvetica" w:eastAsia="Helvetica" w:hAnsi="Helvetica" w:cs="Helvetica"/>
          <w:sz w:val="18"/>
          <w:szCs w:val="18"/>
        </w:rPr>
        <w:t>effective tax rate. As of September 29, 2018, the total amount of gross unrecognized tax benefits was $9.7 billion, of which $7.4 billion, if recognized, would have impacted the Company’s effective tax rate.</w:t>
      </w:r>
    </w:p>
    <w:p w14:paraId="2A73B3C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aggregate change in the balance of gross unr</w:t>
      </w:r>
      <w:r>
        <w:rPr>
          <w:rFonts w:ascii="Helvetica" w:eastAsia="Helvetica" w:hAnsi="Helvetica" w:cs="Helvetica"/>
          <w:sz w:val="18"/>
          <w:szCs w:val="18"/>
        </w:rPr>
        <w:t>ecognized tax benefits, which excludes interest and penalties, for 2019, 2018 and 2017, is as follows (in millions):</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FA5565" w14:paraId="2A73B3C8" w14:textId="77777777">
        <w:tc>
          <w:tcPr>
            <w:tcW w:w="0" w:type="auto"/>
            <w:gridSpan w:val="12"/>
            <w:shd w:val="clear" w:color="auto" w:fill="auto"/>
            <w:vAlign w:val="center"/>
          </w:tcPr>
          <w:p w14:paraId="2A73B3C7" w14:textId="77777777" w:rsidR="00FA5565" w:rsidRDefault="00FA5565">
            <w:pPr>
              <w:rPr>
                <w:rFonts w:ascii="Times New Roman" w:hAnsi="Times New Roman"/>
                <w:sz w:val="20"/>
                <w:szCs w:val="20"/>
              </w:rPr>
            </w:pPr>
          </w:p>
        </w:tc>
      </w:tr>
      <w:tr w:rsidR="00FA5565" w14:paraId="2A73B3D5" w14:textId="77777777">
        <w:tc>
          <w:tcPr>
            <w:tcW w:w="2950" w:type="pct"/>
            <w:shd w:val="clear" w:color="auto" w:fill="auto"/>
            <w:vAlign w:val="center"/>
          </w:tcPr>
          <w:p w14:paraId="2A73B3C9" w14:textId="77777777" w:rsidR="00FA5565" w:rsidRDefault="00FA5565">
            <w:pPr>
              <w:rPr>
                <w:rFonts w:ascii="Times New Roman" w:hAnsi="Times New Roman"/>
                <w:sz w:val="20"/>
                <w:szCs w:val="20"/>
              </w:rPr>
            </w:pPr>
          </w:p>
        </w:tc>
        <w:tc>
          <w:tcPr>
            <w:tcW w:w="50" w:type="pct"/>
            <w:shd w:val="clear" w:color="auto" w:fill="auto"/>
            <w:vAlign w:val="center"/>
          </w:tcPr>
          <w:p w14:paraId="2A73B3CA" w14:textId="77777777" w:rsidR="00FA5565" w:rsidRDefault="00FA5565">
            <w:pPr>
              <w:rPr>
                <w:rFonts w:ascii="Times New Roman" w:hAnsi="Times New Roman"/>
                <w:sz w:val="20"/>
                <w:szCs w:val="20"/>
              </w:rPr>
            </w:pPr>
          </w:p>
        </w:tc>
        <w:tc>
          <w:tcPr>
            <w:tcW w:w="550" w:type="pct"/>
            <w:shd w:val="clear" w:color="auto" w:fill="auto"/>
            <w:vAlign w:val="center"/>
          </w:tcPr>
          <w:p w14:paraId="2A73B3CB" w14:textId="77777777" w:rsidR="00FA5565" w:rsidRDefault="00FA5565">
            <w:pPr>
              <w:rPr>
                <w:rFonts w:ascii="Times New Roman" w:hAnsi="Times New Roman"/>
                <w:sz w:val="20"/>
                <w:szCs w:val="20"/>
              </w:rPr>
            </w:pPr>
          </w:p>
        </w:tc>
        <w:tc>
          <w:tcPr>
            <w:tcW w:w="50" w:type="pct"/>
            <w:shd w:val="clear" w:color="auto" w:fill="auto"/>
            <w:vAlign w:val="center"/>
          </w:tcPr>
          <w:p w14:paraId="2A73B3CC" w14:textId="77777777" w:rsidR="00FA5565" w:rsidRDefault="00FA5565">
            <w:pPr>
              <w:rPr>
                <w:rFonts w:ascii="Times New Roman" w:hAnsi="Times New Roman"/>
                <w:sz w:val="20"/>
                <w:szCs w:val="20"/>
              </w:rPr>
            </w:pPr>
          </w:p>
        </w:tc>
        <w:tc>
          <w:tcPr>
            <w:tcW w:w="50" w:type="pct"/>
            <w:shd w:val="clear" w:color="auto" w:fill="auto"/>
            <w:vAlign w:val="center"/>
          </w:tcPr>
          <w:p w14:paraId="2A73B3CD" w14:textId="77777777" w:rsidR="00FA5565" w:rsidRDefault="00FA5565">
            <w:pPr>
              <w:rPr>
                <w:rFonts w:ascii="Times New Roman" w:hAnsi="Times New Roman"/>
                <w:sz w:val="20"/>
                <w:szCs w:val="20"/>
              </w:rPr>
            </w:pPr>
          </w:p>
        </w:tc>
        <w:tc>
          <w:tcPr>
            <w:tcW w:w="50" w:type="pct"/>
            <w:shd w:val="clear" w:color="auto" w:fill="auto"/>
            <w:vAlign w:val="center"/>
          </w:tcPr>
          <w:p w14:paraId="2A73B3CE" w14:textId="77777777" w:rsidR="00FA5565" w:rsidRDefault="00FA5565">
            <w:pPr>
              <w:rPr>
                <w:rFonts w:ascii="Times New Roman" w:hAnsi="Times New Roman"/>
                <w:sz w:val="20"/>
                <w:szCs w:val="20"/>
              </w:rPr>
            </w:pPr>
          </w:p>
        </w:tc>
        <w:tc>
          <w:tcPr>
            <w:tcW w:w="550" w:type="pct"/>
            <w:shd w:val="clear" w:color="auto" w:fill="auto"/>
            <w:vAlign w:val="center"/>
          </w:tcPr>
          <w:p w14:paraId="2A73B3CF" w14:textId="77777777" w:rsidR="00FA5565" w:rsidRDefault="00FA5565">
            <w:pPr>
              <w:rPr>
                <w:rFonts w:ascii="Times New Roman" w:hAnsi="Times New Roman"/>
                <w:sz w:val="20"/>
                <w:szCs w:val="20"/>
              </w:rPr>
            </w:pPr>
          </w:p>
        </w:tc>
        <w:tc>
          <w:tcPr>
            <w:tcW w:w="50" w:type="pct"/>
            <w:shd w:val="clear" w:color="auto" w:fill="auto"/>
            <w:vAlign w:val="center"/>
          </w:tcPr>
          <w:p w14:paraId="2A73B3D0" w14:textId="77777777" w:rsidR="00FA5565" w:rsidRDefault="00FA5565">
            <w:pPr>
              <w:rPr>
                <w:rFonts w:ascii="Times New Roman" w:hAnsi="Times New Roman"/>
                <w:sz w:val="20"/>
                <w:szCs w:val="20"/>
              </w:rPr>
            </w:pPr>
          </w:p>
        </w:tc>
        <w:tc>
          <w:tcPr>
            <w:tcW w:w="50" w:type="pct"/>
            <w:shd w:val="clear" w:color="auto" w:fill="auto"/>
            <w:vAlign w:val="center"/>
          </w:tcPr>
          <w:p w14:paraId="2A73B3D1" w14:textId="77777777" w:rsidR="00FA5565" w:rsidRDefault="00FA5565">
            <w:pPr>
              <w:rPr>
                <w:rFonts w:ascii="Times New Roman" w:hAnsi="Times New Roman"/>
                <w:sz w:val="20"/>
                <w:szCs w:val="20"/>
              </w:rPr>
            </w:pPr>
          </w:p>
        </w:tc>
        <w:tc>
          <w:tcPr>
            <w:tcW w:w="50" w:type="pct"/>
            <w:shd w:val="clear" w:color="auto" w:fill="auto"/>
            <w:vAlign w:val="center"/>
          </w:tcPr>
          <w:p w14:paraId="2A73B3D2" w14:textId="77777777" w:rsidR="00FA5565" w:rsidRDefault="00FA5565">
            <w:pPr>
              <w:rPr>
                <w:rFonts w:ascii="Times New Roman" w:hAnsi="Times New Roman"/>
                <w:sz w:val="20"/>
                <w:szCs w:val="20"/>
              </w:rPr>
            </w:pPr>
          </w:p>
        </w:tc>
        <w:tc>
          <w:tcPr>
            <w:tcW w:w="550" w:type="pct"/>
            <w:shd w:val="clear" w:color="auto" w:fill="auto"/>
            <w:vAlign w:val="center"/>
          </w:tcPr>
          <w:p w14:paraId="2A73B3D3" w14:textId="77777777" w:rsidR="00FA5565" w:rsidRDefault="00FA5565">
            <w:pPr>
              <w:rPr>
                <w:rFonts w:ascii="Times New Roman" w:hAnsi="Times New Roman"/>
                <w:sz w:val="20"/>
                <w:szCs w:val="20"/>
              </w:rPr>
            </w:pPr>
          </w:p>
        </w:tc>
        <w:tc>
          <w:tcPr>
            <w:tcW w:w="50" w:type="pct"/>
            <w:shd w:val="clear" w:color="auto" w:fill="auto"/>
            <w:vAlign w:val="center"/>
          </w:tcPr>
          <w:p w14:paraId="2A73B3D4" w14:textId="77777777" w:rsidR="00FA5565" w:rsidRDefault="00FA5565">
            <w:pPr>
              <w:rPr>
                <w:rFonts w:ascii="Times New Roman" w:hAnsi="Times New Roman"/>
                <w:sz w:val="20"/>
                <w:szCs w:val="20"/>
              </w:rPr>
            </w:pPr>
          </w:p>
        </w:tc>
      </w:tr>
      <w:tr w:rsidR="00FA5565" w14:paraId="2A73B3DC" w14:textId="77777777">
        <w:tc>
          <w:tcPr>
            <w:tcW w:w="0" w:type="auto"/>
            <w:shd w:val="clear" w:color="auto" w:fill="auto"/>
            <w:tcMar>
              <w:top w:w="40" w:type="dxa"/>
              <w:left w:w="40" w:type="dxa"/>
              <w:bottom w:w="40" w:type="dxa"/>
              <w:right w:w="40" w:type="dxa"/>
            </w:tcMar>
            <w:vAlign w:val="bottom"/>
          </w:tcPr>
          <w:p w14:paraId="2A73B3D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3D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3D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3D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3D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3D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3E9" w14:textId="77777777">
        <w:tc>
          <w:tcPr>
            <w:tcW w:w="0" w:type="auto"/>
            <w:shd w:val="clear" w:color="auto" w:fill="auto"/>
            <w:tcMar>
              <w:top w:w="40" w:type="dxa"/>
              <w:left w:w="40" w:type="dxa"/>
              <w:bottom w:w="40" w:type="dxa"/>
              <w:right w:w="40" w:type="dxa"/>
            </w:tcMar>
          </w:tcPr>
          <w:p w14:paraId="2A73B3DD"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Beginning balances</w:t>
            </w:r>
          </w:p>
        </w:tc>
        <w:tc>
          <w:tcPr>
            <w:tcW w:w="0" w:type="auto"/>
            <w:tcBorders>
              <w:top w:val="single" w:sz="8" w:space="0" w:color="000000"/>
            </w:tcBorders>
            <w:shd w:val="clear" w:color="auto" w:fill="auto"/>
            <w:tcMar>
              <w:top w:w="40" w:type="dxa"/>
              <w:left w:w="40" w:type="dxa"/>
              <w:bottom w:w="40" w:type="dxa"/>
            </w:tcMar>
            <w:vAlign w:val="bottom"/>
          </w:tcPr>
          <w:p w14:paraId="2A73B3D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3D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9,694</w:t>
            </w:r>
          </w:p>
        </w:tc>
        <w:tc>
          <w:tcPr>
            <w:tcW w:w="0" w:type="auto"/>
            <w:tcBorders>
              <w:top w:val="single" w:sz="8" w:space="0" w:color="000000"/>
            </w:tcBorders>
            <w:shd w:val="clear" w:color="auto" w:fill="auto"/>
            <w:vAlign w:val="bottom"/>
          </w:tcPr>
          <w:p w14:paraId="2A73B3E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3E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3E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8,407</w:t>
            </w:r>
          </w:p>
        </w:tc>
        <w:tc>
          <w:tcPr>
            <w:tcW w:w="0" w:type="auto"/>
            <w:tcBorders>
              <w:top w:val="single" w:sz="8" w:space="0" w:color="000000"/>
            </w:tcBorders>
            <w:shd w:val="clear" w:color="auto" w:fill="auto"/>
            <w:vAlign w:val="bottom"/>
          </w:tcPr>
          <w:p w14:paraId="2A73B3E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3E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3E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3E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7,724</w:t>
            </w:r>
          </w:p>
        </w:tc>
        <w:tc>
          <w:tcPr>
            <w:tcW w:w="0" w:type="auto"/>
            <w:tcBorders>
              <w:top w:val="single" w:sz="8" w:space="0" w:color="000000"/>
            </w:tcBorders>
            <w:shd w:val="clear" w:color="auto" w:fill="auto"/>
            <w:vAlign w:val="bottom"/>
          </w:tcPr>
          <w:p w14:paraId="2A73B3E8" w14:textId="77777777" w:rsidR="00FA5565" w:rsidRDefault="00FA5565">
            <w:pPr>
              <w:textAlignment w:val="bottom"/>
              <w:rPr>
                <w:rFonts w:ascii="Times New Roman" w:hAnsi="Times New Roman"/>
                <w:sz w:val="20"/>
                <w:szCs w:val="20"/>
              </w:rPr>
            </w:pPr>
          </w:p>
        </w:tc>
      </w:tr>
      <w:tr w:rsidR="00FA5565" w14:paraId="2A73B3F3" w14:textId="77777777">
        <w:tc>
          <w:tcPr>
            <w:tcW w:w="0" w:type="auto"/>
            <w:shd w:val="clear" w:color="auto" w:fill="EFEFEF"/>
            <w:tcMar>
              <w:top w:w="40" w:type="dxa"/>
              <w:left w:w="560" w:type="dxa"/>
              <w:bottom w:w="40" w:type="dxa"/>
              <w:right w:w="40" w:type="dxa"/>
            </w:tcMar>
          </w:tcPr>
          <w:p w14:paraId="2A73B3E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Increases related to tax positions taken </w:t>
            </w:r>
            <w:r>
              <w:rPr>
                <w:rFonts w:ascii="Helvetica" w:eastAsia="Helvetica" w:hAnsi="Helvetica" w:cs="Helvetica"/>
                <w:sz w:val="18"/>
                <w:szCs w:val="18"/>
              </w:rPr>
              <w:t>during a prior year</w:t>
            </w:r>
          </w:p>
        </w:tc>
        <w:tc>
          <w:tcPr>
            <w:tcW w:w="0" w:type="auto"/>
            <w:gridSpan w:val="2"/>
            <w:shd w:val="clear" w:color="auto" w:fill="EFEFEF"/>
            <w:tcMar>
              <w:top w:w="40" w:type="dxa"/>
              <w:left w:w="40" w:type="dxa"/>
              <w:bottom w:w="40" w:type="dxa"/>
            </w:tcMar>
            <w:vAlign w:val="bottom"/>
          </w:tcPr>
          <w:p w14:paraId="2A73B3E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5,845</w:t>
            </w:r>
          </w:p>
        </w:tc>
        <w:tc>
          <w:tcPr>
            <w:tcW w:w="0" w:type="auto"/>
            <w:shd w:val="clear" w:color="auto" w:fill="EFEFEF"/>
            <w:vAlign w:val="bottom"/>
          </w:tcPr>
          <w:p w14:paraId="2A73B3E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E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3E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2,431</w:t>
            </w:r>
          </w:p>
        </w:tc>
        <w:tc>
          <w:tcPr>
            <w:tcW w:w="0" w:type="auto"/>
            <w:shd w:val="clear" w:color="auto" w:fill="EFEFEF"/>
            <w:vAlign w:val="bottom"/>
          </w:tcPr>
          <w:p w14:paraId="2A73B3E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3F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3F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333</w:t>
            </w:r>
          </w:p>
        </w:tc>
        <w:tc>
          <w:tcPr>
            <w:tcW w:w="0" w:type="auto"/>
            <w:shd w:val="clear" w:color="auto" w:fill="EFEFEF"/>
            <w:vAlign w:val="bottom"/>
          </w:tcPr>
          <w:p w14:paraId="2A73B3F2" w14:textId="77777777" w:rsidR="00FA5565" w:rsidRDefault="00FA5565">
            <w:pPr>
              <w:textAlignment w:val="bottom"/>
              <w:rPr>
                <w:rFonts w:ascii="Times New Roman" w:hAnsi="Times New Roman"/>
                <w:sz w:val="20"/>
                <w:szCs w:val="20"/>
              </w:rPr>
            </w:pPr>
          </w:p>
        </w:tc>
      </w:tr>
      <w:tr w:rsidR="00FA5565" w14:paraId="2A73B3FD" w14:textId="77777777">
        <w:tc>
          <w:tcPr>
            <w:tcW w:w="0" w:type="auto"/>
            <w:shd w:val="clear" w:color="auto" w:fill="auto"/>
            <w:tcMar>
              <w:top w:w="40" w:type="dxa"/>
              <w:left w:w="560" w:type="dxa"/>
              <w:bottom w:w="40" w:type="dxa"/>
              <w:right w:w="40" w:type="dxa"/>
            </w:tcMar>
          </w:tcPr>
          <w:p w14:paraId="2A73B3F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Decreases related to tax positions taken during a prior year</w:t>
            </w:r>
          </w:p>
        </w:tc>
        <w:tc>
          <w:tcPr>
            <w:tcW w:w="0" w:type="auto"/>
            <w:gridSpan w:val="2"/>
            <w:shd w:val="clear" w:color="auto" w:fill="auto"/>
            <w:tcMar>
              <w:top w:w="40" w:type="dxa"/>
              <w:left w:w="40" w:type="dxa"/>
              <w:bottom w:w="40" w:type="dxa"/>
            </w:tcMar>
            <w:vAlign w:val="bottom"/>
          </w:tcPr>
          <w:p w14:paraId="2A73B3F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(686</w:t>
            </w:r>
          </w:p>
        </w:tc>
        <w:tc>
          <w:tcPr>
            <w:tcW w:w="0" w:type="auto"/>
            <w:shd w:val="clear" w:color="auto" w:fill="auto"/>
            <w:tcMar>
              <w:top w:w="40" w:type="dxa"/>
              <w:bottom w:w="40" w:type="dxa"/>
              <w:right w:w="40" w:type="dxa"/>
            </w:tcMar>
            <w:vAlign w:val="bottom"/>
          </w:tcPr>
          <w:p w14:paraId="2A73B3F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3F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F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(2,212</w:t>
            </w:r>
          </w:p>
        </w:tc>
        <w:tc>
          <w:tcPr>
            <w:tcW w:w="0" w:type="auto"/>
            <w:shd w:val="clear" w:color="auto" w:fill="auto"/>
            <w:tcMar>
              <w:top w:w="40" w:type="dxa"/>
              <w:bottom w:w="40" w:type="dxa"/>
              <w:right w:w="40" w:type="dxa"/>
            </w:tcMar>
            <w:vAlign w:val="bottom"/>
          </w:tcPr>
          <w:p w14:paraId="2A73B3F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3F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3F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(952</w:t>
            </w:r>
          </w:p>
        </w:tc>
        <w:tc>
          <w:tcPr>
            <w:tcW w:w="0" w:type="auto"/>
            <w:shd w:val="clear" w:color="auto" w:fill="auto"/>
            <w:tcMar>
              <w:top w:w="40" w:type="dxa"/>
              <w:bottom w:w="40" w:type="dxa"/>
              <w:right w:w="40" w:type="dxa"/>
            </w:tcMar>
            <w:vAlign w:val="bottom"/>
          </w:tcPr>
          <w:p w14:paraId="2A73B3F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407" w14:textId="77777777">
        <w:tc>
          <w:tcPr>
            <w:tcW w:w="0" w:type="auto"/>
            <w:shd w:val="clear" w:color="auto" w:fill="EFEFEF"/>
            <w:tcMar>
              <w:top w:w="40" w:type="dxa"/>
              <w:left w:w="560" w:type="dxa"/>
              <w:bottom w:w="40" w:type="dxa"/>
              <w:right w:w="40" w:type="dxa"/>
            </w:tcMar>
          </w:tcPr>
          <w:p w14:paraId="2A73B3F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Increases related to tax positions taken during the current year</w:t>
            </w:r>
          </w:p>
        </w:tc>
        <w:tc>
          <w:tcPr>
            <w:tcW w:w="0" w:type="auto"/>
            <w:gridSpan w:val="2"/>
            <w:shd w:val="clear" w:color="auto" w:fill="EFEFEF"/>
            <w:tcMar>
              <w:top w:w="40" w:type="dxa"/>
              <w:left w:w="40" w:type="dxa"/>
              <w:bottom w:w="40" w:type="dxa"/>
            </w:tcMar>
            <w:vAlign w:val="bottom"/>
          </w:tcPr>
          <w:p w14:paraId="2A73B3F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1,697</w:t>
            </w:r>
          </w:p>
        </w:tc>
        <w:tc>
          <w:tcPr>
            <w:tcW w:w="0" w:type="auto"/>
            <w:shd w:val="clear" w:color="auto" w:fill="EFEFEF"/>
            <w:vAlign w:val="bottom"/>
          </w:tcPr>
          <w:p w14:paraId="2A73B40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4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40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1,824</w:t>
            </w:r>
          </w:p>
        </w:tc>
        <w:tc>
          <w:tcPr>
            <w:tcW w:w="0" w:type="auto"/>
            <w:shd w:val="clear" w:color="auto" w:fill="EFEFEF"/>
            <w:vAlign w:val="bottom"/>
          </w:tcPr>
          <w:p w14:paraId="2A73B40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40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40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1,880</w:t>
            </w:r>
          </w:p>
        </w:tc>
        <w:tc>
          <w:tcPr>
            <w:tcW w:w="0" w:type="auto"/>
            <w:shd w:val="clear" w:color="auto" w:fill="EFEFEF"/>
            <w:vAlign w:val="bottom"/>
          </w:tcPr>
          <w:p w14:paraId="2A73B406" w14:textId="77777777" w:rsidR="00FA5565" w:rsidRDefault="00FA5565">
            <w:pPr>
              <w:textAlignment w:val="bottom"/>
              <w:rPr>
                <w:rFonts w:ascii="Times New Roman" w:hAnsi="Times New Roman"/>
                <w:sz w:val="20"/>
                <w:szCs w:val="20"/>
              </w:rPr>
            </w:pPr>
          </w:p>
        </w:tc>
      </w:tr>
      <w:tr w:rsidR="00FA5565" w14:paraId="2A73B411" w14:textId="77777777">
        <w:tc>
          <w:tcPr>
            <w:tcW w:w="0" w:type="auto"/>
            <w:shd w:val="clear" w:color="auto" w:fill="auto"/>
            <w:tcMar>
              <w:top w:w="40" w:type="dxa"/>
              <w:left w:w="560" w:type="dxa"/>
              <w:bottom w:w="40" w:type="dxa"/>
              <w:right w:w="40" w:type="dxa"/>
            </w:tcMar>
          </w:tcPr>
          <w:p w14:paraId="2A73B40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Decreases related to </w:t>
            </w:r>
            <w:r>
              <w:rPr>
                <w:rFonts w:ascii="Helvetica" w:eastAsia="Helvetica" w:hAnsi="Helvetica" w:cs="Helvetica"/>
                <w:sz w:val="18"/>
                <w:szCs w:val="18"/>
              </w:rPr>
              <w:t>settlements with taxing authorities</w:t>
            </w:r>
          </w:p>
        </w:tc>
        <w:tc>
          <w:tcPr>
            <w:tcW w:w="0" w:type="auto"/>
            <w:gridSpan w:val="2"/>
            <w:shd w:val="clear" w:color="auto" w:fill="auto"/>
            <w:tcMar>
              <w:top w:w="40" w:type="dxa"/>
              <w:left w:w="40" w:type="dxa"/>
              <w:bottom w:w="40" w:type="dxa"/>
            </w:tcMar>
            <w:vAlign w:val="bottom"/>
          </w:tcPr>
          <w:p w14:paraId="2A73B40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(852</w:t>
            </w:r>
          </w:p>
        </w:tc>
        <w:tc>
          <w:tcPr>
            <w:tcW w:w="0" w:type="auto"/>
            <w:shd w:val="clear" w:color="auto" w:fill="auto"/>
            <w:tcMar>
              <w:top w:w="40" w:type="dxa"/>
              <w:bottom w:w="40" w:type="dxa"/>
              <w:right w:w="40" w:type="dxa"/>
            </w:tcMar>
            <w:vAlign w:val="bottom"/>
          </w:tcPr>
          <w:p w14:paraId="2A73B40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40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40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(756</w:t>
            </w:r>
          </w:p>
        </w:tc>
        <w:tc>
          <w:tcPr>
            <w:tcW w:w="0" w:type="auto"/>
            <w:shd w:val="clear" w:color="auto" w:fill="auto"/>
            <w:tcMar>
              <w:top w:w="40" w:type="dxa"/>
              <w:bottom w:w="40" w:type="dxa"/>
              <w:right w:w="40" w:type="dxa"/>
            </w:tcMar>
            <w:vAlign w:val="bottom"/>
          </w:tcPr>
          <w:p w14:paraId="2A73B40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40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40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(539</w:t>
            </w:r>
          </w:p>
        </w:tc>
        <w:tc>
          <w:tcPr>
            <w:tcW w:w="0" w:type="auto"/>
            <w:shd w:val="clear" w:color="auto" w:fill="auto"/>
            <w:tcMar>
              <w:top w:w="40" w:type="dxa"/>
              <w:bottom w:w="40" w:type="dxa"/>
              <w:right w:w="40" w:type="dxa"/>
            </w:tcMar>
            <w:vAlign w:val="bottom"/>
          </w:tcPr>
          <w:p w14:paraId="2A73B41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41B" w14:textId="77777777">
        <w:tc>
          <w:tcPr>
            <w:tcW w:w="0" w:type="auto"/>
            <w:shd w:val="clear" w:color="auto" w:fill="EFEFEF"/>
            <w:tcMar>
              <w:top w:w="40" w:type="dxa"/>
              <w:left w:w="560" w:type="dxa"/>
              <w:bottom w:w="40" w:type="dxa"/>
              <w:right w:w="40" w:type="dxa"/>
            </w:tcMar>
          </w:tcPr>
          <w:p w14:paraId="2A73B41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Decreases related to expiration of the statute of limitations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41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(79</w:t>
            </w:r>
          </w:p>
        </w:tc>
        <w:tc>
          <w:tcPr>
            <w:tcW w:w="0" w:type="auto"/>
            <w:tcBorders>
              <w:bottom w:val="single" w:sz="8" w:space="0" w:color="000000"/>
            </w:tcBorders>
            <w:shd w:val="clear" w:color="auto" w:fill="EFEFEF"/>
            <w:tcMar>
              <w:top w:w="40" w:type="dxa"/>
              <w:bottom w:w="40" w:type="dxa"/>
              <w:right w:w="40" w:type="dxa"/>
            </w:tcMar>
            <w:vAlign w:val="bottom"/>
          </w:tcPr>
          <w:p w14:paraId="2A73B41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41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41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EFEFEF"/>
            <w:vAlign w:val="bottom"/>
          </w:tcPr>
          <w:p w14:paraId="2A73B41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41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41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(39</w:t>
            </w:r>
          </w:p>
        </w:tc>
        <w:tc>
          <w:tcPr>
            <w:tcW w:w="0" w:type="auto"/>
            <w:tcBorders>
              <w:bottom w:val="single" w:sz="8" w:space="0" w:color="000000"/>
            </w:tcBorders>
            <w:shd w:val="clear" w:color="auto" w:fill="EFEFEF"/>
            <w:tcMar>
              <w:top w:w="40" w:type="dxa"/>
              <w:bottom w:w="40" w:type="dxa"/>
              <w:right w:w="40" w:type="dxa"/>
            </w:tcMar>
            <w:vAlign w:val="bottom"/>
          </w:tcPr>
          <w:p w14:paraId="2A73B41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428" w14:textId="77777777">
        <w:tc>
          <w:tcPr>
            <w:tcW w:w="0" w:type="auto"/>
            <w:shd w:val="clear" w:color="auto" w:fill="auto"/>
            <w:tcMar>
              <w:top w:w="40" w:type="dxa"/>
              <w:left w:w="40" w:type="dxa"/>
              <w:bottom w:w="40" w:type="dxa"/>
              <w:right w:w="40" w:type="dxa"/>
            </w:tcMar>
          </w:tcPr>
          <w:p w14:paraId="2A73B41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Ending balances</w:t>
            </w:r>
          </w:p>
        </w:tc>
        <w:tc>
          <w:tcPr>
            <w:tcW w:w="0" w:type="auto"/>
            <w:tcBorders>
              <w:bottom w:val="double" w:sz="6" w:space="0" w:color="000000"/>
            </w:tcBorders>
            <w:shd w:val="clear" w:color="auto" w:fill="auto"/>
            <w:tcMar>
              <w:top w:w="40" w:type="dxa"/>
              <w:left w:w="40" w:type="dxa"/>
              <w:bottom w:w="40" w:type="dxa"/>
            </w:tcMar>
            <w:vAlign w:val="bottom"/>
          </w:tcPr>
          <w:p w14:paraId="2A73B41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41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15,619</w:t>
            </w:r>
          </w:p>
        </w:tc>
        <w:tc>
          <w:tcPr>
            <w:tcW w:w="0" w:type="auto"/>
            <w:tcBorders>
              <w:bottom w:val="double" w:sz="6" w:space="0" w:color="000000"/>
            </w:tcBorders>
            <w:shd w:val="clear" w:color="auto" w:fill="auto"/>
            <w:vAlign w:val="bottom"/>
          </w:tcPr>
          <w:p w14:paraId="2A73B41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4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B42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42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9,694</w:t>
            </w:r>
          </w:p>
        </w:tc>
        <w:tc>
          <w:tcPr>
            <w:tcW w:w="0" w:type="auto"/>
            <w:tcBorders>
              <w:bottom w:val="double" w:sz="6" w:space="0" w:color="000000"/>
            </w:tcBorders>
            <w:shd w:val="clear" w:color="auto" w:fill="auto"/>
            <w:vAlign w:val="bottom"/>
          </w:tcPr>
          <w:p w14:paraId="2A73B42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4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B42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42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8,407</w:t>
            </w:r>
          </w:p>
        </w:tc>
        <w:tc>
          <w:tcPr>
            <w:tcW w:w="0" w:type="auto"/>
            <w:tcBorders>
              <w:bottom w:val="double" w:sz="6" w:space="0" w:color="000000"/>
            </w:tcBorders>
            <w:shd w:val="clear" w:color="auto" w:fill="auto"/>
            <w:vAlign w:val="bottom"/>
          </w:tcPr>
          <w:p w14:paraId="2A73B427" w14:textId="77777777" w:rsidR="00FA5565" w:rsidRDefault="00FA5565">
            <w:pPr>
              <w:textAlignment w:val="bottom"/>
              <w:rPr>
                <w:rFonts w:ascii="Times New Roman" w:hAnsi="Times New Roman"/>
                <w:sz w:val="20"/>
                <w:szCs w:val="20"/>
              </w:rPr>
            </w:pPr>
          </w:p>
        </w:tc>
      </w:tr>
    </w:tbl>
    <w:p w14:paraId="2A73B429" w14:textId="77777777" w:rsidR="00FA5565" w:rsidRDefault="00FA5565">
      <w:pPr>
        <w:spacing w:line="288" w:lineRule="auto"/>
        <w:jc w:val="both"/>
        <w:rPr>
          <w:rFonts w:ascii="Times New Roman" w:hAnsi="Times New Roman"/>
          <w:sz w:val="20"/>
          <w:szCs w:val="20"/>
        </w:rPr>
      </w:pPr>
    </w:p>
    <w:p w14:paraId="2A73B42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is subject to taxation and files income tax </w:t>
      </w:r>
      <w:r>
        <w:rPr>
          <w:rFonts w:ascii="Helvetica" w:eastAsia="Helvetica" w:hAnsi="Helvetica" w:cs="Helvetica"/>
          <w:sz w:val="18"/>
          <w:szCs w:val="18"/>
        </w:rPr>
        <w:t xml:space="preserve">returns in the U.S. federal jurisdiction and many state and foreign jurisdictions. The U.S. Internal Revenue Service (the “IRS”) concluded its review of the years 2013 through 2015 in 2018, and all years before 2016 are closed. Tax years after 2014 remain </w:t>
      </w:r>
      <w:r>
        <w:rPr>
          <w:rFonts w:ascii="Helvetica" w:eastAsia="Helvetica" w:hAnsi="Helvetica" w:cs="Helvetica"/>
          <w:sz w:val="18"/>
          <w:szCs w:val="18"/>
        </w:rPr>
        <w:t>open in certain major foreign jurisdictions and are subject to examination by the taxing authorities. The Company believes that an adequate provision has been made for any adjustments that may result from tax examinations. However, the outcome of tax audit</w:t>
      </w:r>
      <w:r>
        <w:rPr>
          <w:rFonts w:ascii="Helvetica" w:eastAsia="Helvetica" w:hAnsi="Helvetica" w:cs="Helvetica"/>
          <w:sz w:val="18"/>
          <w:szCs w:val="18"/>
        </w:rPr>
        <w:t>s cannot be predicted with certainty. If any issues addressed in the Company’s tax audits are resolved in a manner inconsistent with its expectations, the Company could be required to adjust its provision for income taxes in the period such resolution occu</w:t>
      </w:r>
      <w:r>
        <w:rPr>
          <w:rFonts w:ascii="Helvetica" w:eastAsia="Helvetica" w:hAnsi="Helvetica" w:cs="Helvetica"/>
          <w:sz w:val="18"/>
          <w:szCs w:val="18"/>
        </w:rPr>
        <w:t>rs. Although the timing of resolution and/or closure of audits is not certain, the Company believes it is reasonably possible that its gross unrecognized tax benefits could decrease in the next 12 months by as much as $2.0 billion.</w:t>
      </w:r>
    </w:p>
    <w:p w14:paraId="2A73B42B"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Interest and Penalties</w:t>
      </w:r>
    </w:p>
    <w:p w14:paraId="2A73B42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w:t>
      </w:r>
      <w:r>
        <w:rPr>
          <w:rFonts w:ascii="Helvetica" w:eastAsia="Helvetica" w:hAnsi="Helvetica" w:cs="Helvetica"/>
          <w:sz w:val="18"/>
          <w:szCs w:val="18"/>
        </w:rPr>
        <w:t>he Company includes interest and penalties related to income tax matters within the provision for income taxes. As of September 28, 2019 and September 29, 2018, the total amount of gross interest and penalties accrued was $1.3 billion and $1.4 billion, res</w:t>
      </w:r>
      <w:r>
        <w:rPr>
          <w:rFonts w:ascii="Helvetica" w:eastAsia="Helvetica" w:hAnsi="Helvetica" w:cs="Helvetica"/>
          <w:sz w:val="18"/>
          <w:szCs w:val="18"/>
        </w:rPr>
        <w:t>pectively. The Company recognized interest and penalty expense in 2019, 2018 and 2017 of $73 million, $489 million and $238 million, respectively.</w:t>
      </w:r>
    </w:p>
    <w:p w14:paraId="2A73B42D"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European Commission State Aid Decision</w:t>
      </w:r>
    </w:p>
    <w:p w14:paraId="2A73B42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On August 30, 2016, the European Commission announced its </w:t>
      </w:r>
      <w:r>
        <w:rPr>
          <w:rFonts w:ascii="Helvetica" w:eastAsia="Helvetica" w:hAnsi="Helvetica" w:cs="Helvetica"/>
          <w:sz w:val="18"/>
          <w:szCs w:val="18"/>
        </w:rPr>
        <w:t>decision that Ireland granted state aid to the Company by providing tax opinions in 1991 and 2007 concerning the tax allocation of profits of the Irish branches of two subsidiaries of the Company (the “State Aid Decision”). The State Aid Decision ordered I</w:t>
      </w:r>
      <w:r>
        <w:rPr>
          <w:rFonts w:ascii="Helvetica" w:eastAsia="Helvetica" w:hAnsi="Helvetica" w:cs="Helvetica"/>
          <w:sz w:val="18"/>
          <w:szCs w:val="18"/>
        </w:rPr>
        <w:t>reland to calculate and recover additional taxes from the Company for the period June 2003 through December 2014. The recovery amount was calculated to be €13.1 billion, plus interest of €1.2 billion. During the fourth quarter of 2019, the Irish Minister f</w:t>
      </w:r>
      <w:r>
        <w:rPr>
          <w:rFonts w:ascii="Helvetica" w:eastAsia="Helvetica" w:hAnsi="Helvetica" w:cs="Helvetica"/>
          <w:sz w:val="18"/>
          <w:szCs w:val="18"/>
        </w:rPr>
        <w:t>or Finance approved the Company’s request to reduce the recovery amount by €190 million due to taxes paid to other countries, resulting in an adjusted recovery amount of €12.9 billion as of September 28, 2019. Irish legislative changes, effective as of Jan</w:t>
      </w:r>
      <w:r>
        <w:rPr>
          <w:rFonts w:ascii="Helvetica" w:eastAsia="Helvetica" w:hAnsi="Helvetica" w:cs="Helvetica"/>
          <w:sz w:val="18"/>
          <w:szCs w:val="18"/>
        </w:rPr>
        <w:t>uary 2015, eliminated the application of the tax opinions from that date forward. The Company believes the State Aid Decision to be without merit and appealed to the General Court of the Court of Justice of the European Union. Ireland has also appealed the</w:t>
      </w:r>
      <w:r>
        <w:rPr>
          <w:rFonts w:ascii="Helvetica" w:eastAsia="Helvetica" w:hAnsi="Helvetica" w:cs="Helvetica"/>
          <w:sz w:val="18"/>
          <w:szCs w:val="18"/>
        </w:rPr>
        <w:t xml:space="preserve"> State Aid Decision. The Company believes that any incremental Irish corporate income taxes potentially due related to the State Aid Decision would be creditable against U.S. taxes, subject to any foreign tax credit limitations in the Act. As of September </w:t>
      </w:r>
      <w:r>
        <w:rPr>
          <w:rFonts w:ascii="Helvetica" w:eastAsia="Helvetica" w:hAnsi="Helvetica" w:cs="Helvetica"/>
          <w:sz w:val="18"/>
          <w:szCs w:val="18"/>
        </w:rPr>
        <w:t>28, 2019, the entire adjusted recovery amount plus interest was funded into escrow, where it will remain restricted from general use pending the conclusion of all appeals. Refer to the Cash, Cash Equivalents and Marketable Securities section of Note 3, “Fi</w:t>
      </w:r>
      <w:r>
        <w:rPr>
          <w:rFonts w:ascii="Helvetica" w:eastAsia="Helvetica" w:hAnsi="Helvetica" w:cs="Helvetica"/>
          <w:sz w:val="18"/>
          <w:szCs w:val="18"/>
        </w:rPr>
        <w:t>nancial Instruments” for more information.</w:t>
      </w:r>
    </w:p>
    <w:p w14:paraId="2A73B42F" w14:textId="77777777" w:rsidR="00FA5565" w:rsidRDefault="00FA5565">
      <w:pPr>
        <w:rPr>
          <w:rFonts w:ascii="Times New Roman" w:hAnsi="Times New Roman"/>
          <w:sz w:val="20"/>
          <w:szCs w:val="20"/>
        </w:rPr>
      </w:pPr>
    </w:p>
    <w:p w14:paraId="2A73B430"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46</w:t>
      </w:r>
    </w:p>
    <w:p w14:paraId="2A73B431" w14:textId="77777777" w:rsidR="00FA5565" w:rsidRDefault="00D804D1">
      <w:r>
        <w:rPr>
          <w:rFonts w:ascii="Times New Roman" w:hAnsi="Times New Roman"/>
          <w:sz w:val="16"/>
          <w:szCs w:val="16"/>
        </w:rPr>
        <w:pict w14:anchorId="2A73C0CA">
          <v:rect id="_x0000_i1072" style="width:415.3pt;height:1.5pt" o:hralign="center" o:hrstd="t" o:hr="t" fillcolor="#a0a0a0" stroked="f"/>
        </w:pict>
      </w:r>
    </w:p>
    <w:p w14:paraId="2A73B432" w14:textId="77777777" w:rsidR="00FA5565" w:rsidRDefault="00FA5565">
      <w:pPr>
        <w:rPr>
          <w:rFonts w:ascii="Times New Roman" w:hAnsi="Times New Roman"/>
          <w:sz w:val="20"/>
          <w:szCs w:val="20"/>
        </w:rPr>
      </w:pPr>
    </w:p>
    <w:p w14:paraId="2A73B433"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Note 6 – Debt</w:t>
      </w:r>
    </w:p>
    <w:p w14:paraId="2A73B43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Commercial Paper</w:t>
      </w:r>
    </w:p>
    <w:p w14:paraId="2A73B43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issues unsecured short-term promissory notes (“Commercial Paper”) pursuant to a commercial paper program. The Company uses net procee</w:t>
      </w:r>
      <w:r>
        <w:rPr>
          <w:rFonts w:ascii="Helvetica" w:eastAsia="Helvetica" w:hAnsi="Helvetica" w:cs="Helvetica"/>
          <w:sz w:val="18"/>
          <w:szCs w:val="18"/>
        </w:rPr>
        <w:t>ds from the commercial paper program for general corporate purposes, including dividends and share repurchases. As of September 28, 2019 and September 29, 2018, the Company had $6.0 billion and $12.0 billion of Commercial Paper outstanding, respectively, w</w:t>
      </w:r>
      <w:r>
        <w:rPr>
          <w:rFonts w:ascii="Helvetica" w:eastAsia="Helvetica" w:hAnsi="Helvetica" w:cs="Helvetica"/>
          <w:sz w:val="18"/>
          <w:szCs w:val="18"/>
        </w:rPr>
        <w:t>ith maturities generally less than nine months. The weighted-average interest rate of the Company’s Commercial Paper was 2.24% and 2.18% as of September 28, 2019 and September 29, 2018, respectively. The following table provides a summary of cash flows ass</w:t>
      </w:r>
      <w:r>
        <w:rPr>
          <w:rFonts w:ascii="Helvetica" w:eastAsia="Helvetica" w:hAnsi="Helvetica" w:cs="Helvetica"/>
          <w:sz w:val="18"/>
          <w:szCs w:val="18"/>
        </w:rPr>
        <w:t>ociated with the issuance and maturities of Commercial Paper for 2019, 2018 and 2017 (in millions):</w:t>
      </w:r>
    </w:p>
    <w:tbl>
      <w:tblPr>
        <w:tblW w:w="5000" w:type="pct"/>
        <w:tblCellMar>
          <w:left w:w="0" w:type="dxa"/>
          <w:right w:w="0" w:type="dxa"/>
        </w:tblCellMar>
        <w:tblLook w:val="04A0" w:firstRow="1" w:lastRow="0" w:firstColumn="1" w:lastColumn="0" w:noHBand="0" w:noVBand="1"/>
      </w:tblPr>
      <w:tblGrid>
        <w:gridCol w:w="4820"/>
        <w:gridCol w:w="141"/>
        <w:gridCol w:w="834"/>
        <w:gridCol w:w="100"/>
        <w:gridCol w:w="130"/>
        <w:gridCol w:w="142"/>
        <w:gridCol w:w="834"/>
        <w:gridCol w:w="100"/>
        <w:gridCol w:w="130"/>
        <w:gridCol w:w="141"/>
        <w:gridCol w:w="834"/>
        <w:gridCol w:w="100"/>
      </w:tblGrid>
      <w:tr w:rsidR="00FA5565" w14:paraId="2A73B437" w14:textId="77777777">
        <w:tc>
          <w:tcPr>
            <w:tcW w:w="0" w:type="auto"/>
            <w:gridSpan w:val="12"/>
            <w:shd w:val="clear" w:color="auto" w:fill="auto"/>
            <w:vAlign w:val="center"/>
          </w:tcPr>
          <w:p w14:paraId="2A73B436" w14:textId="77777777" w:rsidR="00FA5565" w:rsidRDefault="00FA5565">
            <w:pPr>
              <w:rPr>
                <w:rFonts w:ascii="Times New Roman" w:hAnsi="Times New Roman"/>
                <w:sz w:val="20"/>
                <w:szCs w:val="20"/>
              </w:rPr>
            </w:pPr>
          </w:p>
        </w:tc>
      </w:tr>
      <w:tr w:rsidR="00FA5565" w14:paraId="2A73B444" w14:textId="77777777">
        <w:tc>
          <w:tcPr>
            <w:tcW w:w="2950" w:type="pct"/>
            <w:shd w:val="clear" w:color="auto" w:fill="auto"/>
            <w:vAlign w:val="center"/>
          </w:tcPr>
          <w:p w14:paraId="2A73B438" w14:textId="77777777" w:rsidR="00FA5565" w:rsidRDefault="00FA5565">
            <w:pPr>
              <w:rPr>
                <w:rFonts w:ascii="Times New Roman" w:hAnsi="Times New Roman"/>
                <w:sz w:val="20"/>
                <w:szCs w:val="20"/>
              </w:rPr>
            </w:pPr>
          </w:p>
        </w:tc>
        <w:tc>
          <w:tcPr>
            <w:tcW w:w="50" w:type="pct"/>
            <w:shd w:val="clear" w:color="auto" w:fill="auto"/>
            <w:vAlign w:val="center"/>
          </w:tcPr>
          <w:p w14:paraId="2A73B439" w14:textId="77777777" w:rsidR="00FA5565" w:rsidRDefault="00FA5565">
            <w:pPr>
              <w:rPr>
                <w:rFonts w:ascii="Times New Roman" w:hAnsi="Times New Roman"/>
                <w:sz w:val="20"/>
                <w:szCs w:val="20"/>
              </w:rPr>
            </w:pPr>
          </w:p>
        </w:tc>
        <w:tc>
          <w:tcPr>
            <w:tcW w:w="550" w:type="pct"/>
            <w:shd w:val="clear" w:color="auto" w:fill="auto"/>
            <w:vAlign w:val="center"/>
          </w:tcPr>
          <w:p w14:paraId="2A73B43A" w14:textId="77777777" w:rsidR="00FA5565" w:rsidRDefault="00FA5565">
            <w:pPr>
              <w:rPr>
                <w:rFonts w:ascii="Times New Roman" w:hAnsi="Times New Roman"/>
                <w:sz w:val="20"/>
                <w:szCs w:val="20"/>
              </w:rPr>
            </w:pPr>
          </w:p>
        </w:tc>
        <w:tc>
          <w:tcPr>
            <w:tcW w:w="50" w:type="pct"/>
            <w:shd w:val="clear" w:color="auto" w:fill="auto"/>
            <w:vAlign w:val="center"/>
          </w:tcPr>
          <w:p w14:paraId="2A73B43B" w14:textId="77777777" w:rsidR="00FA5565" w:rsidRDefault="00FA5565">
            <w:pPr>
              <w:rPr>
                <w:rFonts w:ascii="Times New Roman" w:hAnsi="Times New Roman"/>
                <w:sz w:val="20"/>
                <w:szCs w:val="20"/>
              </w:rPr>
            </w:pPr>
          </w:p>
        </w:tc>
        <w:tc>
          <w:tcPr>
            <w:tcW w:w="50" w:type="pct"/>
            <w:shd w:val="clear" w:color="auto" w:fill="auto"/>
            <w:vAlign w:val="center"/>
          </w:tcPr>
          <w:p w14:paraId="2A73B43C" w14:textId="77777777" w:rsidR="00FA5565" w:rsidRDefault="00FA5565">
            <w:pPr>
              <w:rPr>
                <w:rFonts w:ascii="Times New Roman" w:hAnsi="Times New Roman"/>
                <w:sz w:val="20"/>
                <w:szCs w:val="20"/>
              </w:rPr>
            </w:pPr>
          </w:p>
        </w:tc>
        <w:tc>
          <w:tcPr>
            <w:tcW w:w="50" w:type="pct"/>
            <w:shd w:val="clear" w:color="auto" w:fill="auto"/>
            <w:vAlign w:val="center"/>
          </w:tcPr>
          <w:p w14:paraId="2A73B43D" w14:textId="77777777" w:rsidR="00FA5565" w:rsidRDefault="00FA5565">
            <w:pPr>
              <w:rPr>
                <w:rFonts w:ascii="Times New Roman" w:hAnsi="Times New Roman"/>
                <w:sz w:val="20"/>
                <w:szCs w:val="20"/>
              </w:rPr>
            </w:pPr>
          </w:p>
        </w:tc>
        <w:tc>
          <w:tcPr>
            <w:tcW w:w="550" w:type="pct"/>
            <w:shd w:val="clear" w:color="auto" w:fill="auto"/>
            <w:vAlign w:val="center"/>
          </w:tcPr>
          <w:p w14:paraId="2A73B43E" w14:textId="77777777" w:rsidR="00FA5565" w:rsidRDefault="00FA5565">
            <w:pPr>
              <w:rPr>
                <w:rFonts w:ascii="Times New Roman" w:hAnsi="Times New Roman"/>
                <w:sz w:val="20"/>
                <w:szCs w:val="20"/>
              </w:rPr>
            </w:pPr>
          </w:p>
        </w:tc>
        <w:tc>
          <w:tcPr>
            <w:tcW w:w="50" w:type="pct"/>
            <w:shd w:val="clear" w:color="auto" w:fill="auto"/>
            <w:vAlign w:val="center"/>
          </w:tcPr>
          <w:p w14:paraId="2A73B43F" w14:textId="77777777" w:rsidR="00FA5565" w:rsidRDefault="00FA5565">
            <w:pPr>
              <w:rPr>
                <w:rFonts w:ascii="Times New Roman" w:hAnsi="Times New Roman"/>
                <w:sz w:val="20"/>
                <w:szCs w:val="20"/>
              </w:rPr>
            </w:pPr>
          </w:p>
        </w:tc>
        <w:tc>
          <w:tcPr>
            <w:tcW w:w="50" w:type="pct"/>
            <w:shd w:val="clear" w:color="auto" w:fill="auto"/>
            <w:vAlign w:val="center"/>
          </w:tcPr>
          <w:p w14:paraId="2A73B440" w14:textId="77777777" w:rsidR="00FA5565" w:rsidRDefault="00FA5565">
            <w:pPr>
              <w:rPr>
                <w:rFonts w:ascii="Times New Roman" w:hAnsi="Times New Roman"/>
                <w:sz w:val="20"/>
                <w:szCs w:val="20"/>
              </w:rPr>
            </w:pPr>
          </w:p>
        </w:tc>
        <w:tc>
          <w:tcPr>
            <w:tcW w:w="50" w:type="pct"/>
            <w:shd w:val="clear" w:color="auto" w:fill="auto"/>
            <w:vAlign w:val="center"/>
          </w:tcPr>
          <w:p w14:paraId="2A73B441" w14:textId="77777777" w:rsidR="00FA5565" w:rsidRDefault="00FA5565">
            <w:pPr>
              <w:rPr>
                <w:rFonts w:ascii="Times New Roman" w:hAnsi="Times New Roman"/>
                <w:sz w:val="20"/>
                <w:szCs w:val="20"/>
              </w:rPr>
            </w:pPr>
          </w:p>
        </w:tc>
        <w:tc>
          <w:tcPr>
            <w:tcW w:w="550" w:type="pct"/>
            <w:shd w:val="clear" w:color="auto" w:fill="auto"/>
            <w:vAlign w:val="center"/>
          </w:tcPr>
          <w:p w14:paraId="2A73B442" w14:textId="77777777" w:rsidR="00FA5565" w:rsidRDefault="00FA5565">
            <w:pPr>
              <w:rPr>
                <w:rFonts w:ascii="Times New Roman" w:hAnsi="Times New Roman"/>
                <w:sz w:val="20"/>
                <w:szCs w:val="20"/>
              </w:rPr>
            </w:pPr>
          </w:p>
        </w:tc>
        <w:tc>
          <w:tcPr>
            <w:tcW w:w="50" w:type="pct"/>
            <w:shd w:val="clear" w:color="auto" w:fill="auto"/>
            <w:vAlign w:val="center"/>
          </w:tcPr>
          <w:p w14:paraId="2A73B443" w14:textId="77777777" w:rsidR="00FA5565" w:rsidRDefault="00FA5565">
            <w:pPr>
              <w:rPr>
                <w:rFonts w:ascii="Times New Roman" w:hAnsi="Times New Roman"/>
                <w:sz w:val="20"/>
                <w:szCs w:val="20"/>
              </w:rPr>
            </w:pPr>
          </w:p>
        </w:tc>
      </w:tr>
      <w:tr w:rsidR="00FA5565" w14:paraId="2A73B44B" w14:textId="77777777">
        <w:tc>
          <w:tcPr>
            <w:tcW w:w="0" w:type="auto"/>
            <w:shd w:val="clear" w:color="auto" w:fill="auto"/>
            <w:tcMar>
              <w:top w:w="40" w:type="dxa"/>
              <w:left w:w="40" w:type="dxa"/>
              <w:bottom w:w="40" w:type="dxa"/>
              <w:right w:w="40" w:type="dxa"/>
            </w:tcMar>
            <w:vAlign w:val="bottom"/>
          </w:tcPr>
          <w:p w14:paraId="2A73B4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44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44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44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4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44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452" w14:textId="77777777">
        <w:tc>
          <w:tcPr>
            <w:tcW w:w="0" w:type="auto"/>
            <w:shd w:val="clear" w:color="auto" w:fill="auto"/>
            <w:tcMar>
              <w:top w:w="40" w:type="dxa"/>
              <w:left w:w="40" w:type="dxa"/>
              <w:bottom w:w="40" w:type="dxa"/>
              <w:right w:w="40" w:type="dxa"/>
            </w:tcMar>
          </w:tcPr>
          <w:p w14:paraId="2A73B44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Maturities 90 days or less:</w:t>
            </w:r>
          </w:p>
        </w:tc>
        <w:tc>
          <w:tcPr>
            <w:tcW w:w="0" w:type="auto"/>
            <w:gridSpan w:val="3"/>
            <w:shd w:val="clear" w:color="auto" w:fill="auto"/>
            <w:tcMar>
              <w:top w:w="40" w:type="dxa"/>
              <w:left w:w="40" w:type="dxa"/>
              <w:bottom w:w="40" w:type="dxa"/>
              <w:right w:w="40" w:type="dxa"/>
            </w:tcMar>
            <w:vAlign w:val="bottom"/>
          </w:tcPr>
          <w:p w14:paraId="2A73B4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44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5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45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45F" w14:textId="77777777">
        <w:tc>
          <w:tcPr>
            <w:tcW w:w="0" w:type="auto"/>
            <w:shd w:val="clear" w:color="auto" w:fill="EFEFEF"/>
            <w:tcMar>
              <w:top w:w="40" w:type="dxa"/>
              <w:left w:w="560" w:type="dxa"/>
              <w:bottom w:w="40" w:type="dxa"/>
              <w:right w:w="40" w:type="dxa"/>
            </w:tcMar>
            <w:vAlign w:val="bottom"/>
          </w:tcPr>
          <w:p w14:paraId="2A73B45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Proceeds from/(Repayments of) commercial paper, net</w:t>
            </w:r>
          </w:p>
        </w:tc>
        <w:tc>
          <w:tcPr>
            <w:tcW w:w="0" w:type="auto"/>
            <w:shd w:val="clear" w:color="auto" w:fill="EFEFEF"/>
            <w:tcMar>
              <w:top w:w="40" w:type="dxa"/>
              <w:left w:w="40" w:type="dxa"/>
              <w:bottom w:w="40" w:type="dxa"/>
            </w:tcMar>
            <w:vAlign w:val="bottom"/>
          </w:tcPr>
          <w:p w14:paraId="2A73B45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45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(3,248</w:t>
            </w:r>
          </w:p>
        </w:tc>
        <w:tc>
          <w:tcPr>
            <w:tcW w:w="0" w:type="auto"/>
            <w:shd w:val="clear" w:color="auto" w:fill="EFEFEF"/>
            <w:tcMar>
              <w:top w:w="40" w:type="dxa"/>
              <w:bottom w:w="40" w:type="dxa"/>
              <w:right w:w="40" w:type="dxa"/>
            </w:tcMar>
            <w:vAlign w:val="bottom"/>
          </w:tcPr>
          <w:p w14:paraId="2A73B45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4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45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45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1,044</w:t>
            </w:r>
          </w:p>
        </w:tc>
        <w:tc>
          <w:tcPr>
            <w:tcW w:w="0" w:type="auto"/>
            <w:shd w:val="clear" w:color="auto" w:fill="EFEFEF"/>
            <w:vAlign w:val="bottom"/>
          </w:tcPr>
          <w:p w14:paraId="2A73B45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45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45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45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(1,782</w:t>
            </w:r>
          </w:p>
        </w:tc>
        <w:tc>
          <w:tcPr>
            <w:tcW w:w="0" w:type="auto"/>
            <w:shd w:val="clear" w:color="auto" w:fill="EFEFEF"/>
            <w:tcMar>
              <w:top w:w="40" w:type="dxa"/>
              <w:bottom w:w="40" w:type="dxa"/>
              <w:right w:w="40" w:type="dxa"/>
            </w:tcMar>
            <w:vAlign w:val="bottom"/>
          </w:tcPr>
          <w:p w14:paraId="2A73B45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466" w14:textId="77777777">
        <w:tc>
          <w:tcPr>
            <w:tcW w:w="0" w:type="auto"/>
            <w:shd w:val="clear" w:color="auto" w:fill="auto"/>
            <w:tcMar>
              <w:top w:w="40" w:type="dxa"/>
              <w:left w:w="40" w:type="dxa"/>
              <w:bottom w:w="40" w:type="dxa"/>
              <w:right w:w="40" w:type="dxa"/>
            </w:tcMar>
            <w:vAlign w:val="bottom"/>
          </w:tcPr>
          <w:p w14:paraId="2A73B4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46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6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46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46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46D" w14:textId="77777777">
        <w:tc>
          <w:tcPr>
            <w:tcW w:w="0" w:type="auto"/>
            <w:shd w:val="clear" w:color="auto" w:fill="EFEFEF"/>
            <w:tcMar>
              <w:top w:w="40" w:type="dxa"/>
              <w:left w:w="40" w:type="dxa"/>
              <w:bottom w:w="40" w:type="dxa"/>
              <w:right w:w="40" w:type="dxa"/>
            </w:tcMar>
            <w:vAlign w:val="bottom"/>
          </w:tcPr>
          <w:p w14:paraId="2A73B467"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Maturities greater than 90 days:</w:t>
            </w:r>
          </w:p>
        </w:tc>
        <w:tc>
          <w:tcPr>
            <w:tcW w:w="0" w:type="auto"/>
            <w:gridSpan w:val="3"/>
            <w:shd w:val="clear" w:color="auto" w:fill="EFEFEF"/>
            <w:tcMar>
              <w:top w:w="40" w:type="dxa"/>
              <w:left w:w="40" w:type="dxa"/>
              <w:bottom w:w="40" w:type="dxa"/>
              <w:right w:w="40" w:type="dxa"/>
            </w:tcMar>
            <w:vAlign w:val="bottom"/>
          </w:tcPr>
          <w:p w14:paraId="2A73B46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46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4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4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46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477" w14:textId="77777777">
        <w:tc>
          <w:tcPr>
            <w:tcW w:w="0" w:type="auto"/>
            <w:shd w:val="clear" w:color="auto" w:fill="auto"/>
            <w:tcMar>
              <w:top w:w="40" w:type="dxa"/>
              <w:left w:w="560" w:type="dxa"/>
              <w:bottom w:w="40" w:type="dxa"/>
              <w:right w:w="40" w:type="dxa"/>
            </w:tcMar>
          </w:tcPr>
          <w:p w14:paraId="2A73B46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Proceeds from commercial paper</w:t>
            </w:r>
          </w:p>
        </w:tc>
        <w:tc>
          <w:tcPr>
            <w:tcW w:w="0" w:type="auto"/>
            <w:gridSpan w:val="2"/>
            <w:shd w:val="clear" w:color="auto" w:fill="auto"/>
            <w:tcMar>
              <w:top w:w="40" w:type="dxa"/>
              <w:left w:w="40" w:type="dxa"/>
              <w:bottom w:w="40" w:type="dxa"/>
            </w:tcMar>
            <w:vAlign w:val="bottom"/>
          </w:tcPr>
          <w:p w14:paraId="2A73B46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13,874</w:t>
            </w:r>
          </w:p>
        </w:tc>
        <w:tc>
          <w:tcPr>
            <w:tcW w:w="0" w:type="auto"/>
            <w:shd w:val="clear" w:color="auto" w:fill="auto"/>
            <w:vAlign w:val="bottom"/>
          </w:tcPr>
          <w:p w14:paraId="2A73B47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47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47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14,555</w:t>
            </w:r>
          </w:p>
        </w:tc>
        <w:tc>
          <w:tcPr>
            <w:tcW w:w="0" w:type="auto"/>
            <w:shd w:val="clear" w:color="auto" w:fill="auto"/>
            <w:vAlign w:val="bottom"/>
          </w:tcPr>
          <w:p w14:paraId="2A73B47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4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47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17,932</w:t>
            </w:r>
          </w:p>
        </w:tc>
        <w:tc>
          <w:tcPr>
            <w:tcW w:w="0" w:type="auto"/>
            <w:shd w:val="clear" w:color="auto" w:fill="auto"/>
            <w:vAlign w:val="bottom"/>
          </w:tcPr>
          <w:p w14:paraId="2A73B476" w14:textId="77777777" w:rsidR="00FA5565" w:rsidRDefault="00FA5565">
            <w:pPr>
              <w:textAlignment w:val="bottom"/>
              <w:rPr>
                <w:rFonts w:ascii="Times New Roman" w:hAnsi="Times New Roman"/>
                <w:sz w:val="20"/>
                <w:szCs w:val="20"/>
              </w:rPr>
            </w:pPr>
          </w:p>
        </w:tc>
      </w:tr>
      <w:tr w:rsidR="00FA5565" w14:paraId="2A73B481" w14:textId="77777777">
        <w:tc>
          <w:tcPr>
            <w:tcW w:w="0" w:type="auto"/>
            <w:shd w:val="clear" w:color="auto" w:fill="EFEFEF"/>
            <w:tcMar>
              <w:top w:w="40" w:type="dxa"/>
              <w:left w:w="560" w:type="dxa"/>
              <w:bottom w:w="40" w:type="dxa"/>
              <w:right w:w="40" w:type="dxa"/>
            </w:tcMar>
          </w:tcPr>
          <w:p w14:paraId="2A73B47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Repayments of commercial paper</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47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(16,603</w:t>
            </w:r>
          </w:p>
        </w:tc>
        <w:tc>
          <w:tcPr>
            <w:tcW w:w="0" w:type="auto"/>
            <w:tcBorders>
              <w:bottom w:val="single" w:sz="8" w:space="0" w:color="000000"/>
            </w:tcBorders>
            <w:shd w:val="clear" w:color="auto" w:fill="EFEFEF"/>
            <w:tcMar>
              <w:top w:w="40" w:type="dxa"/>
              <w:bottom w:w="40" w:type="dxa"/>
              <w:right w:w="40" w:type="dxa"/>
            </w:tcMar>
            <w:vAlign w:val="bottom"/>
          </w:tcPr>
          <w:p w14:paraId="2A73B47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47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47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(15,636</w:t>
            </w:r>
          </w:p>
        </w:tc>
        <w:tc>
          <w:tcPr>
            <w:tcW w:w="0" w:type="auto"/>
            <w:tcBorders>
              <w:bottom w:val="single" w:sz="8" w:space="0" w:color="000000"/>
            </w:tcBorders>
            <w:shd w:val="clear" w:color="auto" w:fill="EFEFEF"/>
            <w:tcMar>
              <w:top w:w="40" w:type="dxa"/>
              <w:bottom w:w="40" w:type="dxa"/>
              <w:right w:w="40" w:type="dxa"/>
            </w:tcMar>
            <w:vAlign w:val="bottom"/>
          </w:tcPr>
          <w:p w14:paraId="2A73B47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47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47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(12,298</w:t>
            </w:r>
          </w:p>
        </w:tc>
        <w:tc>
          <w:tcPr>
            <w:tcW w:w="0" w:type="auto"/>
            <w:tcBorders>
              <w:bottom w:val="single" w:sz="8" w:space="0" w:color="000000"/>
            </w:tcBorders>
            <w:shd w:val="clear" w:color="auto" w:fill="EFEFEF"/>
            <w:tcMar>
              <w:top w:w="40" w:type="dxa"/>
              <w:bottom w:w="40" w:type="dxa"/>
              <w:right w:w="40" w:type="dxa"/>
            </w:tcMar>
            <w:vAlign w:val="bottom"/>
          </w:tcPr>
          <w:p w14:paraId="2A73B48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48B" w14:textId="77777777">
        <w:tc>
          <w:tcPr>
            <w:tcW w:w="0" w:type="auto"/>
            <w:shd w:val="clear" w:color="auto" w:fill="auto"/>
            <w:tcMar>
              <w:top w:w="40" w:type="dxa"/>
              <w:left w:w="1040" w:type="dxa"/>
              <w:bottom w:w="40" w:type="dxa"/>
              <w:right w:w="40" w:type="dxa"/>
            </w:tcMar>
            <w:vAlign w:val="bottom"/>
          </w:tcPr>
          <w:p w14:paraId="2A73B48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Proceeds from/(Repayments of) commercial paper, net</w:t>
            </w:r>
          </w:p>
        </w:tc>
        <w:tc>
          <w:tcPr>
            <w:tcW w:w="0" w:type="auto"/>
            <w:gridSpan w:val="2"/>
            <w:tcBorders>
              <w:bottom w:val="single" w:sz="8" w:space="0" w:color="000000"/>
            </w:tcBorders>
            <w:shd w:val="clear" w:color="auto" w:fill="auto"/>
            <w:tcMar>
              <w:top w:w="40" w:type="dxa"/>
              <w:left w:w="40" w:type="dxa"/>
              <w:bottom w:w="40" w:type="dxa"/>
            </w:tcMar>
            <w:vAlign w:val="bottom"/>
          </w:tcPr>
          <w:p w14:paraId="2A73B48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(2,729</w:t>
            </w:r>
          </w:p>
        </w:tc>
        <w:tc>
          <w:tcPr>
            <w:tcW w:w="0" w:type="auto"/>
            <w:tcBorders>
              <w:bottom w:val="single" w:sz="8" w:space="0" w:color="000000"/>
            </w:tcBorders>
            <w:shd w:val="clear" w:color="auto" w:fill="auto"/>
            <w:tcMar>
              <w:top w:w="40" w:type="dxa"/>
              <w:bottom w:w="40" w:type="dxa"/>
              <w:right w:w="40" w:type="dxa"/>
            </w:tcMar>
            <w:vAlign w:val="bottom"/>
          </w:tcPr>
          <w:p w14:paraId="2A73B48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485" w14:textId="77777777" w:rsidR="00FA5565" w:rsidRDefault="00FA5565">
            <w:pPr>
              <w:jc w:val="right"/>
              <w:textAlignment w:val="bottom"/>
              <w:rPr>
                <w:rFonts w:ascii="Times New Roman" w:hAnsi="Times New Roman"/>
                <w:sz w:val="18"/>
                <w:szCs w:val="18"/>
              </w:rPr>
            </w:pPr>
          </w:p>
        </w:tc>
        <w:tc>
          <w:tcPr>
            <w:tcW w:w="0" w:type="auto"/>
            <w:gridSpan w:val="2"/>
            <w:tcBorders>
              <w:bottom w:val="single" w:sz="8" w:space="0" w:color="000000"/>
            </w:tcBorders>
            <w:shd w:val="clear" w:color="auto" w:fill="auto"/>
            <w:tcMar>
              <w:top w:w="40" w:type="dxa"/>
              <w:left w:w="40" w:type="dxa"/>
              <w:bottom w:w="40" w:type="dxa"/>
            </w:tcMar>
            <w:vAlign w:val="bottom"/>
          </w:tcPr>
          <w:p w14:paraId="2A73B48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(1,081</w:t>
            </w:r>
          </w:p>
        </w:tc>
        <w:tc>
          <w:tcPr>
            <w:tcW w:w="0" w:type="auto"/>
            <w:tcBorders>
              <w:bottom w:val="single" w:sz="8" w:space="0" w:color="000000"/>
            </w:tcBorders>
            <w:shd w:val="clear" w:color="auto" w:fill="auto"/>
            <w:tcMar>
              <w:top w:w="40" w:type="dxa"/>
              <w:bottom w:w="40" w:type="dxa"/>
              <w:right w:w="40" w:type="dxa"/>
            </w:tcMar>
            <w:vAlign w:val="bottom"/>
          </w:tcPr>
          <w:p w14:paraId="2A73B48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4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48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5,634</w:t>
            </w:r>
          </w:p>
        </w:tc>
        <w:tc>
          <w:tcPr>
            <w:tcW w:w="0" w:type="auto"/>
            <w:tcBorders>
              <w:bottom w:val="single" w:sz="8" w:space="0" w:color="000000"/>
            </w:tcBorders>
            <w:shd w:val="clear" w:color="auto" w:fill="auto"/>
            <w:vAlign w:val="bottom"/>
          </w:tcPr>
          <w:p w14:paraId="2A73B48A" w14:textId="77777777" w:rsidR="00FA5565" w:rsidRDefault="00FA5565">
            <w:pPr>
              <w:textAlignment w:val="bottom"/>
              <w:rPr>
                <w:rFonts w:ascii="Times New Roman" w:hAnsi="Times New Roman"/>
                <w:sz w:val="20"/>
                <w:szCs w:val="20"/>
              </w:rPr>
            </w:pPr>
          </w:p>
        </w:tc>
      </w:tr>
      <w:tr w:rsidR="00FA5565" w14:paraId="2A73B492" w14:textId="77777777">
        <w:tc>
          <w:tcPr>
            <w:tcW w:w="0" w:type="auto"/>
            <w:shd w:val="clear" w:color="auto" w:fill="EFEFEF"/>
            <w:tcMar>
              <w:top w:w="40" w:type="dxa"/>
              <w:left w:w="40" w:type="dxa"/>
              <w:bottom w:w="40" w:type="dxa"/>
              <w:right w:w="40" w:type="dxa"/>
            </w:tcMar>
            <w:vAlign w:val="bottom"/>
          </w:tcPr>
          <w:p w14:paraId="2A73B4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4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48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4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4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4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49F" w14:textId="77777777">
        <w:tc>
          <w:tcPr>
            <w:tcW w:w="0" w:type="auto"/>
            <w:shd w:val="clear" w:color="auto" w:fill="auto"/>
            <w:tcMar>
              <w:top w:w="40" w:type="dxa"/>
              <w:left w:w="1520" w:type="dxa"/>
              <w:bottom w:w="40" w:type="dxa"/>
              <w:right w:w="40" w:type="dxa"/>
            </w:tcMar>
            <w:vAlign w:val="bottom"/>
          </w:tcPr>
          <w:p w14:paraId="2A73B49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Total proceeds from/(repayments of) commercial paper, net</w:t>
            </w:r>
          </w:p>
        </w:tc>
        <w:tc>
          <w:tcPr>
            <w:tcW w:w="0" w:type="auto"/>
            <w:tcBorders>
              <w:bottom w:val="double" w:sz="6" w:space="0" w:color="000000"/>
            </w:tcBorders>
            <w:shd w:val="clear" w:color="auto" w:fill="auto"/>
            <w:tcMar>
              <w:top w:w="40" w:type="dxa"/>
              <w:left w:w="40" w:type="dxa"/>
              <w:bottom w:w="40" w:type="dxa"/>
            </w:tcMar>
            <w:vAlign w:val="bottom"/>
          </w:tcPr>
          <w:p w14:paraId="2A73B49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49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(5,977</w:t>
            </w:r>
          </w:p>
        </w:tc>
        <w:tc>
          <w:tcPr>
            <w:tcW w:w="0" w:type="auto"/>
            <w:tcBorders>
              <w:bottom w:val="double" w:sz="6" w:space="0" w:color="000000"/>
            </w:tcBorders>
            <w:shd w:val="clear" w:color="auto" w:fill="auto"/>
            <w:tcMar>
              <w:top w:w="40" w:type="dxa"/>
              <w:bottom w:w="40" w:type="dxa"/>
              <w:right w:w="40" w:type="dxa"/>
            </w:tcMar>
            <w:vAlign w:val="bottom"/>
          </w:tcPr>
          <w:p w14:paraId="2A73B49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497"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auto"/>
            <w:tcMar>
              <w:top w:w="40" w:type="dxa"/>
              <w:left w:w="40" w:type="dxa"/>
              <w:bottom w:w="40" w:type="dxa"/>
            </w:tcMar>
            <w:vAlign w:val="bottom"/>
          </w:tcPr>
          <w:p w14:paraId="2A73B49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49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w:t>
            </w:r>
          </w:p>
        </w:tc>
        <w:tc>
          <w:tcPr>
            <w:tcW w:w="0" w:type="auto"/>
            <w:tcBorders>
              <w:bottom w:val="double" w:sz="6" w:space="0" w:color="000000"/>
            </w:tcBorders>
            <w:shd w:val="clear" w:color="auto" w:fill="auto"/>
            <w:tcMar>
              <w:top w:w="40" w:type="dxa"/>
              <w:bottom w:w="40" w:type="dxa"/>
              <w:right w:w="40" w:type="dxa"/>
            </w:tcMar>
            <w:vAlign w:val="bottom"/>
          </w:tcPr>
          <w:p w14:paraId="2A73B49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49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B49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49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3,852</w:t>
            </w:r>
          </w:p>
        </w:tc>
        <w:tc>
          <w:tcPr>
            <w:tcW w:w="0" w:type="auto"/>
            <w:tcBorders>
              <w:bottom w:val="double" w:sz="6" w:space="0" w:color="000000"/>
            </w:tcBorders>
            <w:shd w:val="clear" w:color="auto" w:fill="auto"/>
            <w:vAlign w:val="bottom"/>
          </w:tcPr>
          <w:p w14:paraId="2A73B49E" w14:textId="77777777" w:rsidR="00FA5565" w:rsidRDefault="00FA5565">
            <w:pPr>
              <w:textAlignment w:val="bottom"/>
              <w:rPr>
                <w:rFonts w:ascii="Times New Roman" w:hAnsi="Times New Roman"/>
                <w:sz w:val="20"/>
                <w:szCs w:val="20"/>
              </w:rPr>
            </w:pPr>
          </w:p>
        </w:tc>
      </w:tr>
    </w:tbl>
    <w:p w14:paraId="2A73B4A0" w14:textId="77777777" w:rsidR="00FA5565" w:rsidRDefault="00FA5565">
      <w:pPr>
        <w:spacing w:line="288" w:lineRule="auto"/>
        <w:jc w:val="both"/>
        <w:rPr>
          <w:rFonts w:ascii="Times New Roman" w:hAnsi="Times New Roman"/>
          <w:sz w:val="20"/>
          <w:szCs w:val="20"/>
        </w:rPr>
      </w:pPr>
    </w:p>
    <w:p w14:paraId="2A73B4A1"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Term Debt</w:t>
      </w:r>
    </w:p>
    <w:p w14:paraId="2A73B4A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As of September 28, 2019, the Company had outstanding floating- and fixed-rate notes with varying </w:t>
      </w:r>
      <w:r>
        <w:rPr>
          <w:rFonts w:ascii="Helvetica" w:eastAsia="Helvetica" w:hAnsi="Helvetica" w:cs="Helvetica"/>
          <w:sz w:val="18"/>
          <w:szCs w:val="18"/>
        </w:rPr>
        <w:t xml:space="preserve">maturities for an aggregate principal amount of $101.7 billion (collectively the “Notes”). The Notes are senior unsecured obligations and interest is payable in arrears. The following table provides a summary of the Company’s term debt as of September 28, </w:t>
      </w:r>
      <w:r>
        <w:rPr>
          <w:rFonts w:ascii="Helvetica" w:eastAsia="Helvetica" w:hAnsi="Helvetica" w:cs="Helvetica"/>
          <w:sz w:val="18"/>
          <w:szCs w:val="18"/>
        </w:rPr>
        <w:t>2019 and September 29, 2018:</w:t>
      </w:r>
    </w:p>
    <w:tbl>
      <w:tblPr>
        <w:tblW w:w="5000" w:type="pct"/>
        <w:tblCellMar>
          <w:left w:w="0" w:type="dxa"/>
          <w:right w:w="0" w:type="dxa"/>
        </w:tblCellMar>
        <w:tblLook w:val="04A0" w:firstRow="1" w:lastRow="0" w:firstColumn="1" w:lastColumn="0" w:noHBand="0" w:noVBand="1"/>
      </w:tblPr>
      <w:tblGrid>
        <w:gridCol w:w="2533"/>
        <w:gridCol w:w="436"/>
        <w:gridCol w:w="169"/>
        <w:gridCol w:w="436"/>
        <w:gridCol w:w="130"/>
        <w:gridCol w:w="129"/>
        <w:gridCol w:w="540"/>
        <w:gridCol w:w="94"/>
        <w:gridCol w:w="130"/>
        <w:gridCol w:w="130"/>
        <w:gridCol w:w="534"/>
        <w:gridCol w:w="169"/>
        <w:gridCol w:w="352"/>
        <w:gridCol w:w="183"/>
        <w:gridCol w:w="130"/>
        <w:gridCol w:w="129"/>
        <w:gridCol w:w="490"/>
        <w:gridCol w:w="94"/>
        <w:gridCol w:w="130"/>
        <w:gridCol w:w="130"/>
        <w:gridCol w:w="534"/>
        <w:gridCol w:w="169"/>
        <w:gridCol w:w="352"/>
        <w:gridCol w:w="183"/>
      </w:tblGrid>
      <w:tr w:rsidR="00FA5565" w14:paraId="2A73B4A4" w14:textId="77777777">
        <w:tc>
          <w:tcPr>
            <w:tcW w:w="0" w:type="auto"/>
            <w:gridSpan w:val="24"/>
            <w:shd w:val="clear" w:color="auto" w:fill="auto"/>
            <w:vAlign w:val="center"/>
          </w:tcPr>
          <w:p w14:paraId="2A73B4A3" w14:textId="77777777" w:rsidR="00FA5565" w:rsidRDefault="00FA5565">
            <w:pPr>
              <w:rPr>
                <w:rFonts w:ascii="Times New Roman" w:hAnsi="Times New Roman"/>
                <w:sz w:val="20"/>
                <w:szCs w:val="20"/>
              </w:rPr>
            </w:pPr>
          </w:p>
        </w:tc>
      </w:tr>
      <w:tr w:rsidR="00FA5565" w14:paraId="2A73B4BD" w14:textId="77777777">
        <w:tc>
          <w:tcPr>
            <w:tcW w:w="1600" w:type="pct"/>
            <w:shd w:val="clear" w:color="auto" w:fill="auto"/>
            <w:vAlign w:val="center"/>
          </w:tcPr>
          <w:p w14:paraId="2A73B4A5" w14:textId="77777777" w:rsidR="00FA5565" w:rsidRDefault="00FA5565">
            <w:pPr>
              <w:rPr>
                <w:rFonts w:ascii="Times New Roman" w:hAnsi="Times New Roman"/>
                <w:sz w:val="20"/>
                <w:szCs w:val="20"/>
              </w:rPr>
            </w:pPr>
          </w:p>
        </w:tc>
        <w:tc>
          <w:tcPr>
            <w:tcW w:w="250" w:type="pct"/>
            <w:shd w:val="clear" w:color="auto" w:fill="auto"/>
            <w:vAlign w:val="center"/>
          </w:tcPr>
          <w:p w14:paraId="2A73B4A6" w14:textId="77777777" w:rsidR="00FA5565" w:rsidRDefault="00FA5565">
            <w:pPr>
              <w:rPr>
                <w:rFonts w:ascii="Times New Roman" w:hAnsi="Times New Roman"/>
                <w:sz w:val="20"/>
                <w:szCs w:val="20"/>
              </w:rPr>
            </w:pPr>
          </w:p>
        </w:tc>
        <w:tc>
          <w:tcPr>
            <w:tcW w:w="100" w:type="pct"/>
            <w:shd w:val="clear" w:color="auto" w:fill="auto"/>
            <w:vAlign w:val="center"/>
          </w:tcPr>
          <w:p w14:paraId="2A73B4A7" w14:textId="77777777" w:rsidR="00FA5565" w:rsidRDefault="00FA5565">
            <w:pPr>
              <w:rPr>
                <w:rFonts w:ascii="Times New Roman" w:hAnsi="Times New Roman"/>
                <w:sz w:val="20"/>
                <w:szCs w:val="20"/>
              </w:rPr>
            </w:pPr>
          </w:p>
        </w:tc>
        <w:tc>
          <w:tcPr>
            <w:tcW w:w="250" w:type="pct"/>
            <w:shd w:val="clear" w:color="auto" w:fill="auto"/>
            <w:vAlign w:val="center"/>
          </w:tcPr>
          <w:p w14:paraId="2A73B4A8" w14:textId="77777777" w:rsidR="00FA5565" w:rsidRDefault="00FA5565">
            <w:pPr>
              <w:rPr>
                <w:rFonts w:ascii="Times New Roman" w:hAnsi="Times New Roman"/>
                <w:sz w:val="20"/>
                <w:szCs w:val="20"/>
              </w:rPr>
            </w:pPr>
          </w:p>
        </w:tc>
        <w:tc>
          <w:tcPr>
            <w:tcW w:w="50" w:type="pct"/>
            <w:shd w:val="clear" w:color="auto" w:fill="auto"/>
            <w:vAlign w:val="center"/>
          </w:tcPr>
          <w:p w14:paraId="2A73B4A9" w14:textId="77777777" w:rsidR="00FA5565" w:rsidRDefault="00FA5565">
            <w:pPr>
              <w:rPr>
                <w:rFonts w:ascii="Times New Roman" w:hAnsi="Times New Roman"/>
                <w:sz w:val="20"/>
                <w:szCs w:val="20"/>
              </w:rPr>
            </w:pPr>
          </w:p>
        </w:tc>
        <w:tc>
          <w:tcPr>
            <w:tcW w:w="50" w:type="pct"/>
            <w:shd w:val="clear" w:color="auto" w:fill="auto"/>
            <w:vAlign w:val="center"/>
          </w:tcPr>
          <w:p w14:paraId="2A73B4AA" w14:textId="77777777" w:rsidR="00FA5565" w:rsidRDefault="00FA5565">
            <w:pPr>
              <w:rPr>
                <w:rFonts w:ascii="Times New Roman" w:hAnsi="Times New Roman"/>
                <w:sz w:val="20"/>
                <w:szCs w:val="20"/>
              </w:rPr>
            </w:pPr>
          </w:p>
        </w:tc>
        <w:tc>
          <w:tcPr>
            <w:tcW w:w="400" w:type="pct"/>
            <w:shd w:val="clear" w:color="auto" w:fill="auto"/>
            <w:vAlign w:val="center"/>
          </w:tcPr>
          <w:p w14:paraId="2A73B4AB" w14:textId="77777777" w:rsidR="00FA5565" w:rsidRDefault="00FA5565">
            <w:pPr>
              <w:rPr>
                <w:rFonts w:ascii="Times New Roman" w:hAnsi="Times New Roman"/>
                <w:sz w:val="20"/>
                <w:szCs w:val="20"/>
              </w:rPr>
            </w:pPr>
          </w:p>
        </w:tc>
        <w:tc>
          <w:tcPr>
            <w:tcW w:w="50" w:type="pct"/>
            <w:shd w:val="clear" w:color="auto" w:fill="auto"/>
            <w:vAlign w:val="center"/>
          </w:tcPr>
          <w:p w14:paraId="2A73B4AC" w14:textId="77777777" w:rsidR="00FA5565" w:rsidRDefault="00FA5565">
            <w:pPr>
              <w:rPr>
                <w:rFonts w:ascii="Times New Roman" w:hAnsi="Times New Roman"/>
                <w:sz w:val="20"/>
                <w:szCs w:val="20"/>
              </w:rPr>
            </w:pPr>
          </w:p>
        </w:tc>
        <w:tc>
          <w:tcPr>
            <w:tcW w:w="50" w:type="pct"/>
            <w:shd w:val="clear" w:color="auto" w:fill="auto"/>
            <w:vAlign w:val="center"/>
          </w:tcPr>
          <w:p w14:paraId="2A73B4AD" w14:textId="77777777" w:rsidR="00FA5565" w:rsidRDefault="00FA5565">
            <w:pPr>
              <w:rPr>
                <w:rFonts w:ascii="Times New Roman" w:hAnsi="Times New Roman"/>
                <w:sz w:val="20"/>
                <w:szCs w:val="20"/>
              </w:rPr>
            </w:pPr>
          </w:p>
        </w:tc>
        <w:tc>
          <w:tcPr>
            <w:tcW w:w="100" w:type="pct"/>
            <w:shd w:val="clear" w:color="auto" w:fill="auto"/>
            <w:vAlign w:val="center"/>
          </w:tcPr>
          <w:p w14:paraId="2A73B4AE" w14:textId="77777777" w:rsidR="00FA5565" w:rsidRDefault="00FA5565">
            <w:pPr>
              <w:rPr>
                <w:rFonts w:ascii="Times New Roman" w:hAnsi="Times New Roman"/>
                <w:sz w:val="20"/>
                <w:szCs w:val="20"/>
              </w:rPr>
            </w:pPr>
          </w:p>
        </w:tc>
        <w:tc>
          <w:tcPr>
            <w:tcW w:w="300" w:type="pct"/>
            <w:shd w:val="clear" w:color="auto" w:fill="auto"/>
            <w:vAlign w:val="center"/>
          </w:tcPr>
          <w:p w14:paraId="2A73B4AF" w14:textId="77777777" w:rsidR="00FA5565" w:rsidRDefault="00FA5565">
            <w:pPr>
              <w:rPr>
                <w:rFonts w:ascii="Times New Roman" w:hAnsi="Times New Roman"/>
                <w:sz w:val="20"/>
                <w:szCs w:val="20"/>
              </w:rPr>
            </w:pPr>
          </w:p>
        </w:tc>
        <w:tc>
          <w:tcPr>
            <w:tcW w:w="100" w:type="pct"/>
            <w:shd w:val="clear" w:color="auto" w:fill="auto"/>
            <w:vAlign w:val="center"/>
          </w:tcPr>
          <w:p w14:paraId="2A73B4B0" w14:textId="77777777" w:rsidR="00FA5565" w:rsidRDefault="00FA5565">
            <w:pPr>
              <w:rPr>
                <w:rFonts w:ascii="Times New Roman" w:hAnsi="Times New Roman"/>
                <w:sz w:val="20"/>
                <w:szCs w:val="20"/>
              </w:rPr>
            </w:pPr>
          </w:p>
        </w:tc>
        <w:tc>
          <w:tcPr>
            <w:tcW w:w="250" w:type="pct"/>
            <w:shd w:val="clear" w:color="auto" w:fill="auto"/>
            <w:vAlign w:val="center"/>
          </w:tcPr>
          <w:p w14:paraId="2A73B4B1" w14:textId="77777777" w:rsidR="00FA5565" w:rsidRDefault="00FA5565">
            <w:pPr>
              <w:rPr>
                <w:rFonts w:ascii="Times New Roman" w:hAnsi="Times New Roman"/>
                <w:sz w:val="20"/>
                <w:szCs w:val="20"/>
              </w:rPr>
            </w:pPr>
          </w:p>
        </w:tc>
        <w:tc>
          <w:tcPr>
            <w:tcW w:w="50" w:type="pct"/>
            <w:shd w:val="clear" w:color="auto" w:fill="auto"/>
            <w:vAlign w:val="center"/>
          </w:tcPr>
          <w:p w14:paraId="2A73B4B2" w14:textId="77777777" w:rsidR="00FA5565" w:rsidRDefault="00FA5565">
            <w:pPr>
              <w:rPr>
                <w:rFonts w:ascii="Times New Roman" w:hAnsi="Times New Roman"/>
                <w:sz w:val="20"/>
                <w:szCs w:val="20"/>
              </w:rPr>
            </w:pPr>
          </w:p>
        </w:tc>
        <w:tc>
          <w:tcPr>
            <w:tcW w:w="50" w:type="pct"/>
            <w:shd w:val="clear" w:color="auto" w:fill="auto"/>
            <w:vAlign w:val="center"/>
          </w:tcPr>
          <w:p w14:paraId="2A73B4B3" w14:textId="77777777" w:rsidR="00FA5565" w:rsidRDefault="00FA5565">
            <w:pPr>
              <w:rPr>
                <w:rFonts w:ascii="Times New Roman" w:hAnsi="Times New Roman"/>
                <w:sz w:val="20"/>
                <w:szCs w:val="20"/>
              </w:rPr>
            </w:pPr>
          </w:p>
        </w:tc>
        <w:tc>
          <w:tcPr>
            <w:tcW w:w="50" w:type="pct"/>
            <w:shd w:val="clear" w:color="auto" w:fill="auto"/>
            <w:vAlign w:val="center"/>
          </w:tcPr>
          <w:p w14:paraId="2A73B4B4" w14:textId="77777777" w:rsidR="00FA5565" w:rsidRDefault="00FA5565">
            <w:pPr>
              <w:rPr>
                <w:rFonts w:ascii="Times New Roman" w:hAnsi="Times New Roman"/>
                <w:sz w:val="20"/>
                <w:szCs w:val="20"/>
              </w:rPr>
            </w:pPr>
          </w:p>
        </w:tc>
        <w:tc>
          <w:tcPr>
            <w:tcW w:w="400" w:type="pct"/>
            <w:shd w:val="clear" w:color="auto" w:fill="auto"/>
            <w:vAlign w:val="center"/>
          </w:tcPr>
          <w:p w14:paraId="2A73B4B5" w14:textId="77777777" w:rsidR="00FA5565" w:rsidRDefault="00FA5565">
            <w:pPr>
              <w:rPr>
                <w:rFonts w:ascii="Times New Roman" w:hAnsi="Times New Roman"/>
                <w:sz w:val="20"/>
                <w:szCs w:val="20"/>
              </w:rPr>
            </w:pPr>
          </w:p>
        </w:tc>
        <w:tc>
          <w:tcPr>
            <w:tcW w:w="50" w:type="pct"/>
            <w:shd w:val="clear" w:color="auto" w:fill="auto"/>
            <w:vAlign w:val="center"/>
          </w:tcPr>
          <w:p w14:paraId="2A73B4B6" w14:textId="77777777" w:rsidR="00FA5565" w:rsidRDefault="00FA5565">
            <w:pPr>
              <w:rPr>
                <w:rFonts w:ascii="Times New Roman" w:hAnsi="Times New Roman"/>
                <w:sz w:val="20"/>
                <w:szCs w:val="20"/>
              </w:rPr>
            </w:pPr>
          </w:p>
        </w:tc>
        <w:tc>
          <w:tcPr>
            <w:tcW w:w="50" w:type="pct"/>
            <w:shd w:val="clear" w:color="auto" w:fill="auto"/>
            <w:vAlign w:val="center"/>
          </w:tcPr>
          <w:p w14:paraId="2A73B4B7" w14:textId="77777777" w:rsidR="00FA5565" w:rsidRDefault="00FA5565">
            <w:pPr>
              <w:rPr>
                <w:rFonts w:ascii="Times New Roman" w:hAnsi="Times New Roman"/>
                <w:sz w:val="20"/>
                <w:szCs w:val="20"/>
              </w:rPr>
            </w:pPr>
          </w:p>
        </w:tc>
        <w:tc>
          <w:tcPr>
            <w:tcW w:w="100" w:type="pct"/>
            <w:shd w:val="clear" w:color="auto" w:fill="auto"/>
            <w:vAlign w:val="center"/>
          </w:tcPr>
          <w:p w14:paraId="2A73B4B8" w14:textId="77777777" w:rsidR="00FA5565" w:rsidRDefault="00FA5565">
            <w:pPr>
              <w:rPr>
                <w:rFonts w:ascii="Times New Roman" w:hAnsi="Times New Roman"/>
                <w:sz w:val="20"/>
                <w:szCs w:val="20"/>
              </w:rPr>
            </w:pPr>
          </w:p>
        </w:tc>
        <w:tc>
          <w:tcPr>
            <w:tcW w:w="300" w:type="pct"/>
            <w:shd w:val="clear" w:color="auto" w:fill="auto"/>
            <w:vAlign w:val="center"/>
          </w:tcPr>
          <w:p w14:paraId="2A73B4B9" w14:textId="77777777" w:rsidR="00FA5565" w:rsidRDefault="00FA5565">
            <w:pPr>
              <w:rPr>
                <w:rFonts w:ascii="Times New Roman" w:hAnsi="Times New Roman"/>
                <w:sz w:val="20"/>
                <w:szCs w:val="20"/>
              </w:rPr>
            </w:pPr>
          </w:p>
        </w:tc>
        <w:tc>
          <w:tcPr>
            <w:tcW w:w="100" w:type="pct"/>
            <w:shd w:val="clear" w:color="auto" w:fill="auto"/>
            <w:vAlign w:val="center"/>
          </w:tcPr>
          <w:p w14:paraId="2A73B4BA" w14:textId="77777777" w:rsidR="00FA5565" w:rsidRDefault="00FA5565">
            <w:pPr>
              <w:rPr>
                <w:rFonts w:ascii="Times New Roman" w:hAnsi="Times New Roman"/>
                <w:sz w:val="20"/>
                <w:szCs w:val="20"/>
              </w:rPr>
            </w:pPr>
          </w:p>
        </w:tc>
        <w:tc>
          <w:tcPr>
            <w:tcW w:w="250" w:type="pct"/>
            <w:shd w:val="clear" w:color="auto" w:fill="auto"/>
            <w:vAlign w:val="center"/>
          </w:tcPr>
          <w:p w14:paraId="2A73B4BB" w14:textId="77777777" w:rsidR="00FA5565" w:rsidRDefault="00FA5565">
            <w:pPr>
              <w:rPr>
                <w:rFonts w:ascii="Times New Roman" w:hAnsi="Times New Roman"/>
                <w:sz w:val="20"/>
                <w:szCs w:val="20"/>
              </w:rPr>
            </w:pPr>
          </w:p>
        </w:tc>
        <w:tc>
          <w:tcPr>
            <w:tcW w:w="50" w:type="pct"/>
            <w:shd w:val="clear" w:color="auto" w:fill="auto"/>
            <w:vAlign w:val="center"/>
          </w:tcPr>
          <w:p w14:paraId="2A73B4BC" w14:textId="77777777" w:rsidR="00FA5565" w:rsidRDefault="00FA5565">
            <w:pPr>
              <w:rPr>
                <w:rFonts w:ascii="Times New Roman" w:hAnsi="Times New Roman"/>
                <w:sz w:val="20"/>
                <w:szCs w:val="20"/>
              </w:rPr>
            </w:pPr>
          </w:p>
        </w:tc>
      </w:tr>
      <w:tr w:rsidR="00FA5565" w14:paraId="2A73B4C5" w14:textId="77777777">
        <w:tc>
          <w:tcPr>
            <w:tcW w:w="0" w:type="auto"/>
            <w:shd w:val="clear" w:color="auto" w:fill="auto"/>
            <w:tcMar>
              <w:top w:w="40" w:type="dxa"/>
              <w:left w:w="40" w:type="dxa"/>
              <w:bottom w:w="40" w:type="dxa"/>
              <w:right w:w="40" w:type="dxa"/>
            </w:tcMar>
            <w:vAlign w:val="bottom"/>
          </w:tcPr>
          <w:p w14:paraId="2A73B4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2A73B4B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Maturities</w:t>
            </w:r>
          </w:p>
          <w:p w14:paraId="2A73B4C0"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(calendar year)</w:t>
            </w:r>
          </w:p>
        </w:tc>
        <w:tc>
          <w:tcPr>
            <w:tcW w:w="0" w:type="auto"/>
            <w:vMerge w:val="restart"/>
            <w:shd w:val="clear" w:color="auto" w:fill="auto"/>
            <w:tcMar>
              <w:top w:w="40" w:type="dxa"/>
              <w:left w:w="40" w:type="dxa"/>
              <w:bottom w:w="40" w:type="dxa"/>
              <w:right w:w="40" w:type="dxa"/>
            </w:tcMar>
            <w:vAlign w:val="bottom"/>
          </w:tcPr>
          <w:p w14:paraId="2A73B4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000000"/>
            </w:tcBorders>
            <w:shd w:val="clear" w:color="auto" w:fill="auto"/>
            <w:tcMar>
              <w:top w:w="40" w:type="dxa"/>
              <w:left w:w="40" w:type="dxa"/>
              <w:bottom w:w="40" w:type="dxa"/>
            </w:tcMar>
            <w:vAlign w:val="bottom"/>
          </w:tcPr>
          <w:p w14:paraId="2A73B4C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4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tcBorders>
              <w:bottom w:val="single" w:sz="8" w:space="0" w:color="000000"/>
            </w:tcBorders>
            <w:shd w:val="clear" w:color="auto" w:fill="auto"/>
            <w:tcMar>
              <w:top w:w="40" w:type="dxa"/>
              <w:left w:w="40" w:type="dxa"/>
              <w:bottom w:w="40" w:type="dxa"/>
            </w:tcMar>
            <w:vAlign w:val="bottom"/>
          </w:tcPr>
          <w:p w14:paraId="2A73B4C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r>
      <w:tr w:rsidR="00FA5565" w14:paraId="2A73B4D4" w14:textId="77777777">
        <w:tc>
          <w:tcPr>
            <w:tcW w:w="0" w:type="auto"/>
            <w:shd w:val="clear" w:color="auto" w:fill="auto"/>
            <w:tcMar>
              <w:top w:w="40" w:type="dxa"/>
              <w:left w:w="40" w:type="dxa"/>
              <w:bottom w:w="40" w:type="dxa"/>
              <w:right w:w="40" w:type="dxa"/>
            </w:tcMar>
            <w:vAlign w:val="bottom"/>
          </w:tcPr>
          <w:p w14:paraId="2A73B4C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2A73B4C7" w14:textId="77777777" w:rsidR="00FA5565" w:rsidRDefault="00FA556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2A73B4C8" w14:textId="77777777" w:rsidR="00FA5565" w:rsidRDefault="00FA5565">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4C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Amount</w:t>
            </w:r>
          </w:p>
          <w:p w14:paraId="2A73B4CA"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(in millions)</w:t>
            </w:r>
          </w:p>
        </w:tc>
        <w:tc>
          <w:tcPr>
            <w:tcW w:w="0" w:type="auto"/>
            <w:shd w:val="clear" w:color="auto" w:fill="auto"/>
            <w:tcMar>
              <w:top w:w="40" w:type="dxa"/>
              <w:left w:w="40" w:type="dxa"/>
              <w:bottom w:w="40" w:type="dxa"/>
              <w:right w:w="40" w:type="dxa"/>
            </w:tcMar>
            <w:vAlign w:val="bottom"/>
          </w:tcPr>
          <w:p w14:paraId="2A73B4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2A73B4C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Effective</w:t>
            </w:r>
          </w:p>
          <w:p w14:paraId="2A73B4C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Interest Rate</w:t>
            </w:r>
          </w:p>
        </w:tc>
        <w:tc>
          <w:tcPr>
            <w:tcW w:w="0" w:type="auto"/>
            <w:shd w:val="clear" w:color="auto" w:fill="auto"/>
            <w:tcMar>
              <w:top w:w="40" w:type="dxa"/>
              <w:left w:w="40" w:type="dxa"/>
              <w:bottom w:w="40" w:type="dxa"/>
              <w:right w:w="40" w:type="dxa"/>
            </w:tcMar>
            <w:vAlign w:val="bottom"/>
          </w:tcPr>
          <w:p w14:paraId="2A73B4C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4C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Amount</w:t>
            </w:r>
          </w:p>
          <w:p w14:paraId="2A73B4D0"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(in millions)</w:t>
            </w:r>
          </w:p>
        </w:tc>
        <w:tc>
          <w:tcPr>
            <w:tcW w:w="0" w:type="auto"/>
            <w:shd w:val="clear" w:color="auto" w:fill="auto"/>
            <w:tcMar>
              <w:top w:w="40" w:type="dxa"/>
              <w:left w:w="40" w:type="dxa"/>
              <w:bottom w:w="40" w:type="dxa"/>
              <w:right w:w="40" w:type="dxa"/>
            </w:tcMar>
            <w:vAlign w:val="bottom"/>
          </w:tcPr>
          <w:p w14:paraId="2A73B4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2A73B4D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Effective</w:t>
            </w:r>
          </w:p>
          <w:p w14:paraId="2A73B4D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Interest Rate</w:t>
            </w:r>
          </w:p>
        </w:tc>
      </w:tr>
      <w:tr w:rsidR="00FA5565" w14:paraId="2A73B4E7" w14:textId="77777777">
        <w:tc>
          <w:tcPr>
            <w:tcW w:w="0" w:type="auto"/>
            <w:shd w:val="clear" w:color="auto" w:fill="auto"/>
            <w:tcMar>
              <w:top w:w="40" w:type="dxa"/>
              <w:left w:w="40" w:type="dxa"/>
              <w:bottom w:w="40" w:type="dxa"/>
              <w:right w:w="40" w:type="dxa"/>
            </w:tcMar>
            <w:vAlign w:val="bottom"/>
          </w:tcPr>
          <w:p w14:paraId="2A73B4D5"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2013–2018 debt issuances:</w:t>
            </w:r>
          </w:p>
        </w:tc>
        <w:tc>
          <w:tcPr>
            <w:tcW w:w="0" w:type="auto"/>
            <w:shd w:val="clear" w:color="auto" w:fill="auto"/>
            <w:tcMar>
              <w:top w:w="40" w:type="dxa"/>
              <w:left w:w="40" w:type="dxa"/>
              <w:bottom w:w="40" w:type="dxa"/>
              <w:right w:w="40" w:type="dxa"/>
            </w:tcMar>
            <w:vAlign w:val="bottom"/>
          </w:tcPr>
          <w:p w14:paraId="2A73B4D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D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D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4D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D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D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B4D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E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4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E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E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E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4E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B4E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500" w14:textId="77777777">
        <w:tc>
          <w:tcPr>
            <w:tcW w:w="0" w:type="auto"/>
            <w:shd w:val="clear" w:color="auto" w:fill="EFEFEF"/>
            <w:tcMar>
              <w:top w:w="40" w:type="dxa"/>
              <w:left w:w="560" w:type="dxa"/>
              <w:bottom w:w="40" w:type="dxa"/>
              <w:right w:w="40" w:type="dxa"/>
            </w:tcMar>
            <w:vAlign w:val="bottom"/>
          </w:tcPr>
          <w:p w14:paraId="2A73B4E8" w14:textId="77777777" w:rsidR="00FA5565" w:rsidRDefault="00D804D1">
            <w:pPr>
              <w:ind w:hanging="240"/>
              <w:textAlignment w:val="bottom"/>
              <w:rPr>
                <w:rFonts w:ascii="Times New Roman" w:hAnsi="Times New Roman"/>
                <w:sz w:val="16"/>
                <w:szCs w:val="16"/>
              </w:rPr>
            </w:pPr>
            <w:r>
              <w:rPr>
                <w:rFonts w:ascii="Helvetica" w:eastAsia="Helvetica" w:hAnsi="Helvetica" w:cs="Helvetica"/>
                <w:sz w:val="16"/>
                <w:szCs w:val="16"/>
              </w:rPr>
              <w:t>Floating-rate notes</w:t>
            </w:r>
          </w:p>
        </w:tc>
        <w:tc>
          <w:tcPr>
            <w:tcW w:w="0" w:type="auto"/>
            <w:shd w:val="clear" w:color="auto" w:fill="EFEFEF"/>
            <w:tcMar>
              <w:top w:w="40" w:type="dxa"/>
              <w:left w:w="40" w:type="dxa"/>
              <w:bottom w:w="40" w:type="dxa"/>
              <w:right w:w="40" w:type="dxa"/>
            </w:tcMar>
            <w:vAlign w:val="bottom"/>
          </w:tcPr>
          <w:p w14:paraId="2A73B4E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2020</w:t>
            </w:r>
          </w:p>
        </w:tc>
        <w:tc>
          <w:tcPr>
            <w:tcW w:w="0" w:type="auto"/>
            <w:shd w:val="clear" w:color="auto" w:fill="EFEFEF"/>
            <w:tcMar>
              <w:top w:w="40" w:type="dxa"/>
              <w:left w:w="40" w:type="dxa"/>
              <w:bottom w:w="40" w:type="dxa"/>
              <w:right w:w="40" w:type="dxa"/>
            </w:tcMar>
            <w:vAlign w:val="bottom"/>
          </w:tcPr>
          <w:p w14:paraId="2A73B4EA"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B4EB"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2022</w:t>
            </w:r>
          </w:p>
        </w:tc>
        <w:tc>
          <w:tcPr>
            <w:tcW w:w="0" w:type="auto"/>
            <w:shd w:val="clear" w:color="auto" w:fill="EFEFEF"/>
            <w:tcMar>
              <w:top w:w="40" w:type="dxa"/>
              <w:left w:w="40" w:type="dxa"/>
              <w:bottom w:w="40" w:type="dxa"/>
              <w:right w:w="40" w:type="dxa"/>
            </w:tcMar>
            <w:vAlign w:val="bottom"/>
          </w:tcPr>
          <w:p w14:paraId="2A73B4E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4ED"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bottom w:w="40" w:type="dxa"/>
            </w:tcMar>
            <w:vAlign w:val="bottom"/>
          </w:tcPr>
          <w:p w14:paraId="2A73B4E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4,250</w:t>
            </w:r>
          </w:p>
        </w:tc>
        <w:tc>
          <w:tcPr>
            <w:tcW w:w="0" w:type="auto"/>
            <w:shd w:val="clear" w:color="auto" w:fill="EFEFEF"/>
            <w:vAlign w:val="bottom"/>
          </w:tcPr>
          <w:p w14:paraId="2A73B4E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4F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4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4F2"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2.25%</w:t>
            </w:r>
          </w:p>
        </w:tc>
        <w:tc>
          <w:tcPr>
            <w:tcW w:w="0" w:type="auto"/>
            <w:shd w:val="clear" w:color="auto" w:fill="EFEFEF"/>
            <w:tcMar>
              <w:top w:w="40" w:type="dxa"/>
              <w:left w:w="40" w:type="dxa"/>
              <w:bottom w:w="40" w:type="dxa"/>
              <w:right w:w="40" w:type="dxa"/>
            </w:tcMar>
            <w:vAlign w:val="bottom"/>
          </w:tcPr>
          <w:p w14:paraId="2A73B4F3"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tcMar>
            <w:vAlign w:val="bottom"/>
          </w:tcPr>
          <w:p w14:paraId="2A73B4F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3.28</w:t>
            </w:r>
          </w:p>
        </w:tc>
        <w:tc>
          <w:tcPr>
            <w:tcW w:w="0" w:type="auto"/>
            <w:shd w:val="clear" w:color="auto" w:fill="EFEFEF"/>
            <w:tcMar>
              <w:top w:w="40" w:type="dxa"/>
              <w:bottom w:w="40" w:type="dxa"/>
              <w:right w:w="40" w:type="dxa"/>
            </w:tcMar>
            <w:vAlign w:val="bottom"/>
          </w:tcPr>
          <w:p w14:paraId="2A73B4F5"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B4F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4F7"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bottom w:w="40" w:type="dxa"/>
            </w:tcMar>
            <w:vAlign w:val="bottom"/>
          </w:tcPr>
          <w:p w14:paraId="2A73B4F8"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7,107</w:t>
            </w:r>
          </w:p>
        </w:tc>
        <w:tc>
          <w:tcPr>
            <w:tcW w:w="0" w:type="auto"/>
            <w:shd w:val="clear" w:color="auto" w:fill="EFEFEF"/>
            <w:vAlign w:val="bottom"/>
          </w:tcPr>
          <w:p w14:paraId="2A73B4F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4F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4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4FC"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1.87%</w:t>
            </w:r>
          </w:p>
        </w:tc>
        <w:tc>
          <w:tcPr>
            <w:tcW w:w="0" w:type="auto"/>
            <w:shd w:val="clear" w:color="auto" w:fill="EFEFEF"/>
            <w:tcMar>
              <w:top w:w="40" w:type="dxa"/>
              <w:left w:w="40" w:type="dxa"/>
              <w:bottom w:w="40" w:type="dxa"/>
              <w:right w:w="40" w:type="dxa"/>
            </w:tcMar>
            <w:vAlign w:val="bottom"/>
          </w:tcPr>
          <w:p w14:paraId="2A73B4FD"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tcMar>
            <w:vAlign w:val="bottom"/>
          </w:tcPr>
          <w:p w14:paraId="2A73B4FE"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3.44</w:t>
            </w:r>
          </w:p>
        </w:tc>
        <w:tc>
          <w:tcPr>
            <w:tcW w:w="0" w:type="auto"/>
            <w:shd w:val="clear" w:color="auto" w:fill="EFEFEF"/>
            <w:tcMar>
              <w:top w:w="40" w:type="dxa"/>
              <w:bottom w:w="40" w:type="dxa"/>
              <w:right w:w="40" w:type="dxa"/>
            </w:tcMar>
            <w:vAlign w:val="bottom"/>
          </w:tcPr>
          <w:p w14:paraId="2A73B4FF"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r>
      <w:tr w:rsidR="00FA5565" w14:paraId="2A73B517" w14:textId="77777777">
        <w:tc>
          <w:tcPr>
            <w:tcW w:w="0" w:type="auto"/>
            <w:shd w:val="clear" w:color="auto" w:fill="auto"/>
            <w:tcMar>
              <w:top w:w="40" w:type="dxa"/>
              <w:left w:w="560" w:type="dxa"/>
              <w:bottom w:w="40" w:type="dxa"/>
              <w:right w:w="40" w:type="dxa"/>
            </w:tcMar>
            <w:vAlign w:val="bottom"/>
          </w:tcPr>
          <w:p w14:paraId="2A73B501" w14:textId="77777777" w:rsidR="00FA5565" w:rsidRDefault="00D804D1">
            <w:pPr>
              <w:ind w:hanging="240"/>
              <w:textAlignment w:val="bottom"/>
              <w:rPr>
                <w:rFonts w:ascii="Times New Roman" w:hAnsi="Times New Roman"/>
                <w:sz w:val="16"/>
                <w:szCs w:val="16"/>
              </w:rPr>
            </w:pPr>
            <w:r>
              <w:rPr>
                <w:rFonts w:ascii="Helvetica" w:eastAsia="Helvetica" w:hAnsi="Helvetica" w:cs="Helvetica"/>
                <w:sz w:val="16"/>
                <w:szCs w:val="16"/>
              </w:rPr>
              <w:t>Fixed-rate 0.350% – 4.650% notes</w:t>
            </w:r>
          </w:p>
        </w:tc>
        <w:tc>
          <w:tcPr>
            <w:tcW w:w="0" w:type="auto"/>
            <w:shd w:val="clear" w:color="auto" w:fill="auto"/>
            <w:tcMar>
              <w:top w:w="40" w:type="dxa"/>
              <w:left w:w="40" w:type="dxa"/>
              <w:bottom w:w="40" w:type="dxa"/>
              <w:right w:w="40" w:type="dxa"/>
            </w:tcMar>
            <w:vAlign w:val="bottom"/>
          </w:tcPr>
          <w:p w14:paraId="2A73B50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2019</w:t>
            </w:r>
          </w:p>
        </w:tc>
        <w:tc>
          <w:tcPr>
            <w:tcW w:w="0" w:type="auto"/>
            <w:shd w:val="clear" w:color="auto" w:fill="auto"/>
            <w:tcMar>
              <w:top w:w="40" w:type="dxa"/>
              <w:left w:w="40" w:type="dxa"/>
              <w:bottom w:w="40" w:type="dxa"/>
              <w:right w:w="40" w:type="dxa"/>
            </w:tcMar>
            <w:vAlign w:val="bottom"/>
          </w:tcPr>
          <w:p w14:paraId="2A73B503"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B504"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2047</w:t>
            </w:r>
          </w:p>
        </w:tc>
        <w:tc>
          <w:tcPr>
            <w:tcW w:w="0" w:type="auto"/>
            <w:shd w:val="clear" w:color="auto" w:fill="auto"/>
            <w:tcMar>
              <w:top w:w="40" w:type="dxa"/>
              <w:left w:w="40" w:type="dxa"/>
              <w:bottom w:w="40" w:type="dxa"/>
              <w:right w:w="40" w:type="dxa"/>
            </w:tcMar>
            <w:vAlign w:val="bottom"/>
          </w:tcPr>
          <w:p w14:paraId="2A73B50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506"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90,429</w:t>
            </w:r>
          </w:p>
        </w:tc>
        <w:tc>
          <w:tcPr>
            <w:tcW w:w="0" w:type="auto"/>
            <w:shd w:val="clear" w:color="auto" w:fill="auto"/>
            <w:vAlign w:val="bottom"/>
          </w:tcPr>
          <w:p w14:paraId="2A73B50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5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0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0A"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0.28%</w:t>
            </w:r>
          </w:p>
        </w:tc>
        <w:tc>
          <w:tcPr>
            <w:tcW w:w="0" w:type="auto"/>
            <w:shd w:val="clear" w:color="auto" w:fill="auto"/>
            <w:tcMar>
              <w:top w:w="40" w:type="dxa"/>
              <w:left w:w="40" w:type="dxa"/>
              <w:bottom w:w="40" w:type="dxa"/>
              <w:right w:w="40" w:type="dxa"/>
            </w:tcMar>
            <w:vAlign w:val="bottom"/>
          </w:tcPr>
          <w:p w14:paraId="2A73B50B"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tcMar>
            <w:vAlign w:val="bottom"/>
          </w:tcPr>
          <w:p w14:paraId="2A73B50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4.78</w:t>
            </w:r>
          </w:p>
        </w:tc>
        <w:tc>
          <w:tcPr>
            <w:tcW w:w="0" w:type="auto"/>
            <w:shd w:val="clear" w:color="auto" w:fill="auto"/>
            <w:tcMar>
              <w:top w:w="40" w:type="dxa"/>
              <w:bottom w:w="40" w:type="dxa"/>
              <w:right w:w="40" w:type="dxa"/>
            </w:tcMar>
            <w:vAlign w:val="bottom"/>
          </w:tcPr>
          <w:p w14:paraId="2A73B50D"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B50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50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97,086</w:t>
            </w:r>
          </w:p>
        </w:tc>
        <w:tc>
          <w:tcPr>
            <w:tcW w:w="0" w:type="auto"/>
            <w:shd w:val="clear" w:color="auto" w:fill="auto"/>
            <w:vAlign w:val="bottom"/>
          </w:tcPr>
          <w:p w14:paraId="2A73B51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51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1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13"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0.28%</w:t>
            </w:r>
          </w:p>
        </w:tc>
        <w:tc>
          <w:tcPr>
            <w:tcW w:w="0" w:type="auto"/>
            <w:shd w:val="clear" w:color="auto" w:fill="auto"/>
            <w:tcMar>
              <w:top w:w="40" w:type="dxa"/>
              <w:left w:w="40" w:type="dxa"/>
              <w:bottom w:w="40" w:type="dxa"/>
              <w:right w:w="40" w:type="dxa"/>
            </w:tcMar>
            <w:vAlign w:val="bottom"/>
          </w:tcPr>
          <w:p w14:paraId="2A73B514"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tcMar>
            <w:vAlign w:val="bottom"/>
          </w:tcPr>
          <w:p w14:paraId="2A73B515"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4.78</w:t>
            </w:r>
          </w:p>
        </w:tc>
        <w:tc>
          <w:tcPr>
            <w:tcW w:w="0" w:type="auto"/>
            <w:shd w:val="clear" w:color="auto" w:fill="auto"/>
            <w:tcMar>
              <w:top w:w="40" w:type="dxa"/>
              <w:bottom w:w="40" w:type="dxa"/>
              <w:right w:w="40" w:type="dxa"/>
            </w:tcMar>
            <w:vAlign w:val="bottom"/>
          </w:tcPr>
          <w:p w14:paraId="2A73B516"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r>
      <w:tr w:rsidR="00FA5565" w14:paraId="2A73B52A" w14:textId="77777777">
        <w:tc>
          <w:tcPr>
            <w:tcW w:w="0" w:type="auto"/>
            <w:shd w:val="clear" w:color="auto" w:fill="EFEFEF"/>
            <w:tcMar>
              <w:top w:w="40" w:type="dxa"/>
              <w:left w:w="40" w:type="dxa"/>
              <w:bottom w:w="40" w:type="dxa"/>
              <w:right w:w="40" w:type="dxa"/>
            </w:tcMar>
            <w:vAlign w:val="bottom"/>
          </w:tcPr>
          <w:p w14:paraId="2A73B51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1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1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51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1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1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B52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5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2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2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2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2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B5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53D" w14:textId="77777777">
        <w:tc>
          <w:tcPr>
            <w:tcW w:w="0" w:type="auto"/>
            <w:shd w:val="clear" w:color="auto" w:fill="auto"/>
            <w:tcMar>
              <w:top w:w="40" w:type="dxa"/>
              <w:left w:w="40" w:type="dxa"/>
              <w:bottom w:w="40" w:type="dxa"/>
              <w:right w:w="40" w:type="dxa"/>
            </w:tcMar>
            <w:vAlign w:val="bottom"/>
          </w:tcPr>
          <w:p w14:paraId="2A73B52B" w14:textId="77777777" w:rsidR="00FA5565" w:rsidRDefault="00D804D1">
            <w:pPr>
              <w:ind w:hanging="240"/>
              <w:textAlignment w:val="bottom"/>
              <w:rPr>
                <w:rFonts w:ascii="Times New Roman" w:hAnsi="Times New Roman"/>
                <w:sz w:val="16"/>
                <w:szCs w:val="16"/>
              </w:rPr>
            </w:pPr>
            <w:r>
              <w:rPr>
                <w:rFonts w:ascii="Helvetica" w:eastAsia="Helvetica" w:hAnsi="Helvetica" w:cs="Helvetica"/>
                <w:sz w:val="16"/>
                <w:szCs w:val="16"/>
              </w:rPr>
              <w:t>2019 debt issuance:</w:t>
            </w:r>
          </w:p>
        </w:tc>
        <w:tc>
          <w:tcPr>
            <w:tcW w:w="0" w:type="auto"/>
            <w:shd w:val="clear" w:color="auto" w:fill="auto"/>
            <w:tcMar>
              <w:top w:w="40" w:type="dxa"/>
              <w:left w:w="40" w:type="dxa"/>
              <w:bottom w:w="40" w:type="dxa"/>
              <w:right w:w="40" w:type="dxa"/>
            </w:tcMar>
            <w:vAlign w:val="bottom"/>
          </w:tcPr>
          <w:p w14:paraId="2A73B5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2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2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53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3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3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3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B5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3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53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B5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554" w14:textId="77777777">
        <w:tc>
          <w:tcPr>
            <w:tcW w:w="0" w:type="auto"/>
            <w:shd w:val="clear" w:color="auto" w:fill="EFEFEF"/>
            <w:tcMar>
              <w:top w:w="40" w:type="dxa"/>
              <w:left w:w="560" w:type="dxa"/>
              <w:bottom w:w="40" w:type="dxa"/>
              <w:right w:w="40" w:type="dxa"/>
            </w:tcMar>
            <w:vAlign w:val="bottom"/>
          </w:tcPr>
          <w:p w14:paraId="2A73B53E"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Fixed-rate 1.700% – 2.950% notes</w:t>
            </w:r>
          </w:p>
        </w:tc>
        <w:tc>
          <w:tcPr>
            <w:tcW w:w="0" w:type="auto"/>
            <w:shd w:val="clear" w:color="auto" w:fill="EFEFEF"/>
            <w:tcMar>
              <w:top w:w="40" w:type="dxa"/>
              <w:left w:w="40" w:type="dxa"/>
              <w:bottom w:w="40" w:type="dxa"/>
              <w:right w:w="40" w:type="dxa"/>
            </w:tcMar>
            <w:vAlign w:val="bottom"/>
          </w:tcPr>
          <w:p w14:paraId="2A73B53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2022</w:t>
            </w:r>
          </w:p>
        </w:tc>
        <w:tc>
          <w:tcPr>
            <w:tcW w:w="0" w:type="auto"/>
            <w:shd w:val="clear" w:color="auto" w:fill="EFEFEF"/>
            <w:tcMar>
              <w:top w:w="40" w:type="dxa"/>
              <w:left w:w="40" w:type="dxa"/>
              <w:bottom w:w="40" w:type="dxa"/>
              <w:right w:w="40" w:type="dxa"/>
            </w:tcMar>
            <w:vAlign w:val="bottom"/>
          </w:tcPr>
          <w:p w14:paraId="2A73B540"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B541"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2049</w:t>
            </w:r>
          </w:p>
        </w:tc>
        <w:tc>
          <w:tcPr>
            <w:tcW w:w="0" w:type="auto"/>
            <w:shd w:val="clear" w:color="auto" w:fill="EFEFEF"/>
            <w:tcMar>
              <w:top w:w="40" w:type="dxa"/>
              <w:left w:w="40" w:type="dxa"/>
              <w:bottom w:w="40" w:type="dxa"/>
              <w:right w:w="40" w:type="dxa"/>
            </w:tcMar>
            <w:vAlign w:val="bottom"/>
          </w:tcPr>
          <w:p w14:paraId="2A73B54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543"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7,000</w:t>
            </w:r>
          </w:p>
        </w:tc>
        <w:tc>
          <w:tcPr>
            <w:tcW w:w="0" w:type="auto"/>
            <w:shd w:val="clear" w:color="auto" w:fill="EFEFEF"/>
            <w:vAlign w:val="bottom"/>
          </w:tcPr>
          <w:p w14:paraId="2A73B54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5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47"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1.71%</w:t>
            </w:r>
          </w:p>
        </w:tc>
        <w:tc>
          <w:tcPr>
            <w:tcW w:w="0" w:type="auto"/>
            <w:shd w:val="clear" w:color="auto" w:fill="EFEFEF"/>
            <w:tcMar>
              <w:top w:w="40" w:type="dxa"/>
              <w:left w:w="40" w:type="dxa"/>
              <w:bottom w:w="40" w:type="dxa"/>
              <w:right w:w="40" w:type="dxa"/>
            </w:tcMar>
            <w:vAlign w:val="bottom"/>
          </w:tcPr>
          <w:p w14:paraId="2A73B548"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tcMar>
            <w:vAlign w:val="bottom"/>
          </w:tcPr>
          <w:p w14:paraId="2A73B549"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2.99</w:t>
            </w:r>
          </w:p>
        </w:tc>
        <w:tc>
          <w:tcPr>
            <w:tcW w:w="0" w:type="auto"/>
            <w:shd w:val="clear" w:color="auto" w:fill="EFEFEF"/>
            <w:tcMar>
              <w:top w:w="40" w:type="dxa"/>
              <w:bottom w:w="40" w:type="dxa"/>
              <w:right w:w="40" w:type="dxa"/>
            </w:tcMar>
            <w:vAlign w:val="bottom"/>
          </w:tcPr>
          <w:p w14:paraId="2A73B54A"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B5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54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vAlign w:val="bottom"/>
          </w:tcPr>
          <w:p w14:paraId="2A73B54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5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4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5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5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55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bottom w:w="40" w:type="dxa"/>
              <w:right w:w="40" w:type="dxa"/>
            </w:tcMar>
            <w:vAlign w:val="bottom"/>
          </w:tcPr>
          <w:p w14:paraId="2A73B553"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r>
      <w:tr w:rsidR="00FA5565" w14:paraId="2A73B569" w14:textId="77777777">
        <w:tc>
          <w:tcPr>
            <w:tcW w:w="0" w:type="auto"/>
            <w:shd w:val="clear" w:color="auto" w:fill="auto"/>
            <w:tcMar>
              <w:top w:w="40" w:type="dxa"/>
              <w:left w:w="1040" w:type="dxa"/>
              <w:bottom w:w="40" w:type="dxa"/>
              <w:right w:w="40" w:type="dxa"/>
            </w:tcMar>
            <w:vAlign w:val="bottom"/>
          </w:tcPr>
          <w:p w14:paraId="2A73B555"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Total term debt</w:t>
            </w:r>
          </w:p>
        </w:tc>
        <w:tc>
          <w:tcPr>
            <w:tcW w:w="0" w:type="auto"/>
            <w:shd w:val="clear" w:color="auto" w:fill="auto"/>
            <w:tcMar>
              <w:top w:w="40" w:type="dxa"/>
              <w:left w:w="40" w:type="dxa"/>
              <w:bottom w:w="40" w:type="dxa"/>
              <w:right w:w="40" w:type="dxa"/>
            </w:tcMar>
            <w:vAlign w:val="bottom"/>
          </w:tcPr>
          <w:p w14:paraId="2A73B5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5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5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2A73B55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101,679</w:t>
            </w:r>
          </w:p>
        </w:tc>
        <w:tc>
          <w:tcPr>
            <w:tcW w:w="0" w:type="auto"/>
            <w:tcBorders>
              <w:top w:val="single" w:sz="8" w:space="0" w:color="000000"/>
            </w:tcBorders>
            <w:shd w:val="clear" w:color="auto" w:fill="auto"/>
            <w:vAlign w:val="bottom"/>
          </w:tcPr>
          <w:p w14:paraId="2A73B55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55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5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B5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6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2A73B56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104,193</w:t>
            </w:r>
          </w:p>
        </w:tc>
        <w:tc>
          <w:tcPr>
            <w:tcW w:w="0" w:type="auto"/>
            <w:tcBorders>
              <w:top w:val="single" w:sz="8" w:space="0" w:color="000000"/>
            </w:tcBorders>
            <w:shd w:val="clear" w:color="auto" w:fill="auto"/>
            <w:vAlign w:val="bottom"/>
          </w:tcPr>
          <w:p w14:paraId="2A73B56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5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6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6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B56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57C" w14:textId="77777777">
        <w:tc>
          <w:tcPr>
            <w:tcW w:w="0" w:type="auto"/>
            <w:shd w:val="clear" w:color="auto" w:fill="EFEFEF"/>
            <w:tcMar>
              <w:top w:w="40" w:type="dxa"/>
              <w:left w:w="40" w:type="dxa"/>
              <w:bottom w:w="40" w:type="dxa"/>
              <w:right w:w="40" w:type="dxa"/>
            </w:tcMar>
            <w:vAlign w:val="bottom"/>
          </w:tcPr>
          <w:p w14:paraId="2A73B5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6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6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56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7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7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7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7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B5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7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57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7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7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7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B57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591" w14:textId="77777777">
        <w:tc>
          <w:tcPr>
            <w:tcW w:w="0" w:type="auto"/>
            <w:shd w:val="clear" w:color="auto" w:fill="auto"/>
            <w:tcMar>
              <w:top w:w="40" w:type="dxa"/>
              <w:left w:w="560" w:type="dxa"/>
              <w:bottom w:w="40" w:type="dxa"/>
              <w:right w:w="40" w:type="dxa"/>
            </w:tcMar>
            <w:vAlign w:val="bottom"/>
          </w:tcPr>
          <w:p w14:paraId="2A73B57D" w14:textId="77777777" w:rsidR="00FA5565" w:rsidRDefault="00D804D1">
            <w:pPr>
              <w:ind w:hanging="240"/>
              <w:textAlignment w:val="bottom"/>
              <w:rPr>
                <w:rFonts w:ascii="Times New Roman" w:hAnsi="Times New Roman"/>
                <w:sz w:val="16"/>
                <w:szCs w:val="16"/>
              </w:rPr>
            </w:pPr>
            <w:r>
              <w:rPr>
                <w:rFonts w:ascii="Helvetica" w:eastAsia="Helvetica" w:hAnsi="Helvetica" w:cs="Helvetica"/>
                <w:sz w:val="16"/>
                <w:szCs w:val="16"/>
              </w:rPr>
              <w:t>Unamortized premium/(discount) and issuance costs, net</w:t>
            </w:r>
          </w:p>
        </w:tc>
        <w:tc>
          <w:tcPr>
            <w:tcW w:w="0" w:type="auto"/>
            <w:shd w:val="clear" w:color="auto" w:fill="auto"/>
            <w:tcMar>
              <w:top w:w="40" w:type="dxa"/>
              <w:left w:w="40" w:type="dxa"/>
              <w:bottom w:w="40" w:type="dxa"/>
              <w:right w:w="40" w:type="dxa"/>
            </w:tcMar>
            <w:vAlign w:val="bottom"/>
          </w:tcPr>
          <w:p w14:paraId="2A73B57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7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8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58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(224</w:t>
            </w:r>
          </w:p>
        </w:tc>
        <w:tc>
          <w:tcPr>
            <w:tcW w:w="0" w:type="auto"/>
            <w:shd w:val="clear" w:color="auto" w:fill="auto"/>
            <w:tcMar>
              <w:top w:w="40" w:type="dxa"/>
              <w:bottom w:w="40" w:type="dxa"/>
              <w:right w:w="40" w:type="dxa"/>
            </w:tcMar>
            <w:vAlign w:val="bottom"/>
          </w:tcPr>
          <w:p w14:paraId="2A73B583"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B58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8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8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B5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58A"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(218</w:t>
            </w:r>
          </w:p>
        </w:tc>
        <w:tc>
          <w:tcPr>
            <w:tcW w:w="0" w:type="auto"/>
            <w:shd w:val="clear" w:color="auto" w:fill="auto"/>
            <w:tcMar>
              <w:top w:w="40" w:type="dxa"/>
              <w:bottom w:w="40" w:type="dxa"/>
              <w:right w:w="40" w:type="dxa"/>
            </w:tcMar>
            <w:vAlign w:val="bottom"/>
          </w:tcPr>
          <w:p w14:paraId="2A73B58B"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B5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8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B5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5A6" w14:textId="77777777">
        <w:tc>
          <w:tcPr>
            <w:tcW w:w="0" w:type="auto"/>
            <w:shd w:val="clear" w:color="auto" w:fill="EFEFEF"/>
            <w:tcMar>
              <w:top w:w="40" w:type="dxa"/>
              <w:left w:w="560" w:type="dxa"/>
              <w:bottom w:w="40" w:type="dxa"/>
              <w:right w:w="40" w:type="dxa"/>
            </w:tcMar>
            <w:vAlign w:val="bottom"/>
          </w:tcPr>
          <w:p w14:paraId="2A73B592"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Hedge accounting fair value adjustments</w:t>
            </w:r>
          </w:p>
        </w:tc>
        <w:tc>
          <w:tcPr>
            <w:tcW w:w="0" w:type="auto"/>
            <w:shd w:val="clear" w:color="auto" w:fill="EFEFEF"/>
            <w:tcMar>
              <w:top w:w="40" w:type="dxa"/>
              <w:left w:w="40" w:type="dxa"/>
              <w:bottom w:w="40" w:type="dxa"/>
              <w:right w:w="40" w:type="dxa"/>
            </w:tcMar>
            <w:vAlign w:val="bottom"/>
          </w:tcPr>
          <w:p w14:paraId="2A73B59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9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9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597"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612</w:t>
            </w:r>
          </w:p>
        </w:tc>
        <w:tc>
          <w:tcPr>
            <w:tcW w:w="0" w:type="auto"/>
            <w:shd w:val="clear" w:color="auto" w:fill="EFEFEF"/>
            <w:vAlign w:val="bottom"/>
          </w:tcPr>
          <w:p w14:paraId="2A73B59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5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9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9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B59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9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59F"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(1,456</w:t>
            </w:r>
          </w:p>
        </w:tc>
        <w:tc>
          <w:tcPr>
            <w:tcW w:w="0" w:type="auto"/>
            <w:shd w:val="clear" w:color="auto" w:fill="EFEFEF"/>
            <w:tcMar>
              <w:top w:w="40" w:type="dxa"/>
              <w:bottom w:w="40" w:type="dxa"/>
              <w:right w:w="40" w:type="dxa"/>
            </w:tcMar>
            <w:vAlign w:val="bottom"/>
          </w:tcPr>
          <w:p w14:paraId="2A73B5A0"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EFEFEF"/>
            <w:tcMar>
              <w:top w:w="40" w:type="dxa"/>
              <w:left w:w="40" w:type="dxa"/>
              <w:bottom w:w="40" w:type="dxa"/>
              <w:right w:w="40" w:type="dxa"/>
            </w:tcMar>
            <w:vAlign w:val="bottom"/>
          </w:tcPr>
          <w:p w14:paraId="2A73B5A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A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A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A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B5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5BB" w14:textId="77777777">
        <w:tc>
          <w:tcPr>
            <w:tcW w:w="0" w:type="auto"/>
            <w:shd w:val="clear" w:color="auto" w:fill="auto"/>
            <w:tcMar>
              <w:top w:w="40" w:type="dxa"/>
              <w:left w:w="560" w:type="dxa"/>
              <w:bottom w:w="40" w:type="dxa"/>
              <w:right w:w="40" w:type="dxa"/>
            </w:tcMar>
            <w:vAlign w:val="bottom"/>
          </w:tcPr>
          <w:p w14:paraId="2A73B5A7"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Less: Current portion of term debt</w:t>
            </w:r>
          </w:p>
        </w:tc>
        <w:tc>
          <w:tcPr>
            <w:tcW w:w="0" w:type="auto"/>
            <w:shd w:val="clear" w:color="auto" w:fill="auto"/>
            <w:tcMar>
              <w:top w:w="40" w:type="dxa"/>
              <w:left w:w="40" w:type="dxa"/>
              <w:bottom w:w="40" w:type="dxa"/>
              <w:right w:w="40" w:type="dxa"/>
            </w:tcMar>
            <w:vAlign w:val="bottom"/>
          </w:tcPr>
          <w:p w14:paraId="2A73B5A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A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A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5AC"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(10,260</w:t>
            </w:r>
          </w:p>
        </w:tc>
        <w:tc>
          <w:tcPr>
            <w:tcW w:w="0" w:type="auto"/>
            <w:tcBorders>
              <w:bottom w:val="single" w:sz="8" w:space="0" w:color="000000"/>
            </w:tcBorders>
            <w:shd w:val="clear" w:color="auto" w:fill="auto"/>
            <w:tcMar>
              <w:top w:w="40" w:type="dxa"/>
              <w:bottom w:w="40" w:type="dxa"/>
              <w:right w:w="40" w:type="dxa"/>
            </w:tcMar>
            <w:vAlign w:val="bottom"/>
          </w:tcPr>
          <w:p w14:paraId="2A73B5AD"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B5A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A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B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B5B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B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5B4"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(8,784</w:t>
            </w:r>
          </w:p>
        </w:tc>
        <w:tc>
          <w:tcPr>
            <w:tcW w:w="0" w:type="auto"/>
            <w:tcBorders>
              <w:bottom w:val="single" w:sz="8" w:space="0" w:color="000000"/>
            </w:tcBorders>
            <w:shd w:val="clear" w:color="auto" w:fill="auto"/>
            <w:tcMar>
              <w:top w:w="40" w:type="dxa"/>
              <w:bottom w:w="40" w:type="dxa"/>
              <w:right w:w="40" w:type="dxa"/>
            </w:tcMar>
            <w:vAlign w:val="bottom"/>
          </w:tcPr>
          <w:p w14:paraId="2A73B5B5"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Mar>
              <w:top w:w="40" w:type="dxa"/>
              <w:left w:w="40" w:type="dxa"/>
              <w:bottom w:w="40" w:type="dxa"/>
              <w:right w:w="40" w:type="dxa"/>
            </w:tcMar>
            <w:vAlign w:val="bottom"/>
          </w:tcPr>
          <w:p w14:paraId="2A73B5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B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B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5B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2A73B5B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5D2" w14:textId="77777777">
        <w:tc>
          <w:tcPr>
            <w:tcW w:w="0" w:type="auto"/>
            <w:shd w:val="clear" w:color="auto" w:fill="EFEFEF"/>
            <w:tcMar>
              <w:top w:w="40" w:type="dxa"/>
              <w:left w:w="1040" w:type="dxa"/>
              <w:bottom w:w="40" w:type="dxa"/>
              <w:right w:w="40" w:type="dxa"/>
            </w:tcMar>
            <w:vAlign w:val="bottom"/>
          </w:tcPr>
          <w:p w14:paraId="2A73B5BC"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Total non-current portion of term debt</w:t>
            </w:r>
          </w:p>
        </w:tc>
        <w:tc>
          <w:tcPr>
            <w:tcW w:w="0" w:type="auto"/>
            <w:shd w:val="clear" w:color="auto" w:fill="EFEFEF"/>
            <w:tcMar>
              <w:top w:w="40" w:type="dxa"/>
              <w:left w:w="40" w:type="dxa"/>
              <w:bottom w:w="40" w:type="dxa"/>
              <w:right w:w="40" w:type="dxa"/>
            </w:tcMar>
            <w:vAlign w:val="bottom"/>
          </w:tcPr>
          <w:p w14:paraId="2A73B5B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B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C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5C1"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5C2"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91,807</w:t>
            </w:r>
          </w:p>
        </w:tc>
        <w:tc>
          <w:tcPr>
            <w:tcW w:w="0" w:type="auto"/>
            <w:tcBorders>
              <w:top w:val="single" w:sz="8" w:space="0" w:color="000000"/>
              <w:bottom w:val="double" w:sz="6" w:space="0" w:color="000000"/>
            </w:tcBorders>
            <w:shd w:val="clear" w:color="auto" w:fill="EFEFEF"/>
            <w:vAlign w:val="bottom"/>
          </w:tcPr>
          <w:p w14:paraId="2A73B5C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5C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C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C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B5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C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5CA" w14:textId="77777777" w:rsidR="00FA5565" w:rsidRDefault="00D804D1">
            <w:pPr>
              <w:textAlignment w:val="bottom"/>
              <w:rPr>
                <w:rFonts w:ascii="Times New Roman" w:hAnsi="Times New Roman"/>
                <w:sz w:val="16"/>
                <w:szCs w:val="16"/>
              </w:rPr>
            </w:pPr>
            <w:r>
              <w:rPr>
                <w:rFonts w:ascii="Helvetica" w:eastAsia="Helvetica" w:hAnsi="Helvetica" w:cs="Helvetica"/>
                <w:sz w:val="16"/>
                <w:szCs w:val="16"/>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5CB" w14:textId="77777777" w:rsidR="00FA5565" w:rsidRDefault="00D804D1">
            <w:pPr>
              <w:jc w:val="right"/>
              <w:textAlignment w:val="bottom"/>
              <w:rPr>
                <w:rFonts w:ascii="Times New Roman" w:hAnsi="Times New Roman"/>
                <w:sz w:val="16"/>
                <w:szCs w:val="16"/>
              </w:rPr>
            </w:pPr>
            <w:r>
              <w:rPr>
                <w:rFonts w:ascii="Helvetica" w:eastAsia="Helvetica" w:hAnsi="Helvetica" w:cs="Helvetica"/>
                <w:sz w:val="16"/>
                <w:szCs w:val="16"/>
              </w:rPr>
              <w:t>93,735</w:t>
            </w:r>
          </w:p>
        </w:tc>
        <w:tc>
          <w:tcPr>
            <w:tcW w:w="0" w:type="auto"/>
            <w:tcBorders>
              <w:top w:val="single" w:sz="8" w:space="0" w:color="000000"/>
              <w:bottom w:val="double" w:sz="6" w:space="0" w:color="000000"/>
            </w:tcBorders>
            <w:shd w:val="clear" w:color="auto" w:fill="EFEFEF"/>
            <w:vAlign w:val="bottom"/>
          </w:tcPr>
          <w:p w14:paraId="2A73B5C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5C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C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5D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right w:w="40" w:type="dxa"/>
            </w:tcMar>
            <w:vAlign w:val="bottom"/>
          </w:tcPr>
          <w:p w14:paraId="2A73B5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bl>
    <w:p w14:paraId="2A73B5D3" w14:textId="77777777" w:rsidR="00FA5565" w:rsidRDefault="00FA5565">
      <w:pPr>
        <w:spacing w:line="288" w:lineRule="auto"/>
        <w:jc w:val="both"/>
        <w:rPr>
          <w:rFonts w:ascii="Times New Roman" w:hAnsi="Times New Roman"/>
          <w:sz w:val="20"/>
          <w:szCs w:val="20"/>
        </w:rPr>
      </w:pPr>
    </w:p>
    <w:p w14:paraId="2A73B5D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To manage interest rate risk on certain of its U.S. dollar–denominated fixed- or floating-rate notes, the Company has entered into interest rate swaps to effectively convert the fixed interest rates to floating interest rates or the </w:t>
      </w:r>
      <w:r>
        <w:rPr>
          <w:rFonts w:ascii="Helvetica" w:eastAsia="Helvetica" w:hAnsi="Helvetica" w:cs="Helvetica"/>
          <w:sz w:val="18"/>
          <w:szCs w:val="18"/>
        </w:rPr>
        <w:t>floating interest rates to fixed interest rates on a portion of these notes. Additionally, to manage foreign currency risk on certain of its foreign currency–denominated notes, the Company has entered into foreign currency swaps to effectively convert thes</w:t>
      </w:r>
      <w:r>
        <w:rPr>
          <w:rFonts w:ascii="Helvetica" w:eastAsia="Helvetica" w:hAnsi="Helvetica" w:cs="Helvetica"/>
          <w:sz w:val="18"/>
          <w:szCs w:val="18"/>
        </w:rPr>
        <w:t>e notes to U.S. dollar–denominated notes.</w:t>
      </w:r>
    </w:p>
    <w:p w14:paraId="2A73B5D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 portion of the Company’s Japanese yen–denominated notes is designated as a hedge of the foreign currency exposure of the Company’s net investment in a foreign operation. As of September 28, 2019 and September 29,</w:t>
      </w:r>
      <w:r>
        <w:rPr>
          <w:rFonts w:ascii="Helvetica" w:eastAsia="Helvetica" w:hAnsi="Helvetica" w:cs="Helvetica"/>
          <w:sz w:val="18"/>
          <w:szCs w:val="18"/>
        </w:rPr>
        <w:t xml:space="preserve"> 2018, the carrying value of the debt designated as a net investment hedge was $1.0 billion and $811 million, respectively. For further discussion regarding the Company’s use of derivative instruments, refer to the Derivative Financial Instruments section </w:t>
      </w:r>
      <w:r>
        <w:rPr>
          <w:rFonts w:ascii="Helvetica" w:eastAsia="Helvetica" w:hAnsi="Helvetica" w:cs="Helvetica"/>
          <w:sz w:val="18"/>
          <w:szCs w:val="18"/>
        </w:rPr>
        <w:t>of Note 3, “Financial Instruments.”</w:t>
      </w:r>
    </w:p>
    <w:p w14:paraId="2A73B5D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effective interest rates for the Notes include the interest on the Notes, amortization of the discount or premium and, if applicable, adjustments related to hedging. The Company recognized $3.2 billion, $3.0 billion </w:t>
      </w:r>
      <w:r>
        <w:rPr>
          <w:rFonts w:ascii="Helvetica" w:eastAsia="Helvetica" w:hAnsi="Helvetica" w:cs="Helvetica"/>
          <w:sz w:val="18"/>
          <w:szCs w:val="18"/>
        </w:rPr>
        <w:t>and $2.2 billion of interest cost on its term debt for 2019, 2018 and 2017, respectively.</w:t>
      </w:r>
    </w:p>
    <w:p w14:paraId="2A73B5D7" w14:textId="77777777" w:rsidR="00FA5565" w:rsidRDefault="00FA5565">
      <w:pPr>
        <w:rPr>
          <w:rFonts w:ascii="Times New Roman" w:hAnsi="Times New Roman"/>
          <w:sz w:val="20"/>
          <w:szCs w:val="20"/>
        </w:rPr>
      </w:pPr>
    </w:p>
    <w:p w14:paraId="2A73B5D8"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47</w:t>
      </w:r>
    </w:p>
    <w:p w14:paraId="2A73B5D9" w14:textId="77777777" w:rsidR="00FA5565" w:rsidRDefault="00D804D1">
      <w:r>
        <w:rPr>
          <w:rFonts w:ascii="Times New Roman" w:hAnsi="Times New Roman"/>
          <w:sz w:val="16"/>
          <w:szCs w:val="16"/>
        </w:rPr>
        <w:pict w14:anchorId="2A73C0CB">
          <v:rect id="_x0000_i1073" style="width:415.3pt;height:1.5pt" o:hralign="center" o:hrstd="t" o:hr="t" fillcolor="#a0a0a0" stroked="f"/>
        </w:pict>
      </w:r>
    </w:p>
    <w:p w14:paraId="2A73B5DA" w14:textId="77777777" w:rsidR="00FA5565" w:rsidRDefault="00FA5565">
      <w:pPr>
        <w:rPr>
          <w:rFonts w:ascii="Times New Roman" w:hAnsi="Times New Roman"/>
          <w:sz w:val="20"/>
          <w:szCs w:val="20"/>
        </w:rPr>
      </w:pPr>
    </w:p>
    <w:p w14:paraId="2A73B5D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future principal payments for the Company’s Notes as of September 28, 2019 are as follows (in millions):</w:t>
      </w:r>
    </w:p>
    <w:tbl>
      <w:tblPr>
        <w:tblW w:w="5000" w:type="pct"/>
        <w:tblCellMar>
          <w:left w:w="0" w:type="dxa"/>
          <w:right w:w="0" w:type="dxa"/>
        </w:tblCellMar>
        <w:tblLook w:val="04A0" w:firstRow="1" w:lastRow="0" w:firstColumn="1" w:lastColumn="0" w:noHBand="0" w:noVBand="1"/>
      </w:tblPr>
      <w:tblGrid>
        <w:gridCol w:w="7123"/>
        <w:gridCol w:w="141"/>
        <w:gridCol w:w="978"/>
        <w:gridCol w:w="64"/>
      </w:tblGrid>
      <w:tr w:rsidR="00FA5565" w14:paraId="2A73B5DD" w14:textId="77777777">
        <w:tc>
          <w:tcPr>
            <w:tcW w:w="0" w:type="auto"/>
            <w:gridSpan w:val="4"/>
            <w:shd w:val="clear" w:color="auto" w:fill="auto"/>
            <w:vAlign w:val="center"/>
          </w:tcPr>
          <w:p w14:paraId="2A73B5DC" w14:textId="77777777" w:rsidR="00FA5565" w:rsidRDefault="00FA5565">
            <w:pPr>
              <w:rPr>
                <w:rFonts w:ascii="Times New Roman" w:hAnsi="Times New Roman"/>
                <w:sz w:val="20"/>
                <w:szCs w:val="20"/>
              </w:rPr>
            </w:pPr>
          </w:p>
        </w:tc>
      </w:tr>
      <w:tr w:rsidR="00FA5565" w14:paraId="2A73B5E2" w14:textId="77777777">
        <w:tc>
          <w:tcPr>
            <w:tcW w:w="4300" w:type="pct"/>
            <w:shd w:val="clear" w:color="auto" w:fill="auto"/>
            <w:vAlign w:val="center"/>
          </w:tcPr>
          <w:p w14:paraId="2A73B5DE" w14:textId="77777777" w:rsidR="00FA5565" w:rsidRDefault="00FA5565">
            <w:pPr>
              <w:rPr>
                <w:rFonts w:ascii="Times New Roman" w:hAnsi="Times New Roman"/>
                <w:sz w:val="20"/>
                <w:szCs w:val="20"/>
              </w:rPr>
            </w:pPr>
          </w:p>
        </w:tc>
        <w:tc>
          <w:tcPr>
            <w:tcW w:w="50" w:type="pct"/>
            <w:shd w:val="clear" w:color="auto" w:fill="auto"/>
            <w:vAlign w:val="center"/>
          </w:tcPr>
          <w:p w14:paraId="2A73B5DF" w14:textId="77777777" w:rsidR="00FA5565" w:rsidRDefault="00FA5565">
            <w:pPr>
              <w:rPr>
                <w:rFonts w:ascii="Times New Roman" w:hAnsi="Times New Roman"/>
                <w:sz w:val="20"/>
                <w:szCs w:val="20"/>
              </w:rPr>
            </w:pPr>
          </w:p>
        </w:tc>
        <w:tc>
          <w:tcPr>
            <w:tcW w:w="600" w:type="pct"/>
            <w:shd w:val="clear" w:color="auto" w:fill="auto"/>
            <w:vAlign w:val="center"/>
          </w:tcPr>
          <w:p w14:paraId="2A73B5E0" w14:textId="77777777" w:rsidR="00FA5565" w:rsidRDefault="00FA5565">
            <w:pPr>
              <w:rPr>
                <w:rFonts w:ascii="Times New Roman" w:hAnsi="Times New Roman"/>
                <w:sz w:val="20"/>
                <w:szCs w:val="20"/>
              </w:rPr>
            </w:pPr>
          </w:p>
        </w:tc>
        <w:tc>
          <w:tcPr>
            <w:tcW w:w="50" w:type="pct"/>
            <w:shd w:val="clear" w:color="auto" w:fill="auto"/>
            <w:vAlign w:val="center"/>
          </w:tcPr>
          <w:p w14:paraId="2A73B5E1" w14:textId="77777777" w:rsidR="00FA5565" w:rsidRDefault="00FA5565">
            <w:pPr>
              <w:rPr>
                <w:rFonts w:ascii="Times New Roman" w:hAnsi="Times New Roman"/>
                <w:sz w:val="20"/>
                <w:szCs w:val="20"/>
              </w:rPr>
            </w:pPr>
          </w:p>
        </w:tc>
      </w:tr>
      <w:tr w:rsidR="00FA5565" w14:paraId="2A73B5E7" w14:textId="77777777">
        <w:tc>
          <w:tcPr>
            <w:tcW w:w="0" w:type="auto"/>
            <w:shd w:val="clear" w:color="auto" w:fill="auto"/>
            <w:tcMar>
              <w:top w:w="40" w:type="dxa"/>
              <w:left w:w="40" w:type="dxa"/>
              <w:bottom w:w="40" w:type="dxa"/>
              <w:right w:w="40" w:type="dxa"/>
            </w:tcMar>
          </w:tcPr>
          <w:p w14:paraId="2A73B5E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2020</w:t>
            </w:r>
          </w:p>
        </w:tc>
        <w:tc>
          <w:tcPr>
            <w:tcW w:w="0" w:type="auto"/>
            <w:shd w:val="clear" w:color="auto" w:fill="auto"/>
            <w:tcMar>
              <w:top w:w="40" w:type="dxa"/>
              <w:left w:w="40" w:type="dxa"/>
              <w:bottom w:w="40" w:type="dxa"/>
            </w:tcMar>
            <w:vAlign w:val="bottom"/>
          </w:tcPr>
          <w:p w14:paraId="2A73B5E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5E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10,270</w:t>
            </w:r>
          </w:p>
        </w:tc>
        <w:tc>
          <w:tcPr>
            <w:tcW w:w="0" w:type="auto"/>
            <w:shd w:val="clear" w:color="auto" w:fill="auto"/>
            <w:vAlign w:val="bottom"/>
          </w:tcPr>
          <w:p w14:paraId="2A73B5E6" w14:textId="77777777" w:rsidR="00FA5565" w:rsidRDefault="00FA5565">
            <w:pPr>
              <w:textAlignment w:val="bottom"/>
              <w:rPr>
                <w:rFonts w:ascii="Times New Roman" w:hAnsi="Times New Roman"/>
                <w:sz w:val="20"/>
                <w:szCs w:val="20"/>
              </w:rPr>
            </w:pPr>
          </w:p>
        </w:tc>
      </w:tr>
      <w:tr w:rsidR="00FA5565" w14:paraId="2A73B5EB" w14:textId="77777777">
        <w:tc>
          <w:tcPr>
            <w:tcW w:w="0" w:type="auto"/>
            <w:shd w:val="clear" w:color="auto" w:fill="EFEFEF"/>
            <w:tcMar>
              <w:top w:w="40" w:type="dxa"/>
              <w:left w:w="40" w:type="dxa"/>
              <w:bottom w:w="40" w:type="dxa"/>
              <w:right w:w="40" w:type="dxa"/>
            </w:tcMar>
          </w:tcPr>
          <w:p w14:paraId="2A73B5E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2021</w:t>
            </w:r>
          </w:p>
        </w:tc>
        <w:tc>
          <w:tcPr>
            <w:tcW w:w="0" w:type="auto"/>
            <w:gridSpan w:val="2"/>
            <w:shd w:val="clear" w:color="auto" w:fill="EFEFEF"/>
            <w:tcMar>
              <w:top w:w="40" w:type="dxa"/>
              <w:left w:w="40" w:type="dxa"/>
              <w:bottom w:w="40" w:type="dxa"/>
            </w:tcMar>
            <w:vAlign w:val="bottom"/>
          </w:tcPr>
          <w:p w14:paraId="2A73B5E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8,750</w:t>
            </w:r>
          </w:p>
        </w:tc>
        <w:tc>
          <w:tcPr>
            <w:tcW w:w="0" w:type="auto"/>
            <w:shd w:val="clear" w:color="auto" w:fill="EFEFEF"/>
            <w:vAlign w:val="bottom"/>
          </w:tcPr>
          <w:p w14:paraId="2A73B5EA" w14:textId="77777777" w:rsidR="00FA5565" w:rsidRDefault="00FA5565">
            <w:pPr>
              <w:textAlignment w:val="bottom"/>
              <w:rPr>
                <w:rFonts w:ascii="Times New Roman" w:hAnsi="Times New Roman"/>
                <w:sz w:val="20"/>
                <w:szCs w:val="20"/>
              </w:rPr>
            </w:pPr>
          </w:p>
        </w:tc>
      </w:tr>
      <w:tr w:rsidR="00FA5565" w14:paraId="2A73B5EF" w14:textId="77777777">
        <w:tc>
          <w:tcPr>
            <w:tcW w:w="0" w:type="auto"/>
            <w:shd w:val="clear" w:color="auto" w:fill="auto"/>
            <w:tcMar>
              <w:top w:w="40" w:type="dxa"/>
              <w:left w:w="40" w:type="dxa"/>
              <w:bottom w:w="40" w:type="dxa"/>
              <w:right w:w="40" w:type="dxa"/>
            </w:tcMar>
          </w:tcPr>
          <w:p w14:paraId="2A73B5E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2022</w:t>
            </w:r>
          </w:p>
        </w:tc>
        <w:tc>
          <w:tcPr>
            <w:tcW w:w="0" w:type="auto"/>
            <w:gridSpan w:val="2"/>
            <w:shd w:val="clear" w:color="auto" w:fill="auto"/>
            <w:tcMar>
              <w:top w:w="40" w:type="dxa"/>
              <w:left w:w="40" w:type="dxa"/>
              <w:bottom w:w="40" w:type="dxa"/>
            </w:tcMar>
            <w:vAlign w:val="bottom"/>
          </w:tcPr>
          <w:p w14:paraId="2A73B5E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9,528</w:t>
            </w:r>
          </w:p>
        </w:tc>
        <w:tc>
          <w:tcPr>
            <w:tcW w:w="0" w:type="auto"/>
            <w:shd w:val="clear" w:color="auto" w:fill="auto"/>
            <w:vAlign w:val="bottom"/>
          </w:tcPr>
          <w:p w14:paraId="2A73B5EE" w14:textId="77777777" w:rsidR="00FA5565" w:rsidRDefault="00FA5565">
            <w:pPr>
              <w:textAlignment w:val="bottom"/>
              <w:rPr>
                <w:rFonts w:ascii="Times New Roman" w:hAnsi="Times New Roman"/>
                <w:sz w:val="20"/>
                <w:szCs w:val="20"/>
              </w:rPr>
            </w:pPr>
          </w:p>
        </w:tc>
      </w:tr>
      <w:tr w:rsidR="00FA5565" w14:paraId="2A73B5F3" w14:textId="77777777">
        <w:tc>
          <w:tcPr>
            <w:tcW w:w="0" w:type="auto"/>
            <w:shd w:val="clear" w:color="auto" w:fill="EFEFEF"/>
            <w:tcMar>
              <w:top w:w="40" w:type="dxa"/>
              <w:left w:w="40" w:type="dxa"/>
              <w:bottom w:w="40" w:type="dxa"/>
              <w:right w:w="40" w:type="dxa"/>
            </w:tcMar>
          </w:tcPr>
          <w:p w14:paraId="2A73B5F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2023</w:t>
            </w:r>
          </w:p>
        </w:tc>
        <w:tc>
          <w:tcPr>
            <w:tcW w:w="0" w:type="auto"/>
            <w:gridSpan w:val="2"/>
            <w:shd w:val="clear" w:color="auto" w:fill="EFEFEF"/>
            <w:tcMar>
              <w:top w:w="40" w:type="dxa"/>
              <w:left w:w="40" w:type="dxa"/>
              <w:bottom w:w="40" w:type="dxa"/>
            </w:tcMar>
            <w:vAlign w:val="bottom"/>
          </w:tcPr>
          <w:p w14:paraId="2A73B5F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9,290</w:t>
            </w:r>
          </w:p>
        </w:tc>
        <w:tc>
          <w:tcPr>
            <w:tcW w:w="0" w:type="auto"/>
            <w:shd w:val="clear" w:color="auto" w:fill="EFEFEF"/>
            <w:vAlign w:val="bottom"/>
          </w:tcPr>
          <w:p w14:paraId="2A73B5F2" w14:textId="77777777" w:rsidR="00FA5565" w:rsidRDefault="00FA5565">
            <w:pPr>
              <w:textAlignment w:val="bottom"/>
              <w:rPr>
                <w:rFonts w:ascii="Times New Roman" w:hAnsi="Times New Roman"/>
                <w:sz w:val="20"/>
                <w:szCs w:val="20"/>
              </w:rPr>
            </w:pPr>
          </w:p>
        </w:tc>
      </w:tr>
      <w:tr w:rsidR="00FA5565" w14:paraId="2A73B5F7" w14:textId="77777777">
        <w:tc>
          <w:tcPr>
            <w:tcW w:w="0" w:type="auto"/>
            <w:shd w:val="clear" w:color="auto" w:fill="auto"/>
            <w:tcMar>
              <w:top w:w="40" w:type="dxa"/>
              <w:left w:w="40" w:type="dxa"/>
              <w:bottom w:w="40" w:type="dxa"/>
              <w:right w:w="40" w:type="dxa"/>
            </w:tcMar>
          </w:tcPr>
          <w:p w14:paraId="2A73B5F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2024</w:t>
            </w:r>
          </w:p>
        </w:tc>
        <w:tc>
          <w:tcPr>
            <w:tcW w:w="0" w:type="auto"/>
            <w:gridSpan w:val="2"/>
            <w:shd w:val="clear" w:color="auto" w:fill="auto"/>
            <w:tcMar>
              <w:top w:w="40" w:type="dxa"/>
              <w:left w:w="40" w:type="dxa"/>
              <w:bottom w:w="40" w:type="dxa"/>
            </w:tcMar>
            <w:vAlign w:val="bottom"/>
          </w:tcPr>
          <w:p w14:paraId="2A73B5F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10,039</w:t>
            </w:r>
          </w:p>
        </w:tc>
        <w:tc>
          <w:tcPr>
            <w:tcW w:w="0" w:type="auto"/>
            <w:shd w:val="clear" w:color="auto" w:fill="auto"/>
            <w:vAlign w:val="bottom"/>
          </w:tcPr>
          <w:p w14:paraId="2A73B5F6" w14:textId="77777777" w:rsidR="00FA5565" w:rsidRDefault="00FA5565">
            <w:pPr>
              <w:textAlignment w:val="bottom"/>
              <w:rPr>
                <w:rFonts w:ascii="Times New Roman" w:hAnsi="Times New Roman"/>
                <w:sz w:val="20"/>
                <w:szCs w:val="20"/>
              </w:rPr>
            </w:pPr>
          </w:p>
        </w:tc>
      </w:tr>
      <w:tr w:rsidR="00FA5565" w14:paraId="2A73B5FB" w14:textId="77777777">
        <w:tc>
          <w:tcPr>
            <w:tcW w:w="0" w:type="auto"/>
            <w:shd w:val="clear" w:color="auto" w:fill="EFEFEF"/>
            <w:tcMar>
              <w:top w:w="40" w:type="dxa"/>
              <w:left w:w="40" w:type="dxa"/>
              <w:bottom w:w="40" w:type="dxa"/>
              <w:right w:w="40" w:type="dxa"/>
            </w:tcMar>
          </w:tcPr>
          <w:p w14:paraId="2A73B5F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Thereafter</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5F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53,802</w:t>
            </w:r>
          </w:p>
        </w:tc>
        <w:tc>
          <w:tcPr>
            <w:tcW w:w="0" w:type="auto"/>
            <w:tcBorders>
              <w:bottom w:val="single" w:sz="8" w:space="0" w:color="000000"/>
            </w:tcBorders>
            <w:shd w:val="clear" w:color="auto" w:fill="EFEFEF"/>
            <w:vAlign w:val="bottom"/>
          </w:tcPr>
          <w:p w14:paraId="2A73B5FA" w14:textId="77777777" w:rsidR="00FA5565" w:rsidRDefault="00FA5565">
            <w:pPr>
              <w:textAlignment w:val="bottom"/>
              <w:rPr>
                <w:rFonts w:ascii="Times New Roman" w:hAnsi="Times New Roman"/>
                <w:sz w:val="20"/>
                <w:szCs w:val="20"/>
              </w:rPr>
            </w:pPr>
          </w:p>
        </w:tc>
      </w:tr>
      <w:tr w:rsidR="00FA5565" w14:paraId="2A73B600" w14:textId="77777777">
        <w:tc>
          <w:tcPr>
            <w:tcW w:w="0" w:type="auto"/>
            <w:shd w:val="clear" w:color="auto" w:fill="auto"/>
            <w:tcMar>
              <w:top w:w="40" w:type="dxa"/>
              <w:left w:w="560" w:type="dxa"/>
              <w:bottom w:w="40" w:type="dxa"/>
              <w:right w:w="40" w:type="dxa"/>
            </w:tcMar>
          </w:tcPr>
          <w:p w14:paraId="2A73B5F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Total term debt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5F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B5F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101,679</w:t>
            </w:r>
          </w:p>
        </w:tc>
        <w:tc>
          <w:tcPr>
            <w:tcW w:w="0" w:type="auto"/>
            <w:tcBorders>
              <w:top w:val="single" w:sz="8" w:space="0" w:color="000000"/>
              <w:bottom w:val="double" w:sz="6" w:space="0" w:color="000000"/>
            </w:tcBorders>
            <w:shd w:val="clear" w:color="auto" w:fill="auto"/>
            <w:vAlign w:val="bottom"/>
          </w:tcPr>
          <w:p w14:paraId="2A73B5FF" w14:textId="77777777" w:rsidR="00FA5565" w:rsidRDefault="00FA5565">
            <w:pPr>
              <w:textAlignment w:val="bottom"/>
              <w:rPr>
                <w:rFonts w:ascii="Times New Roman" w:hAnsi="Times New Roman"/>
                <w:sz w:val="20"/>
                <w:szCs w:val="20"/>
              </w:rPr>
            </w:pPr>
          </w:p>
        </w:tc>
      </w:tr>
    </w:tbl>
    <w:p w14:paraId="2A73B601" w14:textId="77777777" w:rsidR="00FA5565" w:rsidRDefault="00FA5565">
      <w:pPr>
        <w:spacing w:line="288" w:lineRule="auto"/>
        <w:jc w:val="both"/>
        <w:rPr>
          <w:rFonts w:ascii="Times New Roman" w:hAnsi="Times New Roman"/>
          <w:sz w:val="20"/>
          <w:szCs w:val="20"/>
        </w:rPr>
      </w:pPr>
    </w:p>
    <w:p w14:paraId="2A73B60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As of September 28, 2019 and September 29, 2018, the fair value of the Company’s Notes, based on Level 2 inputs, was $107.5 billion and </w:t>
      </w:r>
      <w:r>
        <w:rPr>
          <w:rFonts w:ascii="Helvetica" w:eastAsia="Helvetica" w:hAnsi="Helvetica" w:cs="Helvetica"/>
          <w:sz w:val="18"/>
          <w:szCs w:val="18"/>
        </w:rPr>
        <w:t>$103.2 billion, respectively.</w:t>
      </w:r>
    </w:p>
    <w:p w14:paraId="2A73B603"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Note 7 – Shareholders’ Equity</w:t>
      </w:r>
    </w:p>
    <w:p w14:paraId="2A73B60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Share Repurchase Program</w:t>
      </w:r>
    </w:p>
    <w:p w14:paraId="2A73B60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On April 30, 2019, the Company announced the Board of Directors increased the current share repurchase program authorization from $100 billion to $175 billion of the Compa</w:t>
      </w:r>
      <w:r>
        <w:rPr>
          <w:rFonts w:ascii="Helvetica" w:eastAsia="Helvetica" w:hAnsi="Helvetica" w:cs="Helvetica"/>
          <w:sz w:val="18"/>
          <w:szCs w:val="18"/>
        </w:rPr>
        <w:t>ny’s common stock, of which $96.1 billion had been utilized as of September 28, 2019. During 2019, the Company repurchased 345.2 million shares of its common stock for $67.1 billion, including 62.0 million shares delivered under a $12.0 billion accelerated</w:t>
      </w:r>
      <w:r>
        <w:rPr>
          <w:rFonts w:ascii="Helvetica" w:eastAsia="Helvetica" w:hAnsi="Helvetica" w:cs="Helvetica"/>
          <w:sz w:val="18"/>
          <w:szCs w:val="18"/>
        </w:rPr>
        <w:t xml:space="preserve"> share repurchase arrangement dated February 2019, which settled in August 2019. The Company’s share repurchase program does not obligate it to acquire any specific number of shares. Under this program, shares may be repurchased in privately negotiated and</w:t>
      </w:r>
      <w:r>
        <w:rPr>
          <w:rFonts w:ascii="Helvetica" w:eastAsia="Helvetica" w:hAnsi="Helvetica" w:cs="Helvetica"/>
          <w:sz w:val="18"/>
          <w:szCs w:val="18"/>
        </w:rPr>
        <w:t>/or open market transactions, including under plans complying with Rule 10b5-1 under the Securities Exchange Act of 1934, as amended (the “Exchange Act”).</w:t>
      </w:r>
    </w:p>
    <w:p w14:paraId="2A73B606"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Shares of Common Stock</w:t>
      </w:r>
    </w:p>
    <w:p w14:paraId="2A73B60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following table shows the changes in shares of common stock for 2019, </w:t>
      </w:r>
      <w:r>
        <w:rPr>
          <w:rFonts w:ascii="Helvetica" w:eastAsia="Helvetica" w:hAnsi="Helvetica" w:cs="Helvetica"/>
          <w:sz w:val="18"/>
          <w:szCs w:val="18"/>
        </w:rPr>
        <w:t>2018 and 2017 (in thousands):</w:t>
      </w:r>
    </w:p>
    <w:tbl>
      <w:tblPr>
        <w:tblW w:w="5000" w:type="pct"/>
        <w:tblCellMar>
          <w:left w:w="0" w:type="dxa"/>
          <w:right w:w="0" w:type="dxa"/>
        </w:tblCellMar>
        <w:tblLook w:val="04A0" w:firstRow="1" w:lastRow="0" w:firstColumn="1" w:lastColumn="0" w:noHBand="0" w:noVBand="1"/>
      </w:tblPr>
      <w:tblGrid>
        <w:gridCol w:w="4864"/>
        <w:gridCol w:w="960"/>
        <w:gridCol w:w="100"/>
        <w:gridCol w:w="130"/>
        <w:gridCol w:w="961"/>
        <w:gridCol w:w="100"/>
        <w:gridCol w:w="130"/>
        <w:gridCol w:w="961"/>
        <w:gridCol w:w="100"/>
      </w:tblGrid>
      <w:tr w:rsidR="00FA5565" w14:paraId="2A73B609" w14:textId="77777777">
        <w:tc>
          <w:tcPr>
            <w:tcW w:w="0" w:type="auto"/>
            <w:gridSpan w:val="9"/>
            <w:shd w:val="clear" w:color="auto" w:fill="auto"/>
            <w:vAlign w:val="center"/>
          </w:tcPr>
          <w:p w14:paraId="2A73B608" w14:textId="77777777" w:rsidR="00FA5565" w:rsidRDefault="00FA5565">
            <w:pPr>
              <w:rPr>
                <w:rFonts w:ascii="Times New Roman" w:hAnsi="Times New Roman"/>
                <w:sz w:val="20"/>
                <w:szCs w:val="20"/>
              </w:rPr>
            </w:pPr>
          </w:p>
        </w:tc>
      </w:tr>
      <w:tr w:rsidR="00FA5565" w14:paraId="2A73B613" w14:textId="77777777">
        <w:tc>
          <w:tcPr>
            <w:tcW w:w="2950" w:type="pct"/>
            <w:shd w:val="clear" w:color="auto" w:fill="auto"/>
            <w:vAlign w:val="center"/>
          </w:tcPr>
          <w:p w14:paraId="2A73B60A" w14:textId="77777777" w:rsidR="00FA5565" w:rsidRDefault="00FA5565">
            <w:pPr>
              <w:rPr>
                <w:rFonts w:ascii="Times New Roman" w:hAnsi="Times New Roman"/>
                <w:sz w:val="20"/>
                <w:szCs w:val="20"/>
              </w:rPr>
            </w:pPr>
          </w:p>
        </w:tc>
        <w:tc>
          <w:tcPr>
            <w:tcW w:w="600" w:type="pct"/>
            <w:shd w:val="clear" w:color="auto" w:fill="auto"/>
            <w:vAlign w:val="center"/>
          </w:tcPr>
          <w:p w14:paraId="2A73B60B" w14:textId="77777777" w:rsidR="00FA5565" w:rsidRDefault="00FA5565">
            <w:pPr>
              <w:rPr>
                <w:rFonts w:ascii="Times New Roman" w:hAnsi="Times New Roman"/>
                <w:sz w:val="20"/>
                <w:szCs w:val="20"/>
              </w:rPr>
            </w:pPr>
          </w:p>
        </w:tc>
        <w:tc>
          <w:tcPr>
            <w:tcW w:w="50" w:type="pct"/>
            <w:shd w:val="clear" w:color="auto" w:fill="auto"/>
            <w:vAlign w:val="center"/>
          </w:tcPr>
          <w:p w14:paraId="2A73B60C" w14:textId="77777777" w:rsidR="00FA5565" w:rsidRDefault="00FA5565">
            <w:pPr>
              <w:rPr>
                <w:rFonts w:ascii="Times New Roman" w:hAnsi="Times New Roman"/>
                <w:sz w:val="20"/>
                <w:szCs w:val="20"/>
              </w:rPr>
            </w:pPr>
          </w:p>
        </w:tc>
        <w:tc>
          <w:tcPr>
            <w:tcW w:w="50" w:type="pct"/>
            <w:shd w:val="clear" w:color="auto" w:fill="auto"/>
            <w:vAlign w:val="center"/>
          </w:tcPr>
          <w:p w14:paraId="2A73B60D" w14:textId="77777777" w:rsidR="00FA5565" w:rsidRDefault="00FA5565">
            <w:pPr>
              <w:rPr>
                <w:rFonts w:ascii="Times New Roman" w:hAnsi="Times New Roman"/>
                <w:sz w:val="20"/>
                <w:szCs w:val="20"/>
              </w:rPr>
            </w:pPr>
          </w:p>
        </w:tc>
        <w:tc>
          <w:tcPr>
            <w:tcW w:w="600" w:type="pct"/>
            <w:shd w:val="clear" w:color="auto" w:fill="auto"/>
            <w:vAlign w:val="center"/>
          </w:tcPr>
          <w:p w14:paraId="2A73B60E" w14:textId="77777777" w:rsidR="00FA5565" w:rsidRDefault="00FA5565">
            <w:pPr>
              <w:rPr>
                <w:rFonts w:ascii="Times New Roman" w:hAnsi="Times New Roman"/>
                <w:sz w:val="20"/>
                <w:szCs w:val="20"/>
              </w:rPr>
            </w:pPr>
          </w:p>
        </w:tc>
        <w:tc>
          <w:tcPr>
            <w:tcW w:w="50" w:type="pct"/>
            <w:shd w:val="clear" w:color="auto" w:fill="auto"/>
            <w:vAlign w:val="center"/>
          </w:tcPr>
          <w:p w14:paraId="2A73B60F" w14:textId="77777777" w:rsidR="00FA5565" w:rsidRDefault="00FA5565">
            <w:pPr>
              <w:rPr>
                <w:rFonts w:ascii="Times New Roman" w:hAnsi="Times New Roman"/>
                <w:sz w:val="20"/>
                <w:szCs w:val="20"/>
              </w:rPr>
            </w:pPr>
          </w:p>
        </w:tc>
        <w:tc>
          <w:tcPr>
            <w:tcW w:w="50" w:type="pct"/>
            <w:shd w:val="clear" w:color="auto" w:fill="auto"/>
            <w:vAlign w:val="center"/>
          </w:tcPr>
          <w:p w14:paraId="2A73B610" w14:textId="77777777" w:rsidR="00FA5565" w:rsidRDefault="00FA5565">
            <w:pPr>
              <w:rPr>
                <w:rFonts w:ascii="Times New Roman" w:hAnsi="Times New Roman"/>
                <w:sz w:val="20"/>
                <w:szCs w:val="20"/>
              </w:rPr>
            </w:pPr>
          </w:p>
        </w:tc>
        <w:tc>
          <w:tcPr>
            <w:tcW w:w="600" w:type="pct"/>
            <w:shd w:val="clear" w:color="auto" w:fill="auto"/>
            <w:vAlign w:val="center"/>
          </w:tcPr>
          <w:p w14:paraId="2A73B611" w14:textId="77777777" w:rsidR="00FA5565" w:rsidRDefault="00FA5565">
            <w:pPr>
              <w:rPr>
                <w:rFonts w:ascii="Times New Roman" w:hAnsi="Times New Roman"/>
                <w:sz w:val="20"/>
                <w:szCs w:val="20"/>
              </w:rPr>
            </w:pPr>
          </w:p>
        </w:tc>
        <w:tc>
          <w:tcPr>
            <w:tcW w:w="50" w:type="pct"/>
            <w:shd w:val="clear" w:color="auto" w:fill="auto"/>
            <w:vAlign w:val="center"/>
          </w:tcPr>
          <w:p w14:paraId="2A73B612" w14:textId="77777777" w:rsidR="00FA5565" w:rsidRDefault="00FA5565">
            <w:pPr>
              <w:rPr>
                <w:rFonts w:ascii="Times New Roman" w:hAnsi="Times New Roman"/>
                <w:sz w:val="20"/>
                <w:szCs w:val="20"/>
              </w:rPr>
            </w:pPr>
          </w:p>
        </w:tc>
      </w:tr>
      <w:tr w:rsidR="00FA5565" w14:paraId="2A73B61A" w14:textId="77777777">
        <w:tc>
          <w:tcPr>
            <w:tcW w:w="0" w:type="auto"/>
            <w:shd w:val="clear" w:color="auto" w:fill="auto"/>
            <w:tcMar>
              <w:top w:w="40" w:type="dxa"/>
              <w:left w:w="40" w:type="dxa"/>
              <w:bottom w:w="40" w:type="dxa"/>
              <w:right w:w="40" w:type="dxa"/>
            </w:tcMar>
            <w:vAlign w:val="bottom"/>
          </w:tcPr>
          <w:p w14:paraId="2A73B61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B61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6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B61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61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B61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624" w14:textId="77777777">
        <w:tc>
          <w:tcPr>
            <w:tcW w:w="0" w:type="auto"/>
            <w:shd w:val="clear" w:color="auto" w:fill="auto"/>
            <w:tcMar>
              <w:top w:w="40" w:type="dxa"/>
              <w:left w:w="40" w:type="dxa"/>
              <w:bottom w:w="40" w:type="dxa"/>
              <w:right w:w="40" w:type="dxa"/>
            </w:tcMar>
          </w:tcPr>
          <w:p w14:paraId="2A73B61B"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Common stock outstanding, beginning balances</w:t>
            </w:r>
          </w:p>
        </w:tc>
        <w:tc>
          <w:tcPr>
            <w:tcW w:w="0" w:type="auto"/>
            <w:shd w:val="clear" w:color="auto" w:fill="auto"/>
            <w:tcMar>
              <w:top w:w="40" w:type="dxa"/>
              <w:left w:w="40" w:type="dxa"/>
              <w:bottom w:w="40" w:type="dxa"/>
            </w:tcMar>
            <w:vAlign w:val="bottom"/>
          </w:tcPr>
          <w:p w14:paraId="2A73B61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4,754,986</w:t>
            </w:r>
          </w:p>
        </w:tc>
        <w:tc>
          <w:tcPr>
            <w:tcW w:w="0" w:type="auto"/>
            <w:shd w:val="clear" w:color="auto" w:fill="auto"/>
            <w:vAlign w:val="bottom"/>
          </w:tcPr>
          <w:p w14:paraId="2A73B61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61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61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5,126,201</w:t>
            </w:r>
          </w:p>
        </w:tc>
        <w:tc>
          <w:tcPr>
            <w:tcW w:w="0" w:type="auto"/>
            <w:tcBorders>
              <w:top w:val="single" w:sz="8" w:space="0" w:color="000000"/>
            </w:tcBorders>
            <w:shd w:val="clear" w:color="auto" w:fill="auto"/>
            <w:vAlign w:val="bottom"/>
          </w:tcPr>
          <w:p w14:paraId="2A73B62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6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62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5,336,166</w:t>
            </w:r>
          </w:p>
        </w:tc>
        <w:tc>
          <w:tcPr>
            <w:tcW w:w="0" w:type="auto"/>
            <w:tcBorders>
              <w:top w:val="single" w:sz="8" w:space="0" w:color="000000"/>
            </w:tcBorders>
            <w:shd w:val="clear" w:color="auto" w:fill="auto"/>
            <w:vAlign w:val="bottom"/>
          </w:tcPr>
          <w:p w14:paraId="2A73B623" w14:textId="77777777" w:rsidR="00FA5565" w:rsidRDefault="00FA5565">
            <w:pPr>
              <w:textAlignment w:val="bottom"/>
              <w:rPr>
                <w:rFonts w:ascii="Times New Roman" w:hAnsi="Times New Roman"/>
                <w:sz w:val="20"/>
                <w:szCs w:val="20"/>
              </w:rPr>
            </w:pPr>
          </w:p>
        </w:tc>
      </w:tr>
      <w:tr w:rsidR="00FA5565" w14:paraId="2A73B62E" w14:textId="77777777">
        <w:tc>
          <w:tcPr>
            <w:tcW w:w="0" w:type="auto"/>
            <w:shd w:val="clear" w:color="auto" w:fill="EFEFEF"/>
            <w:tcMar>
              <w:top w:w="40" w:type="dxa"/>
              <w:left w:w="560" w:type="dxa"/>
              <w:bottom w:w="40" w:type="dxa"/>
              <w:right w:w="40" w:type="dxa"/>
            </w:tcMar>
          </w:tcPr>
          <w:p w14:paraId="2A73B62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Common stock repurchased</w:t>
            </w:r>
          </w:p>
        </w:tc>
        <w:tc>
          <w:tcPr>
            <w:tcW w:w="0" w:type="auto"/>
            <w:shd w:val="clear" w:color="auto" w:fill="EFEFEF"/>
            <w:tcMar>
              <w:top w:w="40" w:type="dxa"/>
              <w:left w:w="40" w:type="dxa"/>
              <w:bottom w:w="40" w:type="dxa"/>
            </w:tcMar>
            <w:vAlign w:val="bottom"/>
          </w:tcPr>
          <w:p w14:paraId="2A73B62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(345,205</w:t>
            </w:r>
          </w:p>
        </w:tc>
        <w:tc>
          <w:tcPr>
            <w:tcW w:w="0" w:type="auto"/>
            <w:shd w:val="clear" w:color="auto" w:fill="EFEFEF"/>
            <w:tcMar>
              <w:top w:w="40" w:type="dxa"/>
              <w:bottom w:w="40" w:type="dxa"/>
              <w:right w:w="40" w:type="dxa"/>
            </w:tcMar>
            <w:vAlign w:val="bottom"/>
          </w:tcPr>
          <w:p w14:paraId="2A73B62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62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62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(405,549</w:t>
            </w:r>
          </w:p>
        </w:tc>
        <w:tc>
          <w:tcPr>
            <w:tcW w:w="0" w:type="auto"/>
            <w:shd w:val="clear" w:color="auto" w:fill="EFEFEF"/>
            <w:tcMar>
              <w:top w:w="40" w:type="dxa"/>
              <w:bottom w:w="40" w:type="dxa"/>
              <w:right w:w="40" w:type="dxa"/>
            </w:tcMar>
            <w:vAlign w:val="bottom"/>
          </w:tcPr>
          <w:p w14:paraId="2A73B62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62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62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(246,496</w:t>
            </w:r>
          </w:p>
        </w:tc>
        <w:tc>
          <w:tcPr>
            <w:tcW w:w="0" w:type="auto"/>
            <w:shd w:val="clear" w:color="auto" w:fill="EFEFEF"/>
            <w:tcMar>
              <w:top w:w="40" w:type="dxa"/>
              <w:bottom w:w="40" w:type="dxa"/>
              <w:right w:w="40" w:type="dxa"/>
            </w:tcMar>
            <w:vAlign w:val="bottom"/>
          </w:tcPr>
          <w:p w14:paraId="2A73B62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638" w14:textId="77777777">
        <w:tc>
          <w:tcPr>
            <w:tcW w:w="0" w:type="auto"/>
            <w:shd w:val="clear" w:color="auto" w:fill="auto"/>
            <w:tcMar>
              <w:top w:w="40" w:type="dxa"/>
              <w:left w:w="560" w:type="dxa"/>
              <w:bottom w:w="40" w:type="dxa"/>
              <w:right w:w="40" w:type="dxa"/>
            </w:tcMar>
          </w:tcPr>
          <w:p w14:paraId="2A73B62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Common stock issued, net of shares </w:t>
            </w:r>
            <w:r>
              <w:rPr>
                <w:rFonts w:ascii="Helvetica" w:eastAsia="Helvetica" w:hAnsi="Helvetica" w:cs="Helvetica"/>
                <w:sz w:val="18"/>
                <w:szCs w:val="18"/>
              </w:rPr>
              <w:t>withheld for employee taxes</w:t>
            </w:r>
          </w:p>
        </w:tc>
        <w:tc>
          <w:tcPr>
            <w:tcW w:w="0" w:type="auto"/>
            <w:tcBorders>
              <w:bottom w:val="single" w:sz="8" w:space="0" w:color="000000"/>
            </w:tcBorders>
            <w:shd w:val="clear" w:color="auto" w:fill="auto"/>
            <w:tcMar>
              <w:top w:w="40" w:type="dxa"/>
              <w:left w:w="40" w:type="dxa"/>
              <w:bottom w:w="40" w:type="dxa"/>
            </w:tcMar>
            <w:vAlign w:val="bottom"/>
          </w:tcPr>
          <w:p w14:paraId="2A73B63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33,455</w:t>
            </w:r>
          </w:p>
        </w:tc>
        <w:tc>
          <w:tcPr>
            <w:tcW w:w="0" w:type="auto"/>
            <w:tcBorders>
              <w:bottom w:val="single" w:sz="8" w:space="0" w:color="000000"/>
            </w:tcBorders>
            <w:shd w:val="clear" w:color="auto" w:fill="auto"/>
            <w:vAlign w:val="bottom"/>
          </w:tcPr>
          <w:p w14:paraId="2A73B63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6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2A73B63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34,334</w:t>
            </w:r>
          </w:p>
        </w:tc>
        <w:tc>
          <w:tcPr>
            <w:tcW w:w="0" w:type="auto"/>
            <w:tcBorders>
              <w:bottom w:val="single" w:sz="8" w:space="0" w:color="000000"/>
            </w:tcBorders>
            <w:shd w:val="clear" w:color="auto" w:fill="auto"/>
            <w:vAlign w:val="bottom"/>
          </w:tcPr>
          <w:p w14:paraId="2A73B63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6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2A73B63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36,531</w:t>
            </w:r>
          </w:p>
        </w:tc>
        <w:tc>
          <w:tcPr>
            <w:tcW w:w="0" w:type="auto"/>
            <w:tcBorders>
              <w:bottom w:val="single" w:sz="8" w:space="0" w:color="000000"/>
            </w:tcBorders>
            <w:shd w:val="clear" w:color="auto" w:fill="auto"/>
            <w:vAlign w:val="bottom"/>
          </w:tcPr>
          <w:p w14:paraId="2A73B637" w14:textId="77777777" w:rsidR="00FA5565" w:rsidRDefault="00FA5565">
            <w:pPr>
              <w:textAlignment w:val="bottom"/>
              <w:rPr>
                <w:rFonts w:ascii="Times New Roman" w:hAnsi="Times New Roman"/>
                <w:sz w:val="20"/>
                <w:szCs w:val="20"/>
              </w:rPr>
            </w:pPr>
          </w:p>
        </w:tc>
      </w:tr>
      <w:tr w:rsidR="00FA5565" w14:paraId="2A73B642" w14:textId="77777777">
        <w:tc>
          <w:tcPr>
            <w:tcW w:w="0" w:type="auto"/>
            <w:shd w:val="clear" w:color="auto" w:fill="EFEFEF"/>
            <w:tcMar>
              <w:top w:w="40" w:type="dxa"/>
              <w:left w:w="40" w:type="dxa"/>
              <w:bottom w:w="40" w:type="dxa"/>
              <w:right w:w="40" w:type="dxa"/>
            </w:tcMar>
          </w:tcPr>
          <w:p w14:paraId="2A73B63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Common stock outstanding, ending balances</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63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4,443,236</w:t>
            </w:r>
          </w:p>
        </w:tc>
        <w:tc>
          <w:tcPr>
            <w:tcW w:w="0" w:type="auto"/>
            <w:tcBorders>
              <w:top w:val="single" w:sz="8" w:space="0" w:color="000000"/>
              <w:bottom w:val="double" w:sz="6" w:space="0" w:color="000000"/>
            </w:tcBorders>
            <w:shd w:val="clear" w:color="auto" w:fill="EFEFEF"/>
            <w:vAlign w:val="bottom"/>
          </w:tcPr>
          <w:p w14:paraId="2A73B63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6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B63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4,754,986</w:t>
            </w:r>
          </w:p>
        </w:tc>
        <w:tc>
          <w:tcPr>
            <w:tcW w:w="0" w:type="auto"/>
            <w:tcBorders>
              <w:bottom w:val="double" w:sz="6" w:space="0" w:color="000000"/>
            </w:tcBorders>
            <w:shd w:val="clear" w:color="auto" w:fill="EFEFEF"/>
            <w:vAlign w:val="bottom"/>
          </w:tcPr>
          <w:p w14:paraId="2A73B63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6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B64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5,126,201</w:t>
            </w:r>
          </w:p>
        </w:tc>
        <w:tc>
          <w:tcPr>
            <w:tcW w:w="0" w:type="auto"/>
            <w:tcBorders>
              <w:bottom w:val="double" w:sz="6" w:space="0" w:color="000000"/>
            </w:tcBorders>
            <w:shd w:val="clear" w:color="auto" w:fill="EFEFEF"/>
            <w:vAlign w:val="bottom"/>
          </w:tcPr>
          <w:p w14:paraId="2A73B641" w14:textId="77777777" w:rsidR="00FA5565" w:rsidRDefault="00FA5565">
            <w:pPr>
              <w:textAlignment w:val="bottom"/>
              <w:rPr>
                <w:rFonts w:ascii="Times New Roman" w:hAnsi="Times New Roman"/>
                <w:sz w:val="20"/>
                <w:szCs w:val="20"/>
              </w:rPr>
            </w:pPr>
          </w:p>
        </w:tc>
      </w:tr>
    </w:tbl>
    <w:p w14:paraId="2A73B643" w14:textId="77777777" w:rsidR="00FA5565" w:rsidRDefault="00FA5565">
      <w:pPr>
        <w:spacing w:line="288" w:lineRule="auto"/>
        <w:jc w:val="both"/>
        <w:rPr>
          <w:rFonts w:ascii="Times New Roman" w:hAnsi="Times New Roman"/>
          <w:sz w:val="20"/>
          <w:szCs w:val="20"/>
        </w:rPr>
      </w:pPr>
    </w:p>
    <w:p w14:paraId="2A73B64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Note 8 – Comprehensive Income</w:t>
      </w:r>
    </w:p>
    <w:p w14:paraId="2A73B64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Company’s OCI consists of foreign currency translation adjustments from those </w:t>
      </w:r>
      <w:r>
        <w:rPr>
          <w:rFonts w:ascii="Helvetica" w:eastAsia="Helvetica" w:hAnsi="Helvetica" w:cs="Helvetica"/>
          <w:sz w:val="18"/>
          <w:szCs w:val="18"/>
        </w:rPr>
        <w:t>subsidiaries not using the U.S. dollar as their functional currency, net deferred gains and losses on certain derivative instruments accounted for as cash flow hedges and unrealized gains and losses on marketable debt securities classified as available-for</w:t>
      </w:r>
      <w:r>
        <w:rPr>
          <w:rFonts w:ascii="Helvetica" w:eastAsia="Helvetica" w:hAnsi="Helvetica" w:cs="Helvetica"/>
          <w:sz w:val="18"/>
          <w:szCs w:val="18"/>
        </w:rPr>
        <w:t>-sale.</w:t>
      </w:r>
    </w:p>
    <w:p w14:paraId="2A73B64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 shows the pre-tax amounts reclassified from AOCI into the Consolidated Statements of Operations, and the associated financial statement line item, for 2019 and 2018 (in millions):</w:t>
      </w:r>
    </w:p>
    <w:tbl>
      <w:tblPr>
        <w:tblW w:w="5000" w:type="pct"/>
        <w:tblCellMar>
          <w:left w:w="0" w:type="dxa"/>
          <w:right w:w="0" w:type="dxa"/>
        </w:tblCellMar>
        <w:tblLook w:val="04A0" w:firstRow="1" w:lastRow="0" w:firstColumn="1" w:lastColumn="0" w:noHBand="0" w:noVBand="1"/>
      </w:tblPr>
      <w:tblGrid>
        <w:gridCol w:w="3416"/>
        <w:gridCol w:w="130"/>
        <w:gridCol w:w="2170"/>
        <w:gridCol w:w="130"/>
        <w:gridCol w:w="141"/>
        <w:gridCol w:w="924"/>
        <w:gridCol w:w="100"/>
        <w:gridCol w:w="130"/>
        <w:gridCol w:w="141"/>
        <w:gridCol w:w="924"/>
        <w:gridCol w:w="100"/>
      </w:tblGrid>
      <w:tr w:rsidR="00FA5565" w14:paraId="2A73B648" w14:textId="77777777">
        <w:tc>
          <w:tcPr>
            <w:tcW w:w="0" w:type="auto"/>
            <w:gridSpan w:val="11"/>
            <w:shd w:val="clear" w:color="auto" w:fill="auto"/>
            <w:vAlign w:val="center"/>
          </w:tcPr>
          <w:p w14:paraId="2A73B647" w14:textId="77777777" w:rsidR="00FA5565" w:rsidRDefault="00FA5565">
            <w:pPr>
              <w:rPr>
                <w:rFonts w:ascii="Times New Roman" w:hAnsi="Times New Roman"/>
                <w:sz w:val="20"/>
                <w:szCs w:val="20"/>
              </w:rPr>
            </w:pPr>
          </w:p>
        </w:tc>
      </w:tr>
      <w:tr w:rsidR="00FA5565" w14:paraId="2A73B654" w14:textId="77777777">
        <w:tc>
          <w:tcPr>
            <w:tcW w:w="2100" w:type="pct"/>
            <w:shd w:val="clear" w:color="auto" w:fill="auto"/>
            <w:vAlign w:val="center"/>
          </w:tcPr>
          <w:p w14:paraId="2A73B649" w14:textId="77777777" w:rsidR="00FA5565" w:rsidRDefault="00FA5565">
            <w:pPr>
              <w:rPr>
                <w:rFonts w:ascii="Times New Roman" w:hAnsi="Times New Roman"/>
                <w:sz w:val="20"/>
                <w:szCs w:val="20"/>
              </w:rPr>
            </w:pPr>
          </w:p>
        </w:tc>
        <w:tc>
          <w:tcPr>
            <w:tcW w:w="50" w:type="pct"/>
            <w:shd w:val="clear" w:color="auto" w:fill="auto"/>
            <w:vAlign w:val="center"/>
          </w:tcPr>
          <w:p w14:paraId="2A73B64A" w14:textId="77777777" w:rsidR="00FA5565" w:rsidRDefault="00FA5565">
            <w:pPr>
              <w:rPr>
                <w:rFonts w:ascii="Times New Roman" w:hAnsi="Times New Roman"/>
                <w:sz w:val="20"/>
                <w:szCs w:val="20"/>
              </w:rPr>
            </w:pPr>
          </w:p>
        </w:tc>
        <w:tc>
          <w:tcPr>
            <w:tcW w:w="1350" w:type="pct"/>
            <w:shd w:val="clear" w:color="auto" w:fill="auto"/>
            <w:vAlign w:val="center"/>
          </w:tcPr>
          <w:p w14:paraId="2A73B64B" w14:textId="77777777" w:rsidR="00FA5565" w:rsidRDefault="00FA5565">
            <w:pPr>
              <w:rPr>
                <w:rFonts w:ascii="Times New Roman" w:hAnsi="Times New Roman"/>
                <w:sz w:val="20"/>
                <w:szCs w:val="20"/>
              </w:rPr>
            </w:pPr>
          </w:p>
        </w:tc>
        <w:tc>
          <w:tcPr>
            <w:tcW w:w="50" w:type="pct"/>
            <w:shd w:val="clear" w:color="auto" w:fill="auto"/>
            <w:vAlign w:val="center"/>
          </w:tcPr>
          <w:p w14:paraId="2A73B64C" w14:textId="77777777" w:rsidR="00FA5565" w:rsidRDefault="00FA5565">
            <w:pPr>
              <w:rPr>
                <w:rFonts w:ascii="Times New Roman" w:hAnsi="Times New Roman"/>
                <w:sz w:val="20"/>
                <w:szCs w:val="20"/>
              </w:rPr>
            </w:pPr>
          </w:p>
        </w:tc>
        <w:tc>
          <w:tcPr>
            <w:tcW w:w="50" w:type="pct"/>
            <w:shd w:val="clear" w:color="auto" w:fill="auto"/>
            <w:vAlign w:val="center"/>
          </w:tcPr>
          <w:p w14:paraId="2A73B64D" w14:textId="77777777" w:rsidR="00FA5565" w:rsidRDefault="00FA5565">
            <w:pPr>
              <w:rPr>
                <w:rFonts w:ascii="Times New Roman" w:hAnsi="Times New Roman"/>
                <w:sz w:val="20"/>
                <w:szCs w:val="20"/>
              </w:rPr>
            </w:pPr>
          </w:p>
        </w:tc>
        <w:tc>
          <w:tcPr>
            <w:tcW w:w="600" w:type="pct"/>
            <w:shd w:val="clear" w:color="auto" w:fill="auto"/>
            <w:vAlign w:val="center"/>
          </w:tcPr>
          <w:p w14:paraId="2A73B64E" w14:textId="77777777" w:rsidR="00FA5565" w:rsidRDefault="00FA5565">
            <w:pPr>
              <w:rPr>
                <w:rFonts w:ascii="Times New Roman" w:hAnsi="Times New Roman"/>
                <w:sz w:val="20"/>
                <w:szCs w:val="20"/>
              </w:rPr>
            </w:pPr>
          </w:p>
        </w:tc>
        <w:tc>
          <w:tcPr>
            <w:tcW w:w="50" w:type="pct"/>
            <w:shd w:val="clear" w:color="auto" w:fill="auto"/>
            <w:vAlign w:val="center"/>
          </w:tcPr>
          <w:p w14:paraId="2A73B64F" w14:textId="77777777" w:rsidR="00FA5565" w:rsidRDefault="00FA5565">
            <w:pPr>
              <w:rPr>
                <w:rFonts w:ascii="Times New Roman" w:hAnsi="Times New Roman"/>
                <w:sz w:val="20"/>
                <w:szCs w:val="20"/>
              </w:rPr>
            </w:pPr>
          </w:p>
        </w:tc>
        <w:tc>
          <w:tcPr>
            <w:tcW w:w="50" w:type="pct"/>
            <w:shd w:val="clear" w:color="auto" w:fill="auto"/>
            <w:vAlign w:val="center"/>
          </w:tcPr>
          <w:p w14:paraId="2A73B650" w14:textId="77777777" w:rsidR="00FA5565" w:rsidRDefault="00FA5565">
            <w:pPr>
              <w:rPr>
                <w:rFonts w:ascii="Times New Roman" w:hAnsi="Times New Roman"/>
                <w:sz w:val="20"/>
                <w:szCs w:val="20"/>
              </w:rPr>
            </w:pPr>
          </w:p>
        </w:tc>
        <w:tc>
          <w:tcPr>
            <w:tcW w:w="50" w:type="pct"/>
            <w:shd w:val="clear" w:color="auto" w:fill="auto"/>
            <w:vAlign w:val="center"/>
          </w:tcPr>
          <w:p w14:paraId="2A73B651" w14:textId="77777777" w:rsidR="00FA5565" w:rsidRDefault="00FA5565">
            <w:pPr>
              <w:rPr>
                <w:rFonts w:ascii="Times New Roman" w:hAnsi="Times New Roman"/>
                <w:sz w:val="20"/>
                <w:szCs w:val="20"/>
              </w:rPr>
            </w:pPr>
          </w:p>
        </w:tc>
        <w:tc>
          <w:tcPr>
            <w:tcW w:w="600" w:type="pct"/>
            <w:shd w:val="clear" w:color="auto" w:fill="auto"/>
            <w:vAlign w:val="center"/>
          </w:tcPr>
          <w:p w14:paraId="2A73B652" w14:textId="77777777" w:rsidR="00FA5565" w:rsidRDefault="00FA5565">
            <w:pPr>
              <w:rPr>
                <w:rFonts w:ascii="Times New Roman" w:hAnsi="Times New Roman"/>
                <w:sz w:val="20"/>
                <w:szCs w:val="20"/>
              </w:rPr>
            </w:pPr>
          </w:p>
        </w:tc>
        <w:tc>
          <w:tcPr>
            <w:tcW w:w="50" w:type="pct"/>
            <w:shd w:val="clear" w:color="auto" w:fill="auto"/>
            <w:vAlign w:val="center"/>
          </w:tcPr>
          <w:p w14:paraId="2A73B653" w14:textId="77777777" w:rsidR="00FA5565" w:rsidRDefault="00FA5565">
            <w:pPr>
              <w:rPr>
                <w:rFonts w:ascii="Times New Roman" w:hAnsi="Times New Roman"/>
                <w:sz w:val="20"/>
                <w:szCs w:val="20"/>
              </w:rPr>
            </w:pPr>
          </w:p>
        </w:tc>
      </w:tr>
      <w:tr w:rsidR="00FA5565" w14:paraId="2A73B65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2A73B655"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 xml:space="preserve">Comprehensive Income </w:t>
            </w:r>
            <w:r>
              <w:rPr>
                <w:rFonts w:ascii="Helvetica" w:eastAsia="Helvetica" w:hAnsi="Helvetica" w:cs="Helvetica"/>
                <w:b/>
                <w:bCs/>
                <w:sz w:val="16"/>
                <w:szCs w:val="16"/>
              </w:rPr>
              <w:t>Components</w:t>
            </w:r>
          </w:p>
        </w:tc>
        <w:tc>
          <w:tcPr>
            <w:tcW w:w="0" w:type="auto"/>
            <w:shd w:val="clear" w:color="auto" w:fill="auto"/>
            <w:tcMar>
              <w:top w:w="40" w:type="dxa"/>
              <w:left w:w="40" w:type="dxa"/>
              <w:bottom w:w="40" w:type="dxa"/>
              <w:right w:w="40" w:type="dxa"/>
            </w:tcMar>
            <w:vAlign w:val="bottom"/>
          </w:tcPr>
          <w:p w14:paraId="2A73B6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657"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Financial Statement Line Item</w:t>
            </w:r>
          </w:p>
        </w:tc>
        <w:tc>
          <w:tcPr>
            <w:tcW w:w="0" w:type="auto"/>
            <w:shd w:val="clear" w:color="auto" w:fill="auto"/>
            <w:tcMar>
              <w:top w:w="40" w:type="dxa"/>
              <w:left w:w="40" w:type="dxa"/>
              <w:bottom w:w="40" w:type="dxa"/>
              <w:right w:w="40" w:type="dxa"/>
            </w:tcMar>
            <w:vAlign w:val="bottom"/>
          </w:tcPr>
          <w:p w14:paraId="2A73B65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65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65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65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r>
      <w:tr w:rsidR="00FA5565" w14:paraId="2A73B664" w14:textId="77777777">
        <w:tc>
          <w:tcPr>
            <w:tcW w:w="0" w:type="auto"/>
            <w:shd w:val="clear" w:color="auto" w:fill="auto"/>
            <w:tcMar>
              <w:top w:w="40" w:type="dxa"/>
              <w:left w:w="40" w:type="dxa"/>
              <w:bottom w:w="40" w:type="dxa"/>
              <w:right w:w="40" w:type="dxa"/>
            </w:tcMar>
          </w:tcPr>
          <w:p w14:paraId="2A73B65D"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Unrealized (gains)/losses on derivative instruments:</w:t>
            </w:r>
          </w:p>
        </w:tc>
        <w:tc>
          <w:tcPr>
            <w:tcW w:w="0" w:type="auto"/>
            <w:shd w:val="clear" w:color="auto" w:fill="auto"/>
            <w:tcMar>
              <w:top w:w="40" w:type="dxa"/>
              <w:left w:w="40" w:type="dxa"/>
              <w:bottom w:w="40" w:type="dxa"/>
              <w:right w:w="40" w:type="dxa"/>
            </w:tcMar>
            <w:vAlign w:val="bottom"/>
          </w:tcPr>
          <w:p w14:paraId="2A73B6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65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6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66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66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66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670" w14:textId="77777777">
        <w:tc>
          <w:tcPr>
            <w:tcW w:w="0" w:type="auto"/>
            <w:shd w:val="clear" w:color="auto" w:fill="EFEFEF"/>
            <w:tcMar>
              <w:top w:w="40" w:type="dxa"/>
              <w:left w:w="560" w:type="dxa"/>
              <w:bottom w:w="40" w:type="dxa"/>
              <w:right w:w="40" w:type="dxa"/>
            </w:tcMar>
          </w:tcPr>
          <w:p w14:paraId="2A73B66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Foreign exchange contracts</w:t>
            </w:r>
          </w:p>
        </w:tc>
        <w:tc>
          <w:tcPr>
            <w:tcW w:w="0" w:type="auto"/>
            <w:shd w:val="clear" w:color="auto" w:fill="EFEFEF"/>
            <w:tcMar>
              <w:top w:w="40" w:type="dxa"/>
              <w:left w:w="40" w:type="dxa"/>
              <w:bottom w:w="40" w:type="dxa"/>
              <w:right w:w="40" w:type="dxa"/>
            </w:tcMar>
            <w:vAlign w:val="bottom"/>
          </w:tcPr>
          <w:p w14:paraId="2A73B66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667"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Total net sales</w:t>
            </w:r>
          </w:p>
        </w:tc>
        <w:tc>
          <w:tcPr>
            <w:tcW w:w="0" w:type="auto"/>
            <w:shd w:val="clear" w:color="auto" w:fill="EFEFEF"/>
            <w:tcMar>
              <w:top w:w="40" w:type="dxa"/>
              <w:left w:w="40" w:type="dxa"/>
              <w:bottom w:w="40" w:type="dxa"/>
              <w:right w:w="40" w:type="dxa"/>
            </w:tcMar>
            <w:vAlign w:val="bottom"/>
          </w:tcPr>
          <w:p w14:paraId="2A73B66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66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66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(206</w:t>
            </w:r>
          </w:p>
        </w:tc>
        <w:tc>
          <w:tcPr>
            <w:tcW w:w="0" w:type="auto"/>
            <w:shd w:val="clear" w:color="auto" w:fill="EFEFEF"/>
            <w:tcMar>
              <w:top w:w="40" w:type="dxa"/>
              <w:bottom w:w="40" w:type="dxa"/>
              <w:right w:w="40" w:type="dxa"/>
            </w:tcMar>
            <w:vAlign w:val="bottom"/>
          </w:tcPr>
          <w:p w14:paraId="2A73B66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66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66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66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214</w:t>
            </w:r>
          </w:p>
        </w:tc>
        <w:tc>
          <w:tcPr>
            <w:tcW w:w="0" w:type="auto"/>
            <w:shd w:val="clear" w:color="auto" w:fill="EFEFEF"/>
            <w:vAlign w:val="bottom"/>
          </w:tcPr>
          <w:p w14:paraId="2A73B66F" w14:textId="77777777" w:rsidR="00FA5565" w:rsidRDefault="00FA5565">
            <w:pPr>
              <w:textAlignment w:val="bottom"/>
              <w:rPr>
                <w:rFonts w:ascii="Times New Roman" w:hAnsi="Times New Roman"/>
                <w:sz w:val="20"/>
                <w:szCs w:val="20"/>
              </w:rPr>
            </w:pPr>
          </w:p>
        </w:tc>
      </w:tr>
      <w:tr w:rsidR="00FA5565" w14:paraId="2A73B67A" w14:textId="77777777">
        <w:tc>
          <w:tcPr>
            <w:tcW w:w="0" w:type="auto"/>
            <w:shd w:val="clear" w:color="auto" w:fill="auto"/>
            <w:tcMar>
              <w:top w:w="40" w:type="dxa"/>
              <w:left w:w="40" w:type="dxa"/>
              <w:bottom w:w="40" w:type="dxa"/>
              <w:right w:w="40" w:type="dxa"/>
            </w:tcMar>
            <w:vAlign w:val="bottom"/>
          </w:tcPr>
          <w:p w14:paraId="2A73B67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67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673"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Total cost of sales</w:t>
            </w:r>
          </w:p>
        </w:tc>
        <w:tc>
          <w:tcPr>
            <w:tcW w:w="0" w:type="auto"/>
            <w:shd w:val="clear" w:color="auto" w:fill="auto"/>
            <w:tcMar>
              <w:top w:w="40" w:type="dxa"/>
              <w:left w:w="40" w:type="dxa"/>
              <w:bottom w:w="40" w:type="dxa"/>
              <w:right w:w="40" w:type="dxa"/>
            </w:tcMar>
            <w:vAlign w:val="bottom"/>
          </w:tcPr>
          <w:p w14:paraId="2A73B6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67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(482</w:t>
            </w:r>
          </w:p>
        </w:tc>
        <w:tc>
          <w:tcPr>
            <w:tcW w:w="0" w:type="auto"/>
            <w:shd w:val="clear" w:color="auto" w:fill="auto"/>
            <w:tcMar>
              <w:top w:w="40" w:type="dxa"/>
              <w:bottom w:w="40" w:type="dxa"/>
              <w:right w:w="40" w:type="dxa"/>
            </w:tcMar>
            <w:vAlign w:val="bottom"/>
          </w:tcPr>
          <w:p w14:paraId="2A73B67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67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67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(70</w:t>
            </w:r>
          </w:p>
        </w:tc>
        <w:tc>
          <w:tcPr>
            <w:tcW w:w="0" w:type="auto"/>
            <w:shd w:val="clear" w:color="auto" w:fill="auto"/>
            <w:tcMar>
              <w:top w:w="40" w:type="dxa"/>
              <w:bottom w:w="40" w:type="dxa"/>
              <w:right w:w="40" w:type="dxa"/>
            </w:tcMar>
            <w:vAlign w:val="bottom"/>
          </w:tcPr>
          <w:p w14:paraId="2A73B67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684" w14:textId="77777777">
        <w:tc>
          <w:tcPr>
            <w:tcW w:w="0" w:type="auto"/>
            <w:shd w:val="clear" w:color="auto" w:fill="EFEFEF"/>
            <w:tcMar>
              <w:top w:w="40" w:type="dxa"/>
              <w:left w:w="40" w:type="dxa"/>
              <w:bottom w:w="40" w:type="dxa"/>
              <w:right w:w="40" w:type="dxa"/>
            </w:tcMar>
            <w:vAlign w:val="bottom"/>
          </w:tcPr>
          <w:p w14:paraId="2A73B67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67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67D"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 xml:space="preserve">Other </w:t>
            </w:r>
            <w:r>
              <w:rPr>
                <w:rFonts w:ascii="Helvetica" w:eastAsia="Helvetica" w:hAnsi="Helvetica" w:cs="Helvetica"/>
                <w:sz w:val="18"/>
                <w:szCs w:val="18"/>
              </w:rPr>
              <w:t>income/(expense), net</w:t>
            </w:r>
          </w:p>
        </w:tc>
        <w:tc>
          <w:tcPr>
            <w:tcW w:w="0" w:type="auto"/>
            <w:shd w:val="clear" w:color="auto" w:fill="EFEFEF"/>
            <w:tcMar>
              <w:top w:w="40" w:type="dxa"/>
              <w:left w:w="40" w:type="dxa"/>
              <w:bottom w:w="40" w:type="dxa"/>
              <w:right w:w="40" w:type="dxa"/>
            </w:tcMar>
            <w:vAlign w:val="bottom"/>
          </w:tcPr>
          <w:p w14:paraId="2A73B67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67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784</w:t>
            </w:r>
          </w:p>
        </w:tc>
        <w:tc>
          <w:tcPr>
            <w:tcW w:w="0" w:type="auto"/>
            <w:shd w:val="clear" w:color="auto" w:fill="EFEFEF"/>
            <w:vAlign w:val="bottom"/>
          </w:tcPr>
          <w:p w14:paraId="2A73B68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6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68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344</w:t>
            </w:r>
          </w:p>
        </w:tc>
        <w:tc>
          <w:tcPr>
            <w:tcW w:w="0" w:type="auto"/>
            <w:shd w:val="clear" w:color="auto" w:fill="EFEFEF"/>
            <w:vAlign w:val="bottom"/>
          </w:tcPr>
          <w:p w14:paraId="2A73B683" w14:textId="77777777" w:rsidR="00FA5565" w:rsidRDefault="00FA5565">
            <w:pPr>
              <w:textAlignment w:val="bottom"/>
              <w:rPr>
                <w:rFonts w:ascii="Times New Roman" w:hAnsi="Times New Roman"/>
                <w:sz w:val="20"/>
                <w:szCs w:val="20"/>
              </w:rPr>
            </w:pPr>
          </w:p>
        </w:tc>
      </w:tr>
      <w:tr w:rsidR="00FA5565" w14:paraId="2A73B68E" w14:textId="77777777">
        <w:tc>
          <w:tcPr>
            <w:tcW w:w="0" w:type="auto"/>
            <w:shd w:val="clear" w:color="auto" w:fill="auto"/>
            <w:tcMar>
              <w:top w:w="40" w:type="dxa"/>
              <w:left w:w="560" w:type="dxa"/>
              <w:bottom w:w="40" w:type="dxa"/>
              <w:right w:w="40" w:type="dxa"/>
            </w:tcMar>
          </w:tcPr>
          <w:p w14:paraId="2A73B68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Interest rate contracts</w:t>
            </w:r>
          </w:p>
        </w:tc>
        <w:tc>
          <w:tcPr>
            <w:tcW w:w="0" w:type="auto"/>
            <w:shd w:val="clear" w:color="auto" w:fill="auto"/>
            <w:tcMar>
              <w:top w:w="40" w:type="dxa"/>
              <w:left w:w="40" w:type="dxa"/>
              <w:bottom w:w="40" w:type="dxa"/>
              <w:right w:w="40" w:type="dxa"/>
            </w:tcMar>
            <w:vAlign w:val="bottom"/>
          </w:tcPr>
          <w:p w14:paraId="2A73B68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687"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Other income/(expense), net</w:t>
            </w:r>
          </w:p>
        </w:tc>
        <w:tc>
          <w:tcPr>
            <w:tcW w:w="0" w:type="auto"/>
            <w:shd w:val="clear" w:color="auto" w:fill="auto"/>
            <w:tcMar>
              <w:top w:w="40" w:type="dxa"/>
              <w:left w:w="40" w:type="dxa"/>
              <w:bottom w:w="40" w:type="dxa"/>
              <w:right w:w="40" w:type="dxa"/>
            </w:tcMar>
            <w:vAlign w:val="bottom"/>
          </w:tcPr>
          <w:p w14:paraId="2A73B6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68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w:t>
            </w:r>
          </w:p>
        </w:tc>
        <w:tc>
          <w:tcPr>
            <w:tcW w:w="0" w:type="auto"/>
            <w:tcBorders>
              <w:bottom w:val="single" w:sz="8" w:space="0" w:color="000000"/>
            </w:tcBorders>
            <w:shd w:val="clear" w:color="auto" w:fill="auto"/>
            <w:vAlign w:val="bottom"/>
          </w:tcPr>
          <w:p w14:paraId="2A73B68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6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68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w:t>
            </w:r>
          </w:p>
        </w:tc>
        <w:tc>
          <w:tcPr>
            <w:tcW w:w="0" w:type="auto"/>
            <w:tcBorders>
              <w:bottom w:val="single" w:sz="8" w:space="0" w:color="000000"/>
            </w:tcBorders>
            <w:shd w:val="clear" w:color="auto" w:fill="auto"/>
            <w:tcMar>
              <w:top w:w="40" w:type="dxa"/>
              <w:bottom w:w="40" w:type="dxa"/>
              <w:right w:w="40" w:type="dxa"/>
            </w:tcMar>
            <w:vAlign w:val="bottom"/>
          </w:tcPr>
          <w:p w14:paraId="2A73B68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698" w14:textId="77777777">
        <w:tc>
          <w:tcPr>
            <w:tcW w:w="0" w:type="auto"/>
            <w:shd w:val="clear" w:color="auto" w:fill="EFEFEF"/>
            <w:tcMar>
              <w:top w:w="40" w:type="dxa"/>
              <w:left w:w="40" w:type="dxa"/>
              <w:bottom w:w="40" w:type="dxa"/>
              <w:right w:w="40" w:type="dxa"/>
            </w:tcMar>
            <w:vAlign w:val="bottom"/>
          </w:tcPr>
          <w:p w14:paraId="2A73B6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6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6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69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69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103</w:t>
            </w:r>
          </w:p>
        </w:tc>
        <w:tc>
          <w:tcPr>
            <w:tcW w:w="0" w:type="auto"/>
            <w:shd w:val="clear" w:color="auto" w:fill="EFEFEF"/>
            <w:vAlign w:val="bottom"/>
          </w:tcPr>
          <w:p w14:paraId="2A73B69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6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69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486</w:t>
            </w:r>
          </w:p>
        </w:tc>
        <w:tc>
          <w:tcPr>
            <w:tcW w:w="0" w:type="auto"/>
            <w:shd w:val="clear" w:color="auto" w:fill="EFEFEF"/>
            <w:vAlign w:val="bottom"/>
          </w:tcPr>
          <w:p w14:paraId="2A73B697" w14:textId="77777777" w:rsidR="00FA5565" w:rsidRDefault="00FA5565">
            <w:pPr>
              <w:textAlignment w:val="bottom"/>
              <w:rPr>
                <w:rFonts w:ascii="Times New Roman" w:hAnsi="Times New Roman"/>
                <w:sz w:val="20"/>
                <w:szCs w:val="20"/>
              </w:rPr>
            </w:pPr>
          </w:p>
        </w:tc>
      </w:tr>
      <w:tr w:rsidR="00FA5565" w14:paraId="2A73B6A2" w14:textId="77777777">
        <w:tc>
          <w:tcPr>
            <w:tcW w:w="0" w:type="auto"/>
            <w:shd w:val="clear" w:color="auto" w:fill="auto"/>
            <w:tcMar>
              <w:top w:w="40" w:type="dxa"/>
              <w:left w:w="40" w:type="dxa"/>
              <w:bottom w:w="40" w:type="dxa"/>
              <w:right w:w="40" w:type="dxa"/>
            </w:tcMar>
          </w:tcPr>
          <w:p w14:paraId="2A73B69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Unrealized (gains)/losses on marketable securities</w:t>
            </w:r>
          </w:p>
        </w:tc>
        <w:tc>
          <w:tcPr>
            <w:tcW w:w="0" w:type="auto"/>
            <w:shd w:val="clear" w:color="auto" w:fill="auto"/>
            <w:tcMar>
              <w:top w:w="40" w:type="dxa"/>
              <w:left w:w="40" w:type="dxa"/>
              <w:bottom w:w="40" w:type="dxa"/>
              <w:right w:w="40" w:type="dxa"/>
            </w:tcMar>
            <w:vAlign w:val="bottom"/>
          </w:tcPr>
          <w:p w14:paraId="2A73B69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69B"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Other income/(expense), net</w:t>
            </w:r>
          </w:p>
        </w:tc>
        <w:tc>
          <w:tcPr>
            <w:tcW w:w="0" w:type="auto"/>
            <w:shd w:val="clear" w:color="auto" w:fill="auto"/>
            <w:tcMar>
              <w:top w:w="40" w:type="dxa"/>
              <w:left w:w="40" w:type="dxa"/>
              <w:bottom w:w="40" w:type="dxa"/>
              <w:right w:w="40" w:type="dxa"/>
            </w:tcMar>
            <w:vAlign w:val="bottom"/>
          </w:tcPr>
          <w:p w14:paraId="2A73B6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69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31</w:t>
            </w:r>
          </w:p>
        </w:tc>
        <w:tc>
          <w:tcPr>
            <w:tcW w:w="0" w:type="auto"/>
            <w:tcBorders>
              <w:bottom w:val="single" w:sz="8" w:space="0" w:color="000000"/>
            </w:tcBorders>
            <w:shd w:val="clear" w:color="auto" w:fill="auto"/>
            <w:vAlign w:val="bottom"/>
          </w:tcPr>
          <w:p w14:paraId="2A73B69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69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6A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w:t>
            </w:r>
          </w:p>
        </w:tc>
        <w:tc>
          <w:tcPr>
            <w:tcW w:w="0" w:type="auto"/>
            <w:tcBorders>
              <w:bottom w:val="single" w:sz="8" w:space="0" w:color="000000"/>
            </w:tcBorders>
            <w:shd w:val="clear" w:color="auto" w:fill="auto"/>
            <w:tcMar>
              <w:top w:w="40" w:type="dxa"/>
              <w:bottom w:w="40" w:type="dxa"/>
              <w:right w:w="40" w:type="dxa"/>
            </w:tcMar>
            <w:vAlign w:val="bottom"/>
          </w:tcPr>
          <w:p w14:paraId="2A73B6A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6AE" w14:textId="77777777">
        <w:tc>
          <w:tcPr>
            <w:tcW w:w="0" w:type="auto"/>
            <w:shd w:val="clear" w:color="auto" w:fill="EFEFEF"/>
            <w:tcMar>
              <w:top w:w="40" w:type="dxa"/>
              <w:left w:w="1040" w:type="dxa"/>
              <w:bottom w:w="40" w:type="dxa"/>
              <w:right w:w="40" w:type="dxa"/>
            </w:tcMar>
          </w:tcPr>
          <w:p w14:paraId="2A73B6A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 xml:space="preserve">Total amounts </w:t>
            </w:r>
            <w:r>
              <w:rPr>
                <w:rFonts w:ascii="Helvetica" w:eastAsia="Helvetica" w:hAnsi="Helvetica" w:cs="Helvetica"/>
                <w:sz w:val="18"/>
                <w:szCs w:val="18"/>
              </w:rPr>
              <w:t>reclassified from AOCI</w:t>
            </w:r>
          </w:p>
        </w:tc>
        <w:tc>
          <w:tcPr>
            <w:tcW w:w="0" w:type="auto"/>
            <w:shd w:val="clear" w:color="auto" w:fill="EFEFEF"/>
            <w:tcMar>
              <w:top w:w="40" w:type="dxa"/>
              <w:left w:w="40" w:type="dxa"/>
              <w:bottom w:w="40" w:type="dxa"/>
              <w:right w:w="40" w:type="dxa"/>
            </w:tcMar>
            <w:vAlign w:val="bottom"/>
          </w:tcPr>
          <w:p w14:paraId="2A73B6A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6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6A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B6A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6A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134</w:t>
            </w:r>
          </w:p>
        </w:tc>
        <w:tc>
          <w:tcPr>
            <w:tcW w:w="0" w:type="auto"/>
            <w:tcBorders>
              <w:bottom w:val="double" w:sz="6" w:space="0" w:color="000000"/>
            </w:tcBorders>
            <w:shd w:val="clear" w:color="auto" w:fill="EFEFEF"/>
            <w:vAlign w:val="bottom"/>
          </w:tcPr>
          <w:p w14:paraId="2A73B6A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6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B6A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6A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466</w:t>
            </w:r>
          </w:p>
        </w:tc>
        <w:tc>
          <w:tcPr>
            <w:tcW w:w="0" w:type="auto"/>
            <w:tcBorders>
              <w:bottom w:val="double" w:sz="6" w:space="0" w:color="000000"/>
            </w:tcBorders>
            <w:shd w:val="clear" w:color="auto" w:fill="EFEFEF"/>
            <w:vAlign w:val="bottom"/>
          </w:tcPr>
          <w:p w14:paraId="2A73B6AD" w14:textId="77777777" w:rsidR="00FA5565" w:rsidRDefault="00FA5565">
            <w:pPr>
              <w:textAlignment w:val="bottom"/>
              <w:rPr>
                <w:rFonts w:ascii="Times New Roman" w:hAnsi="Times New Roman"/>
                <w:sz w:val="20"/>
                <w:szCs w:val="20"/>
              </w:rPr>
            </w:pPr>
          </w:p>
        </w:tc>
      </w:tr>
    </w:tbl>
    <w:p w14:paraId="2A73B6AF" w14:textId="77777777" w:rsidR="00FA5565" w:rsidRDefault="00FA5565">
      <w:pPr>
        <w:spacing w:line="288" w:lineRule="auto"/>
        <w:jc w:val="both"/>
        <w:rPr>
          <w:rFonts w:ascii="Times New Roman" w:hAnsi="Times New Roman"/>
          <w:sz w:val="20"/>
          <w:szCs w:val="20"/>
        </w:rPr>
      </w:pPr>
    </w:p>
    <w:p w14:paraId="2A73B6B0" w14:textId="77777777" w:rsidR="00FA5565" w:rsidRDefault="00FA5565">
      <w:pPr>
        <w:rPr>
          <w:rFonts w:ascii="Times New Roman" w:hAnsi="Times New Roman"/>
          <w:sz w:val="20"/>
          <w:szCs w:val="20"/>
        </w:rPr>
      </w:pPr>
    </w:p>
    <w:p w14:paraId="2A73B6B1"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48</w:t>
      </w:r>
    </w:p>
    <w:p w14:paraId="2A73B6B2" w14:textId="77777777" w:rsidR="00FA5565" w:rsidRDefault="00D804D1">
      <w:r>
        <w:rPr>
          <w:rFonts w:ascii="Times New Roman" w:hAnsi="Times New Roman"/>
          <w:sz w:val="16"/>
          <w:szCs w:val="16"/>
        </w:rPr>
        <w:pict w14:anchorId="2A73C0CC">
          <v:rect id="_x0000_i1074" style="width:415.3pt;height:1.5pt" o:hralign="center" o:hrstd="t" o:hr="t" fillcolor="#a0a0a0" stroked="f"/>
        </w:pict>
      </w:r>
    </w:p>
    <w:p w14:paraId="2A73B6B3" w14:textId="77777777" w:rsidR="00FA5565" w:rsidRDefault="00FA5565">
      <w:pPr>
        <w:rPr>
          <w:rFonts w:ascii="Times New Roman" w:hAnsi="Times New Roman"/>
          <w:sz w:val="20"/>
          <w:szCs w:val="20"/>
        </w:rPr>
      </w:pPr>
    </w:p>
    <w:p w14:paraId="2A73B6B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 shows the changes in AOCI by component for 2019 and 2018 (in millions):</w:t>
      </w:r>
    </w:p>
    <w:tbl>
      <w:tblPr>
        <w:tblW w:w="5000" w:type="pct"/>
        <w:tblCellMar>
          <w:left w:w="0" w:type="dxa"/>
          <w:right w:w="0" w:type="dxa"/>
        </w:tblCellMar>
        <w:tblLook w:val="04A0" w:firstRow="1" w:lastRow="0" w:firstColumn="1" w:lastColumn="0" w:noHBand="0" w:noVBand="1"/>
      </w:tblPr>
      <w:tblGrid>
        <w:gridCol w:w="3648"/>
        <w:gridCol w:w="142"/>
        <w:gridCol w:w="786"/>
        <w:gridCol w:w="100"/>
        <w:gridCol w:w="130"/>
        <w:gridCol w:w="142"/>
        <w:gridCol w:w="960"/>
        <w:gridCol w:w="100"/>
        <w:gridCol w:w="130"/>
        <w:gridCol w:w="142"/>
        <w:gridCol w:w="960"/>
        <w:gridCol w:w="100"/>
        <w:gridCol w:w="130"/>
        <w:gridCol w:w="142"/>
        <w:gridCol w:w="594"/>
        <w:gridCol w:w="100"/>
      </w:tblGrid>
      <w:tr w:rsidR="00FA5565" w14:paraId="2A73B6B6" w14:textId="77777777">
        <w:tc>
          <w:tcPr>
            <w:tcW w:w="0" w:type="auto"/>
            <w:gridSpan w:val="16"/>
            <w:shd w:val="clear" w:color="auto" w:fill="auto"/>
            <w:vAlign w:val="center"/>
          </w:tcPr>
          <w:p w14:paraId="2A73B6B5" w14:textId="77777777" w:rsidR="00FA5565" w:rsidRDefault="00FA5565">
            <w:pPr>
              <w:rPr>
                <w:rFonts w:ascii="Times New Roman" w:hAnsi="Times New Roman"/>
                <w:sz w:val="20"/>
                <w:szCs w:val="20"/>
              </w:rPr>
            </w:pPr>
          </w:p>
        </w:tc>
      </w:tr>
      <w:tr w:rsidR="00FA5565" w14:paraId="2A73B6C7" w14:textId="77777777">
        <w:tc>
          <w:tcPr>
            <w:tcW w:w="2250" w:type="pct"/>
            <w:shd w:val="clear" w:color="auto" w:fill="auto"/>
            <w:vAlign w:val="center"/>
          </w:tcPr>
          <w:p w14:paraId="2A73B6B7" w14:textId="77777777" w:rsidR="00FA5565" w:rsidRDefault="00FA5565">
            <w:pPr>
              <w:rPr>
                <w:rFonts w:ascii="Times New Roman" w:hAnsi="Times New Roman"/>
                <w:sz w:val="20"/>
                <w:szCs w:val="20"/>
              </w:rPr>
            </w:pPr>
          </w:p>
        </w:tc>
        <w:tc>
          <w:tcPr>
            <w:tcW w:w="50" w:type="pct"/>
            <w:shd w:val="clear" w:color="auto" w:fill="auto"/>
            <w:vAlign w:val="center"/>
          </w:tcPr>
          <w:p w14:paraId="2A73B6B8" w14:textId="77777777" w:rsidR="00FA5565" w:rsidRDefault="00FA5565">
            <w:pPr>
              <w:rPr>
                <w:rFonts w:ascii="Times New Roman" w:hAnsi="Times New Roman"/>
                <w:sz w:val="20"/>
                <w:szCs w:val="20"/>
              </w:rPr>
            </w:pPr>
          </w:p>
        </w:tc>
        <w:tc>
          <w:tcPr>
            <w:tcW w:w="500" w:type="pct"/>
            <w:shd w:val="clear" w:color="auto" w:fill="auto"/>
            <w:vAlign w:val="center"/>
          </w:tcPr>
          <w:p w14:paraId="2A73B6B9" w14:textId="77777777" w:rsidR="00FA5565" w:rsidRDefault="00FA5565">
            <w:pPr>
              <w:rPr>
                <w:rFonts w:ascii="Times New Roman" w:hAnsi="Times New Roman"/>
                <w:sz w:val="20"/>
                <w:szCs w:val="20"/>
              </w:rPr>
            </w:pPr>
          </w:p>
        </w:tc>
        <w:tc>
          <w:tcPr>
            <w:tcW w:w="50" w:type="pct"/>
            <w:shd w:val="clear" w:color="auto" w:fill="auto"/>
            <w:vAlign w:val="center"/>
          </w:tcPr>
          <w:p w14:paraId="2A73B6BA" w14:textId="77777777" w:rsidR="00FA5565" w:rsidRDefault="00FA5565">
            <w:pPr>
              <w:rPr>
                <w:rFonts w:ascii="Times New Roman" w:hAnsi="Times New Roman"/>
                <w:sz w:val="20"/>
                <w:szCs w:val="20"/>
              </w:rPr>
            </w:pPr>
          </w:p>
        </w:tc>
        <w:tc>
          <w:tcPr>
            <w:tcW w:w="50" w:type="pct"/>
            <w:shd w:val="clear" w:color="auto" w:fill="auto"/>
            <w:vAlign w:val="center"/>
          </w:tcPr>
          <w:p w14:paraId="2A73B6BB" w14:textId="77777777" w:rsidR="00FA5565" w:rsidRDefault="00FA5565">
            <w:pPr>
              <w:rPr>
                <w:rFonts w:ascii="Times New Roman" w:hAnsi="Times New Roman"/>
                <w:sz w:val="20"/>
                <w:szCs w:val="20"/>
              </w:rPr>
            </w:pPr>
          </w:p>
        </w:tc>
        <w:tc>
          <w:tcPr>
            <w:tcW w:w="50" w:type="pct"/>
            <w:shd w:val="clear" w:color="auto" w:fill="auto"/>
            <w:vAlign w:val="center"/>
          </w:tcPr>
          <w:p w14:paraId="2A73B6BC" w14:textId="77777777" w:rsidR="00FA5565" w:rsidRDefault="00FA5565">
            <w:pPr>
              <w:rPr>
                <w:rFonts w:ascii="Times New Roman" w:hAnsi="Times New Roman"/>
                <w:sz w:val="20"/>
                <w:szCs w:val="20"/>
              </w:rPr>
            </w:pPr>
          </w:p>
        </w:tc>
        <w:tc>
          <w:tcPr>
            <w:tcW w:w="600" w:type="pct"/>
            <w:shd w:val="clear" w:color="auto" w:fill="auto"/>
            <w:vAlign w:val="center"/>
          </w:tcPr>
          <w:p w14:paraId="2A73B6BD" w14:textId="77777777" w:rsidR="00FA5565" w:rsidRDefault="00FA5565">
            <w:pPr>
              <w:rPr>
                <w:rFonts w:ascii="Times New Roman" w:hAnsi="Times New Roman"/>
                <w:sz w:val="20"/>
                <w:szCs w:val="20"/>
              </w:rPr>
            </w:pPr>
          </w:p>
        </w:tc>
        <w:tc>
          <w:tcPr>
            <w:tcW w:w="50" w:type="pct"/>
            <w:shd w:val="clear" w:color="auto" w:fill="auto"/>
            <w:vAlign w:val="center"/>
          </w:tcPr>
          <w:p w14:paraId="2A73B6BE" w14:textId="77777777" w:rsidR="00FA5565" w:rsidRDefault="00FA5565">
            <w:pPr>
              <w:rPr>
                <w:rFonts w:ascii="Times New Roman" w:hAnsi="Times New Roman"/>
                <w:sz w:val="20"/>
                <w:szCs w:val="20"/>
              </w:rPr>
            </w:pPr>
          </w:p>
        </w:tc>
        <w:tc>
          <w:tcPr>
            <w:tcW w:w="50" w:type="pct"/>
            <w:shd w:val="clear" w:color="auto" w:fill="auto"/>
            <w:vAlign w:val="center"/>
          </w:tcPr>
          <w:p w14:paraId="2A73B6BF" w14:textId="77777777" w:rsidR="00FA5565" w:rsidRDefault="00FA5565">
            <w:pPr>
              <w:rPr>
                <w:rFonts w:ascii="Times New Roman" w:hAnsi="Times New Roman"/>
                <w:sz w:val="20"/>
                <w:szCs w:val="20"/>
              </w:rPr>
            </w:pPr>
          </w:p>
        </w:tc>
        <w:tc>
          <w:tcPr>
            <w:tcW w:w="50" w:type="pct"/>
            <w:shd w:val="clear" w:color="auto" w:fill="auto"/>
            <w:vAlign w:val="center"/>
          </w:tcPr>
          <w:p w14:paraId="2A73B6C0" w14:textId="77777777" w:rsidR="00FA5565" w:rsidRDefault="00FA5565">
            <w:pPr>
              <w:rPr>
                <w:rFonts w:ascii="Times New Roman" w:hAnsi="Times New Roman"/>
                <w:sz w:val="20"/>
                <w:szCs w:val="20"/>
              </w:rPr>
            </w:pPr>
          </w:p>
        </w:tc>
        <w:tc>
          <w:tcPr>
            <w:tcW w:w="600" w:type="pct"/>
            <w:shd w:val="clear" w:color="auto" w:fill="auto"/>
            <w:vAlign w:val="center"/>
          </w:tcPr>
          <w:p w14:paraId="2A73B6C1" w14:textId="77777777" w:rsidR="00FA5565" w:rsidRDefault="00FA5565">
            <w:pPr>
              <w:rPr>
                <w:rFonts w:ascii="Times New Roman" w:hAnsi="Times New Roman"/>
                <w:sz w:val="20"/>
                <w:szCs w:val="20"/>
              </w:rPr>
            </w:pPr>
          </w:p>
        </w:tc>
        <w:tc>
          <w:tcPr>
            <w:tcW w:w="50" w:type="pct"/>
            <w:shd w:val="clear" w:color="auto" w:fill="auto"/>
            <w:vAlign w:val="center"/>
          </w:tcPr>
          <w:p w14:paraId="2A73B6C2" w14:textId="77777777" w:rsidR="00FA5565" w:rsidRDefault="00FA5565">
            <w:pPr>
              <w:rPr>
                <w:rFonts w:ascii="Times New Roman" w:hAnsi="Times New Roman"/>
                <w:sz w:val="20"/>
                <w:szCs w:val="20"/>
              </w:rPr>
            </w:pPr>
          </w:p>
        </w:tc>
        <w:tc>
          <w:tcPr>
            <w:tcW w:w="50" w:type="pct"/>
            <w:shd w:val="clear" w:color="auto" w:fill="auto"/>
            <w:vAlign w:val="center"/>
          </w:tcPr>
          <w:p w14:paraId="2A73B6C3" w14:textId="77777777" w:rsidR="00FA5565" w:rsidRDefault="00FA5565">
            <w:pPr>
              <w:rPr>
                <w:rFonts w:ascii="Times New Roman" w:hAnsi="Times New Roman"/>
                <w:sz w:val="20"/>
                <w:szCs w:val="20"/>
              </w:rPr>
            </w:pPr>
          </w:p>
        </w:tc>
        <w:tc>
          <w:tcPr>
            <w:tcW w:w="50" w:type="pct"/>
            <w:shd w:val="clear" w:color="auto" w:fill="auto"/>
            <w:vAlign w:val="center"/>
          </w:tcPr>
          <w:p w14:paraId="2A73B6C4" w14:textId="77777777" w:rsidR="00FA5565" w:rsidRDefault="00FA5565">
            <w:pPr>
              <w:rPr>
                <w:rFonts w:ascii="Times New Roman" w:hAnsi="Times New Roman"/>
                <w:sz w:val="20"/>
                <w:szCs w:val="20"/>
              </w:rPr>
            </w:pPr>
          </w:p>
        </w:tc>
        <w:tc>
          <w:tcPr>
            <w:tcW w:w="500" w:type="pct"/>
            <w:shd w:val="clear" w:color="auto" w:fill="auto"/>
            <w:vAlign w:val="center"/>
          </w:tcPr>
          <w:p w14:paraId="2A73B6C5" w14:textId="77777777" w:rsidR="00FA5565" w:rsidRDefault="00FA5565">
            <w:pPr>
              <w:rPr>
                <w:rFonts w:ascii="Times New Roman" w:hAnsi="Times New Roman"/>
                <w:sz w:val="20"/>
                <w:szCs w:val="20"/>
              </w:rPr>
            </w:pPr>
          </w:p>
        </w:tc>
        <w:tc>
          <w:tcPr>
            <w:tcW w:w="50" w:type="pct"/>
            <w:shd w:val="clear" w:color="auto" w:fill="auto"/>
            <w:vAlign w:val="center"/>
          </w:tcPr>
          <w:p w14:paraId="2A73B6C6" w14:textId="77777777" w:rsidR="00FA5565" w:rsidRDefault="00FA5565">
            <w:pPr>
              <w:rPr>
                <w:rFonts w:ascii="Times New Roman" w:hAnsi="Times New Roman"/>
                <w:sz w:val="20"/>
                <w:szCs w:val="20"/>
              </w:rPr>
            </w:pPr>
          </w:p>
        </w:tc>
      </w:tr>
      <w:tr w:rsidR="00FA5565" w14:paraId="2A73B6D3" w14:textId="77777777">
        <w:tc>
          <w:tcPr>
            <w:tcW w:w="0" w:type="auto"/>
            <w:shd w:val="clear" w:color="auto" w:fill="auto"/>
            <w:tcMar>
              <w:top w:w="40" w:type="dxa"/>
              <w:left w:w="40" w:type="dxa"/>
              <w:bottom w:w="40" w:type="dxa"/>
              <w:right w:w="40" w:type="dxa"/>
            </w:tcMar>
            <w:vAlign w:val="bottom"/>
          </w:tcPr>
          <w:p w14:paraId="2A73B6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6C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Cumulative Foreign</w:t>
            </w:r>
          </w:p>
          <w:p w14:paraId="2A73B6CA"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Currency Translation</w:t>
            </w:r>
          </w:p>
        </w:tc>
        <w:tc>
          <w:tcPr>
            <w:tcW w:w="0" w:type="auto"/>
            <w:shd w:val="clear" w:color="auto" w:fill="auto"/>
            <w:tcMar>
              <w:top w:w="40" w:type="dxa"/>
              <w:left w:w="40" w:type="dxa"/>
              <w:bottom w:w="40" w:type="dxa"/>
              <w:right w:w="40" w:type="dxa"/>
            </w:tcMar>
            <w:vAlign w:val="bottom"/>
          </w:tcPr>
          <w:p w14:paraId="2A73B6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6C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Unrealized Gains/Losses</w:t>
            </w:r>
          </w:p>
          <w:p w14:paraId="2A73B6C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on Derivative Instruments</w:t>
            </w:r>
          </w:p>
        </w:tc>
        <w:tc>
          <w:tcPr>
            <w:tcW w:w="0" w:type="auto"/>
            <w:shd w:val="clear" w:color="auto" w:fill="auto"/>
            <w:tcMar>
              <w:top w:w="40" w:type="dxa"/>
              <w:left w:w="40" w:type="dxa"/>
              <w:bottom w:w="40" w:type="dxa"/>
              <w:right w:w="40" w:type="dxa"/>
            </w:tcMar>
            <w:vAlign w:val="bottom"/>
          </w:tcPr>
          <w:p w14:paraId="2A73B6C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6C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Unrealized Gains/Losses</w:t>
            </w:r>
          </w:p>
          <w:p w14:paraId="2A73B6D0"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on Marketable Securities</w:t>
            </w:r>
          </w:p>
        </w:tc>
        <w:tc>
          <w:tcPr>
            <w:tcW w:w="0" w:type="auto"/>
            <w:shd w:val="clear" w:color="auto" w:fill="auto"/>
            <w:tcMar>
              <w:top w:w="40" w:type="dxa"/>
              <w:left w:w="40" w:type="dxa"/>
              <w:bottom w:w="40" w:type="dxa"/>
              <w:right w:w="40" w:type="dxa"/>
            </w:tcMar>
            <w:vAlign w:val="bottom"/>
          </w:tcPr>
          <w:p w14:paraId="2A73B6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6D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Total</w:t>
            </w:r>
          </w:p>
        </w:tc>
      </w:tr>
      <w:tr w:rsidR="00FA5565" w14:paraId="2A73B6E4" w14:textId="77777777">
        <w:tc>
          <w:tcPr>
            <w:tcW w:w="0" w:type="auto"/>
            <w:shd w:val="clear" w:color="auto" w:fill="auto"/>
            <w:tcMar>
              <w:top w:w="40" w:type="dxa"/>
              <w:left w:w="40" w:type="dxa"/>
              <w:bottom w:w="40" w:type="dxa"/>
              <w:right w:w="40" w:type="dxa"/>
            </w:tcMar>
          </w:tcPr>
          <w:p w14:paraId="2A73B6D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Balances as of September 30, 2017</w:t>
            </w:r>
          </w:p>
        </w:tc>
        <w:tc>
          <w:tcPr>
            <w:tcW w:w="0" w:type="auto"/>
            <w:tcBorders>
              <w:bottom w:val="single" w:sz="8" w:space="0" w:color="000000"/>
            </w:tcBorders>
            <w:shd w:val="clear" w:color="auto" w:fill="auto"/>
            <w:tcMar>
              <w:top w:w="40" w:type="dxa"/>
              <w:left w:w="40" w:type="dxa"/>
              <w:bottom w:w="40" w:type="dxa"/>
            </w:tcMar>
            <w:vAlign w:val="bottom"/>
          </w:tcPr>
          <w:p w14:paraId="2A73B6D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auto"/>
            <w:tcMar>
              <w:top w:w="40" w:type="dxa"/>
              <w:bottom w:w="40" w:type="dxa"/>
            </w:tcMar>
            <w:vAlign w:val="bottom"/>
          </w:tcPr>
          <w:p w14:paraId="2A73B6D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(354</w:t>
            </w:r>
          </w:p>
        </w:tc>
        <w:tc>
          <w:tcPr>
            <w:tcW w:w="0" w:type="auto"/>
            <w:tcBorders>
              <w:bottom w:val="single" w:sz="8" w:space="0" w:color="000000"/>
            </w:tcBorders>
            <w:shd w:val="clear" w:color="auto" w:fill="auto"/>
            <w:tcMar>
              <w:top w:w="40" w:type="dxa"/>
              <w:bottom w:w="40" w:type="dxa"/>
              <w:right w:w="40" w:type="dxa"/>
            </w:tcMar>
            <w:vAlign w:val="bottom"/>
          </w:tcPr>
          <w:p w14:paraId="2A73B6D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6D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2A73B6D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auto"/>
            <w:tcMar>
              <w:top w:w="40" w:type="dxa"/>
              <w:bottom w:w="40" w:type="dxa"/>
            </w:tcMar>
            <w:vAlign w:val="bottom"/>
          </w:tcPr>
          <w:p w14:paraId="2A73B6D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(124</w:t>
            </w:r>
          </w:p>
        </w:tc>
        <w:tc>
          <w:tcPr>
            <w:tcW w:w="0" w:type="auto"/>
            <w:tcBorders>
              <w:bottom w:val="single" w:sz="8" w:space="0" w:color="000000"/>
            </w:tcBorders>
            <w:shd w:val="clear" w:color="auto" w:fill="auto"/>
            <w:tcMar>
              <w:top w:w="40" w:type="dxa"/>
              <w:bottom w:w="40" w:type="dxa"/>
              <w:right w:w="40" w:type="dxa"/>
            </w:tcMar>
            <w:vAlign w:val="bottom"/>
          </w:tcPr>
          <w:p w14:paraId="2A73B6D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6D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2A73B6D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auto"/>
            <w:tcMar>
              <w:top w:w="40" w:type="dxa"/>
              <w:bottom w:w="40" w:type="dxa"/>
            </w:tcMar>
            <w:vAlign w:val="bottom"/>
          </w:tcPr>
          <w:p w14:paraId="2A73B6D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328</w:t>
            </w:r>
          </w:p>
        </w:tc>
        <w:tc>
          <w:tcPr>
            <w:tcW w:w="0" w:type="auto"/>
            <w:tcBorders>
              <w:bottom w:val="single" w:sz="8" w:space="0" w:color="000000"/>
            </w:tcBorders>
            <w:shd w:val="clear" w:color="auto" w:fill="auto"/>
            <w:vAlign w:val="bottom"/>
          </w:tcPr>
          <w:p w14:paraId="2A73B6D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6E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2A73B6E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auto"/>
            <w:tcMar>
              <w:top w:w="40" w:type="dxa"/>
              <w:bottom w:w="40" w:type="dxa"/>
            </w:tcMar>
            <w:vAlign w:val="bottom"/>
          </w:tcPr>
          <w:p w14:paraId="2A73B6E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(150</w:t>
            </w:r>
          </w:p>
        </w:tc>
        <w:tc>
          <w:tcPr>
            <w:tcW w:w="0" w:type="auto"/>
            <w:tcBorders>
              <w:bottom w:val="single" w:sz="8" w:space="0" w:color="000000"/>
            </w:tcBorders>
            <w:shd w:val="clear" w:color="auto" w:fill="auto"/>
            <w:tcMar>
              <w:top w:w="40" w:type="dxa"/>
              <w:bottom w:w="40" w:type="dxa"/>
              <w:right w:w="40" w:type="dxa"/>
            </w:tcMar>
            <w:vAlign w:val="bottom"/>
          </w:tcPr>
          <w:p w14:paraId="2A73B6E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6F1" w14:textId="77777777">
        <w:tc>
          <w:tcPr>
            <w:tcW w:w="0" w:type="auto"/>
            <w:shd w:val="clear" w:color="auto" w:fill="EFEFEF"/>
            <w:tcMar>
              <w:top w:w="40" w:type="dxa"/>
              <w:left w:w="560" w:type="dxa"/>
              <w:bottom w:w="40" w:type="dxa"/>
              <w:right w:w="40" w:type="dxa"/>
            </w:tcMar>
          </w:tcPr>
          <w:p w14:paraId="2A73B6E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comprehensive income/(loss) before reclassifications</w:t>
            </w:r>
          </w:p>
        </w:tc>
        <w:tc>
          <w:tcPr>
            <w:tcW w:w="0" w:type="auto"/>
            <w:gridSpan w:val="2"/>
            <w:shd w:val="clear" w:color="auto" w:fill="EFEFEF"/>
            <w:tcMar>
              <w:top w:w="40" w:type="dxa"/>
              <w:left w:w="40" w:type="dxa"/>
              <w:bottom w:w="40" w:type="dxa"/>
            </w:tcMar>
            <w:vAlign w:val="bottom"/>
          </w:tcPr>
          <w:p w14:paraId="2A73B6E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(524</w:t>
            </w:r>
          </w:p>
        </w:tc>
        <w:tc>
          <w:tcPr>
            <w:tcW w:w="0" w:type="auto"/>
            <w:shd w:val="clear" w:color="auto" w:fill="EFEFEF"/>
            <w:tcMar>
              <w:top w:w="40" w:type="dxa"/>
              <w:bottom w:w="40" w:type="dxa"/>
              <w:right w:w="40" w:type="dxa"/>
            </w:tcMar>
            <w:vAlign w:val="bottom"/>
          </w:tcPr>
          <w:p w14:paraId="2A73B6E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6E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2A73B6E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672</w:t>
            </w:r>
          </w:p>
        </w:tc>
        <w:tc>
          <w:tcPr>
            <w:tcW w:w="0" w:type="auto"/>
            <w:tcBorders>
              <w:top w:val="single" w:sz="8" w:space="0" w:color="000000"/>
            </w:tcBorders>
            <w:shd w:val="clear" w:color="auto" w:fill="EFEFEF"/>
            <w:vAlign w:val="bottom"/>
          </w:tcPr>
          <w:p w14:paraId="2A73B6E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6E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2A73B6E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(4,563</w:t>
            </w:r>
          </w:p>
        </w:tc>
        <w:tc>
          <w:tcPr>
            <w:tcW w:w="0" w:type="auto"/>
            <w:tcBorders>
              <w:top w:val="single" w:sz="8" w:space="0" w:color="000000"/>
            </w:tcBorders>
            <w:shd w:val="clear" w:color="auto" w:fill="EFEFEF"/>
            <w:tcMar>
              <w:top w:w="40" w:type="dxa"/>
              <w:bottom w:w="40" w:type="dxa"/>
              <w:right w:w="40" w:type="dxa"/>
            </w:tcMar>
            <w:vAlign w:val="bottom"/>
          </w:tcPr>
          <w:p w14:paraId="2A73B6E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6E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2A73B6E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(4,415</w:t>
            </w:r>
          </w:p>
        </w:tc>
        <w:tc>
          <w:tcPr>
            <w:tcW w:w="0" w:type="auto"/>
            <w:tcBorders>
              <w:top w:val="single" w:sz="8" w:space="0" w:color="000000"/>
            </w:tcBorders>
            <w:shd w:val="clear" w:color="auto" w:fill="EFEFEF"/>
            <w:tcMar>
              <w:top w:w="40" w:type="dxa"/>
              <w:bottom w:w="40" w:type="dxa"/>
              <w:right w:w="40" w:type="dxa"/>
            </w:tcMar>
            <w:vAlign w:val="bottom"/>
          </w:tcPr>
          <w:p w14:paraId="2A73B6F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6FE" w14:textId="77777777">
        <w:tc>
          <w:tcPr>
            <w:tcW w:w="0" w:type="auto"/>
            <w:shd w:val="clear" w:color="auto" w:fill="auto"/>
            <w:tcMar>
              <w:top w:w="40" w:type="dxa"/>
              <w:left w:w="560" w:type="dxa"/>
              <w:bottom w:w="40" w:type="dxa"/>
              <w:right w:w="40" w:type="dxa"/>
            </w:tcMar>
          </w:tcPr>
          <w:p w14:paraId="2A73B6F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Amounts reclassified from AOCI</w:t>
            </w:r>
          </w:p>
        </w:tc>
        <w:tc>
          <w:tcPr>
            <w:tcW w:w="0" w:type="auto"/>
            <w:gridSpan w:val="2"/>
            <w:shd w:val="clear" w:color="auto" w:fill="auto"/>
            <w:tcMar>
              <w:top w:w="40" w:type="dxa"/>
              <w:left w:w="40" w:type="dxa"/>
              <w:bottom w:w="40" w:type="dxa"/>
            </w:tcMar>
            <w:vAlign w:val="bottom"/>
          </w:tcPr>
          <w:p w14:paraId="2A73B6F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2A73B6F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6F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6F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486</w:t>
            </w:r>
          </w:p>
        </w:tc>
        <w:tc>
          <w:tcPr>
            <w:tcW w:w="0" w:type="auto"/>
            <w:shd w:val="clear" w:color="auto" w:fill="auto"/>
            <w:vAlign w:val="bottom"/>
          </w:tcPr>
          <w:p w14:paraId="2A73B6F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6F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6F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w:t>
            </w:r>
          </w:p>
        </w:tc>
        <w:tc>
          <w:tcPr>
            <w:tcW w:w="0" w:type="auto"/>
            <w:shd w:val="clear" w:color="auto" w:fill="auto"/>
            <w:tcMar>
              <w:top w:w="40" w:type="dxa"/>
              <w:bottom w:w="40" w:type="dxa"/>
              <w:right w:w="40" w:type="dxa"/>
            </w:tcMar>
            <w:vAlign w:val="bottom"/>
          </w:tcPr>
          <w:p w14:paraId="2A73B6F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6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6F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466</w:t>
            </w:r>
          </w:p>
        </w:tc>
        <w:tc>
          <w:tcPr>
            <w:tcW w:w="0" w:type="auto"/>
            <w:shd w:val="clear" w:color="auto" w:fill="auto"/>
            <w:vAlign w:val="bottom"/>
          </w:tcPr>
          <w:p w14:paraId="2A73B6FD" w14:textId="77777777" w:rsidR="00FA5565" w:rsidRDefault="00FA5565">
            <w:pPr>
              <w:textAlignment w:val="bottom"/>
              <w:rPr>
                <w:rFonts w:ascii="Times New Roman" w:hAnsi="Times New Roman"/>
                <w:sz w:val="20"/>
                <w:szCs w:val="20"/>
              </w:rPr>
            </w:pPr>
          </w:p>
        </w:tc>
      </w:tr>
      <w:tr w:rsidR="00FA5565" w14:paraId="2A73B70B" w14:textId="77777777">
        <w:tc>
          <w:tcPr>
            <w:tcW w:w="0" w:type="auto"/>
            <w:shd w:val="clear" w:color="auto" w:fill="EFEFEF"/>
            <w:tcMar>
              <w:top w:w="40" w:type="dxa"/>
              <w:left w:w="560" w:type="dxa"/>
              <w:bottom w:w="40" w:type="dxa"/>
              <w:right w:w="40" w:type="dxa"/>
            </w:tcMar>
          </w:tcPr>
          <w:p w14:paraId="2A73B6F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Tax effect</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0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w:t>
            </w:r>
          </w:p>
        </w:tc>
        <w:tc>
          <w:tcPr>
            <w:tcW w:w="0" w:type="auto"/>
            <w:tcBorders>
              <w:bottom w:val="single" w:sz="8" w:space="0" w:color="000000"/>
            </w:tcBorders>
            <w:shd w:val="clear" w:color="auto" w:fill="EFEFEF"/>
            <w:tcMar>
              <w:top w:w="40" w:type="dxa"/>
              <w:bottom w:w="40" w:type="dxa"/>
              <w:right w:w="40" w:type="dxa"/>
            </w:tcMar>
            <w:vAlign w:val="bottom"/>
          </w:tcPr>
          <w:p w14:paraId="2A73B70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70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0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(253</w:t>
            </w:r>
          </w:p>
        </w:tc>
        <w:tc>
          <w:tcPr>
            <w:tcW w:w="0" w:type="auto"/>
            <w:tcBorders>
              <w:bottom w:val="single" w:sz="8" w:space="0" w:color="000000"/>
            </w:tcBorders>
            <w:shd w:val="clear" w:color="auto" w:fill="EFEFEF"/>
            <w:tcMar>
              <w:top w:w="40" w:type="dxa"/>
              <w:bottom w:w="40" w:type="dxa"/>
              <w:right w:w="40" w:type="dxa"/>
            </w:tcMar>
            <w:vAlign w:val="bottom"/>
          </w:tcPr>
          <w:p w14:paraId="2A73B70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70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0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1,177</w:t>
            </w:r>
          </w:p>
        </w:tc>
        <w:tc>
          <w:tcPr>
            <w:tcW w:w="0" w:type="auto"/>
            <w:tcBorders>
              <w:bottom w:val="single" w:sz="8" w:space="0" w:color="000000"/>
            </w:tcBorders>
            <w:shd w:val="clear" w:color="auto" w:fill="EFEFEF"/>
            <w:vAlign w:val="bottom"/>
          </w:tcPr>
          <w:p w14:paraId="2A73B70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0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923</w:t>
            </w:r>
          </w:p>
        </w:tc>
        <w:tc>
          <w:tcPr>
            <w:tcW w:w="0" w:type="auto"/>
            <w:tcBorders>
              <w:bottom w:val="single" w:sz="8" w:space="0" w:color="000000"/>
            </w:tcBorders>
            <w:shd w:val="clear" w:color="auto" w:fill="EFEFEF"/>
            <w:vAlign w:val="bottom"/>
          </w:tcPr>
          <w:p w14:paraId="2A73B70A" w14:textId="77777777" w:rsidR="00FA5565" w:rsidRDefault="00FA5565">
            <w:pPr>
              <w:textAlignment w:val="bottom"/>
              <w:rPr>
                <w:rFonts w:ascii="Times New Roman" w:hAnsi="Times New Roman"/>
                <w:sz w:val="20"/>
                <w:szCs w:val="20"/>
              </w:rPr>
            </w:pPr>
          </w:p>
        </w:tc>
      </w:tr>
      <w:tr w:rsidR="00FA5565" w14:paraId="2A73B718" w14:textId="77777777">
        <w:tc>
          <w:tcPr>
            <w:tcW w:w="0" w:type="auto"/>
            <w:shd w:val="clear" w:color="auto" w:fill="auto"/>
            <w:tcMar>
              <w:top w:w="40" w:type="dxa"/>
              <w:left w:w="1040" w:type="dxa"/>
              <w:bottom w:w="40" w:type="dxa"/>
              <w:right w:w="40" w:type="dxa"/>
            </w:tcMar>
          </w:tcPr>
          <w:p w14:paraId="2A73B70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comprehensive income/(loss)</w:t>
            </w:r>
          </w:p>
        </w:tc>
        <w:tc>
          <w:tcPr>
            <w:tcW w:w="0" w:type="auto"/>
            <w:gridSpan w:val="2"/>
            <w:tcBorders>
              <w:top w:val="single" w:sz="8" w:space="0" w:color="000000"/>
            </w:tcBorders>
            <w:shd w:val="clear" w:color="auto" w:fill="auto"/>
            <w:tcMar>
              <w:top w:w="40" w:type="dxa"/>
              <w:left w:w="40" w:type="dxa"/>
              <w:bottom w:w="40" w:type="dxa"/>
            </w:tcMar>
            <w:vAlign w:val="bottom"/>
          </w:tcPr>
          <w:p w14:paraId="2A73B70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(525</w:t>
            </w:r>
          </w:p>
        </w:tc>
        <w:tc>
          <w:tcPr>
            <w:tcW w:w="0" w:type="auto"/>
            <w:tcBorders>
              <w:top w:val="single" w:sz="8" w:space="0" w:color="000000"/>
            </w:tcBorders>
            <w:shd w:val="clear" w:color="auto" w:fill="auto"/>
            <w:tcMar>
              <w:top w:w="40" w:type="dxa"/>
              <w:bottom w:w="40" w:type="dxa"/>
              <w:right w:w="40" w:type="dxa"/>
            </w:tcMar>
            <w:vAlign w:val="bottom"/>
          </w:tcPr>
          <w:p w14:paraId="2A73B70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70F" w14:textId="77777777" w:rsidR="00FA5565" w:rsidRDefault="00FA5565">
            <w:pPr>
              <w:jc w:val="right"/>
              <w:textAlignment w:val="bottom"/>
              <w:rPr>
                <w:rFonts w:ascii="Times New Roman" w:hAnsi="Times New Roman"/>
                <w:sz w:val="18"/>
                <w:szCs w:val="18"/>
              </w:rPr>
            </w:pPr>
          </w:p>
        </w:tc>
        <w:tc>
          <w:tcPr>
            <w:tcW w:w="0" w:type="auto"/>
            <w:gridSpan w:val="2"/>
            <w:tcBorders>
              <w:top w:val="single" w:sz="8" w:space="0" w:color="000000"/>
            </w:tcBorders>
            <w:shd w:val="clear" w:color="auto" w:fill="auto"/>
            <w:tcMar>
              <w:top w:w="40" w:type="dxa"/>
              <w:left w:w="40" w:type="dxa"/>
              <w:bottom w:w="40" w:type="dxa"/>
            </w:tcMar>
            <w:vAlign w:val="bottom"/>
          </w:tcPr>
          <w:p w14:paraId="2A73B71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905</w:t>
            </w:r>
          </w:p>
        </w:tc>
        <w:tc>
          <w:tcPr>
            <w:tcW w:w="0" w:type="auto"/>
            <w:tcBorders>
              <w:top w:val="single" w:sz="8" w:space="0" w:color="000000"/>
            </w:tcBorders>
            <w:shd w:val="clear" w:color="auto" w:fill="auto"/>
            <w:vAlign w:val="bottom"/>
          </w:tcPr>
          <w:p w14:paraId="2A73B71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12" w14:textId="77777777" w:rsidR="00FA5565" w:rsidRDefault="00FA5565">
            <w:pPr>
              <w:jc w:val="right"/>
              <w:textAlignment w:val="bottom"/>
              <w:rPr>
                <w:rFonts w:ascii="Times New Roman" w:hAnsi="Times New Roman"/>
                <w:sz w:val="18"/>
                <w:szCs w:val="18"/>
              </w:rPr>
            </w:pPr>
          </w:p>
        </w:tc>
        <w:tc>
          <w:tcPr>
            <w:tcW w:w="0" w:type="auto"/>
            <w:gridSpan w:val="2"/>
            <w:tcBorders>
              <w:top w:val="single" w:sz="8" w:space="0" w:color="000000"/>
            </w:tcBorders>
            <w:shd w:val="clear" w:color="auto" w:fill="auto"/>
            <w:tcMar>
              <w:top w:w="40" w:type="dxa"/>
              <w:left w:w="40" w:type="dxa"/>
              <w:bottom w:w="40" w:type="dxa"/>
            </w:tcMar>
            <w:vAlign w:val="bottom"/>
          </w:tcPr>
          <w:p w14:paraId="2A73B71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(3,406</w:t>
            </w:r>
          </w:p>
        </w:tc>
        <w:tc>
          <w:tcPr>
            <w:tcW w:w="0" w:type="auto"/>
            <w:tcBorders>
              <w:top w:val="single" w:sz="8" w:space="0" w:color="000000"/>
            </w:tcBorders>
            <w:shd w:val="clear" w:color="auto" w:fill="auto"/>
            <w:tcMar>
              <w:top w:w="40" w:type="dxa"/>
              <w:bottom w:w="40" w:type="dxa"/>
              <w:right w:w="40" w:type="dxa"/>
            </w:tcMar>
            <w:vAlign w:val="bottom"/>
          </w:tcPr>
          <w:p w14:paraId="2A73B71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715" w14:textId="77777777" w:rsidR="00FA5565" w:rsidRDefault="00FA5565">
            <w:pPr>
              <w:jc w:val="right"/>
              <w:textAlignment w:val="bottom"/>
              <w:rPr>
                <w:rFonts w:ascii="Times New Roman" w:hAnsi="Times New Roman"/>
                <w:sz w:val="18"/>
                <w:szCs w:val="18"/>
              </w:rPr>
            </w:pPr>
          </w:p>
        </w:tc>
        <w:tc>
          <w:tcPr>
            <w:tcW w:w="0" w:type="auto"/>
            <w:gridSpan w:val="2"/>
            <w:tcBorders>
              <w:top w:val="single" w:sz="8" w:space="0" w:color="000000"/>
            </w:tcBorders>
            <w:shd w:val="clear" w:color="auto" w:fill="auto"/>
            <w:tcMar>
              <w:top w:w="40" w:type="dxa"/>
              <w:left w:w="40" w:type="dxa"/>
              <w:bottom w:w="40" w:type="dxa"/>
            </w:tcMar>
            <w:vAlign w:val="bottom"/>
          </w:tcPr>
          <w:p w14:paraId="2A73B71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(3,026</w:t>
            </w:r>
          </w:p>
        </w:tc>
        <w:tc>
          <w:tcPr>
            <w:tcW w:w="0" w:type="auto"/>
            <w:tcBorders>
              <w:top w:val="single" w:sz="8" w:space="0" w:color="000000"/>
            </w:tcBorders>
            <w:shd w:val="clear" w:color="auto" w:fill="auto"/>
            <w:tcMar>
              <w:top w:w="40" w:type="dxa"/>
              <w:bottom w:w="40" w:type="dxa"/>
              <w:right w:w="40" w:type="dxa"/>
            </w:tcMar>
            <w:vAlign w:val="bottom"/>
          </w:tcPr>
          <w:p w14:paraId="2A73B71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725" w14:textId="77777777">
        <w:tc>
          <w:tcPr>
            <w:tcW w:w="0" w:type="auto"/>
            <w:shd w:val="clear" w:color="auto" w:fill="EFEFEF"/>
            <w:tcMar>
              <w:top w:w="40" w:type="dxa"/>
              <w:left w:w="560" w:type="dxa"/>
              <w:bottom w:w="40" w:type="dxa"/>
              <w:right w:w="40" w:type="dxa"/>
            </w:tcMar>
          </w:tcPr>
          <w:p w14:paraId="2A73B71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Cumulative effect of change in accounting principle</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1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(176</w:t>
            </w:r>
          </w:p>
        </w:tc>
        <w:tc>
          <w:tcPr>
            <w:tcW w:w="0" w:type="auto"/>
            <w:tcBorders>
              <w:bottom w:val="single" w:sz="8" w:space="0" w:color="000000"/>
            </w:tcBorders>
            <w:shd w:val="clear" w:color="auto" w:fill="EFEFEF"/>
            <w:tcMar>
              <w:top w:w="40" w:type="dxa"/>
              <w:bottom w:w="40" w:type="dxa"/>
              <w:right w:w="40" w:type="dxa"/>
            </w:tcMar>
            <w:vAlign w:val="bottom"/>
          </w:tcPr>
          <w:p w14:paraId="2A73B71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7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1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29</w:t>
            </w:r>
          </w:p>
        </w:tc>
        <w:tc>
          <w:tcPr>
            <w:tcW w:w="0" w:type="auto"/>
            <w:tcBorders>
              <w:bottom w:val="single" w:sz="8" w:space="0" w:color="000000"/>
            </w:tcBorders>
            <w:shd w:val="clear" w:color="auto" w:fill="EFEFEF"/>
            <w:vAlign w:val="bottom"/>
          </w:tcPr>
          <w:p w14:paraId="2A73B71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1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2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(131</w:t>
            </w:r>
          </w:p>
        </w:tc>
        <w:tc>
          <w:tcPr>
            <w:tcW w:w="0" w:type="auto"/>
            <w:tcBorders>
              <w:bottom w:val="single" w:sz="8" w:space="0" w:color="000000"/>
            </w:tcBorders>
            <w:shd w:val="clear" w:color="auto" w:fill="EFEFEF"/>
            <w:tcMar>
              <w:top w:w="40" w:type="dxa"/>
              <w:bottom w:w="40" w:type="dxa"/>
              <w:right w:w="40" w:type="dxa"/>
            </w:tcMar>
            <w:vAlign w:val="bottom"/>
          </w:tcPr>
          <w:p w14:paraId="2A73B72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EFEFEF"/>
            <w:tcMar>
              <w:top w:w="40" w:type="dxa"/>
              <w:left w:w="40" w:type="dxa"/>
              <w:bottom w:w="40" w:type="dxa"/>
              <w:right w:w="40" w:type="dxa"/>
            </w:tcMar>
            <w:vAlign w:val="bottom"/>
          </w:tcPr>
          <w:p w14:paraId="2A73B72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2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(278</w:t>
            </w:r>
          </w:p>
        </w:tc>
        <w:tc>
          <w:tcPr>
            <w:tcW w:w="0" w:type="auto"/>
            <w:tcBorders>
              <w:bottom w:val="single" w:sz="8" w:space="0" w:color="000000"/>
            </w:tcBorders>
            <w:shd w:val="clear" w:color="auto" w:fill="EFEFEF"/>
            <w:tcMar>
              <w:top w:w="40" w:type="dxa"/>
              <w:bottom w:w="40" w:type="dxa"/>
              <w:right w:w="40" w:type="dxa"/>
            </w:tcMar>
            <w:vAlign w:val="bottom"/>
          </w:tcPr>
          <w:p w14:paraId="2A73B72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732" w14:textId="77777777">
        <w:tc>
          <w:tcPr>
            <w:tcW w:w="0" w:type="auto"/>
            <w:shd w:val="clear" w:color="auto" w:fill="auto"/>
            <w:tcMar>
              <w:top w:w="40" w:type="dxa"/>
              <w:left w:w="40" w:type="dxa"/>
              <w:bottom w:w="40" w:type="dxa"/>
              <w:right w:w="40" w:type="dxa"/>
            </w:tcMar>
          </w:tcPr>
          <w:p w14:paraId="2A73B72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Balances as of September 29, 2018</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B72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(1,055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2A73B72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7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B72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810</w:t>
            </w:r>
          </w:p>
        </w:tc>
        <w:tc>
          <w:tcPr>
            <w:tcW w:w="0" w:type="auto"/>
            <w:tcBorders>
              <w:top w:val="single" w:sz="8" w:space="0" w:color="000000"/>
              <w:bottom w:val="single" w:sz="8" w:space="0" w:color="000000"/>
            </w:tcBorders>
            <w:shd w:val="clear" w:color="auto" w:fill="auto"/>
            <w:vAlign w:val="bottom"/>
          </w:tcPr>
          <w:p w14:paraId="2A73B72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B72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(3,209</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2A73B72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2A73B72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2A73B73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(3,454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2A73B73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73F" w14:textId="77777777">
        <w:tc>
          <w:tcPr>
            <w:tcW w:w="0" w:type="auto"/>
            <w:shd w:val="clear" w:color="auto" w:fill="EFEFEF"/>
            <w:tcMar>
              <w:top w:w="40" w:type="dxa"/>
              <w:left w:w="560" w:type="dxa"/>
              <w:bottom w:w="40" w:type="dxa"/>
              <w:right w:w="40" w:type="dxa"/>
            </w:tcMar>
          </w:tcPr>
          <w:p w14:paraId="2A73B73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comprehensive income/(loss) before reclassifications</w:t>
            </w:r>
          </w:p>
        </w:tc>
        <w:tc>
          <w:tcPr>
            <w:tcW w:w="0" w:type="auto"/>
            <w:gridSpan w:val="2"/>
            <w:tcBorders>
              <w:top w:val="single" w:sz="8" w:space="0" w:color="000000"/>
            </w:tcBorders>
            <w:shd w:val="clear" w:color="auto" w:fill="EFEFEF"/>
            <w:tcMar>
              <w:top w:w="40" w:type="dxa"/>
              <w:left w:w="40" w:type="dxa"/>
              <w:bottom w:w="40" w:type="dxa"/>
            </w:tcMar>
            <w:vAlign w:val="bottom"/>
          </w:tcPr>
          <w:p w14:paraId="2A73B73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(421</w:t>
            </w:r>
          </w:p>
        </w:tc>
        <w:tc>
          <w:tcPr>
            <w:tcW w:w="0" w:type="auto"/>
            <w:tcBorders>
              <w:top w:val="single" w:sz="8" w:space="0" w:color="000000"/>
            </w:tcBorders>
            <w:shd w:val="clear" w:color="auto" w:fill="EFEFEF"/>
            <w:tcMar>
              <w:top w:w="40" w:type="dxa"/>
              <w:bottom w:w="40" w:type="dxa"/>
              <w:right w:w="40" w:type="dxa"/>
            </w:tcMar>
            <w:vAlign w:val="bottom"/>
          </w:tcPr>
          <w:p w14:paraId="2A73B73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73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2A73B73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(949</w:t>
            </w:r>
          </w:p>
        </w:tc>
        <w:tc>
          <w:tcPr>
            <w:tcW w:w="0" w:type="auto"/>
            <w:tcBorders>
              <w:top w:val="single" w:sz="8" w:space="0" w:color="000000"/>
            </w:tcBorders>
            <w:shd w:val="clear" w:color="auto" w:fill="EFEFEF"/>
            <w:tcMar>
              <w:top w:w="40" w:type="dxa"/>
              <w:bottom w:w="40" w:type="dxa"/>
              <w:right w:w="40" w:type="dxa"/>
            </w:tcMar>
            <w:vAlign w:val="bottom"/>
          </w:tcPr>
          <w:p w14:paraId="2A73B73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7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2A73B73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4,854</w:t>
            </w:r>
          </w:p>
        </w:tc>
        <w:tc>
          <w:tcPr>
            <w:tcW w:w="0" w:type="auto"/>
            <w:tcBorders>
              <w:top w:val="single" w:sz="8" w:space="0" w:color="000000"/>
            </w:tcBorders>
            <w:shd w:val="clear" w:color="auto" w:fill="EFEFEF"/>
            <w:vAlign w:val="bottom"/>
          </w:tcPr>
          <w:p w14:paraId="2A73B73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FEFEF"/>
            <w:tcMar>
              <w:top w:w="40" w:type="dxa"/>
              <w:left w:w="40" w:type="dxa"/>
              <w:bottom w:w="40" w:type="dxa"/>
            </w:tcMar>
            <w:vAlign w:val="bottom"/>
          </w:tcPr>
          <w:p w14:paraId="2A73B73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3,484</w:t>
            </w:r>
          </w:p>
        </w:tc>
        <w:tc>
          <w:tcPr>
            <w:tcW w:w="0" w:type="auto"/>
            <w:tcBorders>
              <w:top w:val="single" w:sz="8" w:space="0" w:color="000000"/>
            </w:tcBorders>
            <w:shd w:val="clear" w:color="auto" w:fill="EFEFEF"/>
            <w:vAlign w:val="bottom"/>
          </w:tcPr>
          <w:p w14:paraId="2A73B73E" w14:textId="77777777" w:rsidR="00FA5565" w:rsidRDefault="00FA5565">
            <w:pPr>
              <w:textAlignment w:val="bottom"/>
              <w:rPr>
                <w:rFonts w:ascii="Times New Roman" w:hAnsi="Times New Roman"/>
                <w:sz w:val="20"/>
                <w:szCs w:val="20"/>
              </w:rPr>
            </w:pPr>
          </w:p>
        </w:tc>
      </w:tr>
      <w:tr w:rsidR="00FA5565" w14:paraId="2A73B74C" w14:textId="77777777">
        <w:tc>
          <w:tcPr>
            <w:tcW w:w="0" w:type="auto"/>
            <w:shd w:val="clear" w:color="auto" w:fill="auto"/>
            <w:tcMar>
              <w:top w:w="40" w:type="dxa"/>
              <w:left w:w="560" w:type="dxa"/>
              <w:bottom w:w="40" w:type="dxa"/>
              <w:right w:w="40" w:type="dxa"/>
            </w:tcMar>
          </w:tcPr>
          <w:p w14:paraId="2A73B74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Amounts reclassified from AOCI</w:t>
            </w:r>
          </w:p>
        </w:tc>
        <w:tc>
          <w:tcPr>
            <w:tcW w:w="0" w:type="auto"/>
            <w:gridSpan w:val="2"/>
            <w:shd w:val="clear" w:color="auto" w:fill="auto"/>
            <w:tcMar>
              <w:top w:w="40" w:type="dxa"/>
              <w:left w:w="40" w:type="dxa"/>
              <w:bottom w:w="40" w:type="dxa"/>
            </w:tcMar>
            <w:vAlign w:val="bottom"/>
          </w:tcPr>
          <w:p w14:paraId="2A73B74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vAlign w:val="bottom"/>
          </w:tcPr>
          <w:p w14:paraId="2A73B74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74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103</w:t>
            </w:r>
          </w:p>
        </w:tc>
        <w:tc>
          <w:tcPr>
            <w:tcW w:w="0" w:type="auto"/>
            <w:shd w:val="clear" w:color="auto" w:fill="auto"/>
            <w:vAlign w:val="bottom"/>
          </w:tcPr>
          <w:p w14:paraId="2A73B74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74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31</w:t>
            </w:r>
          </w:p>
        </w:tc>
        <w:tc>
          <w:tcPr>
            <w:tcW w:w="0" w:type="auto"/>
            <w:shd w:val="clear" w:color="auto" w:fill="auto"/>
            <w:vAlign w:val="bottom"/>
          </w:tcPr>
          <w:p w14:paraId="2A73B74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74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134</w:t>
            </w:r>
          </w:p>
        </w:tc>
        <w:tc>
          <w:tcPr>
            <w:tcW w:w="0" w:type="auto"/>
            <w:shd w:val="clear" w:color="auto" w:fill="auto"/>
            <w:vAlign w:val="bottom"/>
          </w:tcPr>
          <w:p w14:paraId="2A73B74B" w14:textId="77777777" w:rsidR="00FA5565" w:rsidRDefault="00FA5565">
            <w:pPr>
              <w:textAlignment w:val="bottom"/>
              <w:rPr>
                <w:rFonts w:ascii="Times New Roman" w:hAnsi="Times New Roman"/>
                <w:sz w:val="20"/>
                <w:szCs w:val="20"/>
              </w:rPr>
            </w:pPr>
          </w:p>
        </w:tc>
      </w:tr>
      <w:tr w:rsidR="00FA5565" w14:paraId="2A73B759" w14:textId="77777777">
        <w:tc>
          <w:tcPr>
            <w:tcW w:w="0" w:type="auto"/>
            <w:shd w:val="clear" w:color="auto" w:fill="EFEFEF"/>
            <w:tcMar>
              <w:top w:w="40" w:type="dxa"/>
              <w:left w:w="560" w:type="dxa"/>
              <w:bottom w:w="40" w:type="dxa"/>
              <w:right w:w="40" w:type="dxa"/>
            </w:tcMar>
          </w:tcPr>
          <w:p w14:paraId="2A73B74D"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Tax effect</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4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w:t>
            </w:r>
          </w:p>
        </w:tc>
        <w:tc>
          <w:tcPr>
            <w:tcW w:w="0" w:type="auto"/>
            <w:tcBorders>
              <w:bottom w:val="single" w:sz="8" w:space="0" w:color="000000"/>
            </w:tcBorders>
            <w:shd w:val="clear" w:color="auto" w:fill="EFEFEF"/>
            <w:vAlign w:val="bottom"/>
          </w:tcPr>
          <w:p w14:paraId="2A73B74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5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5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208</w:t>
            </w:r>
          </w:p>
        </w:tc>
        <w:tc>
          <w:tcPr>
            <w:tcW w:w="0" w:type="auto"/>
            <w:tcBorders>
              <w:bottom w:val="single" w:sz="8" w:space="0" w:color="000000"/>
            </w:tcBorders>
            <w:shd w:val="clear" w:color="auto" w:fill="EFEFEF"/>
            <w:vAlign w:val="bottom"/>
          </w:tcPr>
          <w:p w14:paraId="2A73B75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5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5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(1,058</w:t>
            </w:r>
          </w:p>
        </w:tc>
        <w:tc>
          <w:tcPr>
            <w:tcW w:w="0" w:type="auto"/>
            <w:tcBorders>
              <w:bottom w:val="single" w:sz="8" w:space="0" w:color="000000"/>
            </w:tcBorders>
            <w:shd w:val="clear" w:color="auto" w:fill="EFEFEF"/>
            <w:tcMar>
              <w:top w:w="40" w:type="dxa"/>
              <w:bottom w:w="40" w:type="dxa"/>
              <w:right w:w="40" w:type="dxa"/>
            </w:tcMar>
            <w:vAlign w:val="bottom"/>
          </w:tcPr>
          <w:p w14:paraId="2A73B75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7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5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(837</w:t>
            </w:r>
          </w:p>
        </w:tc>
        <w:tc>
          <w:tcPr>
            <w:tcW w:w="0" w:type="auto"/>
            <w:tcBorders>
              <w:bottom w:val="single" w:sz="8" w:space="0" w:color="000000"/>
            </w:tcBorders>
            <w:shd w:val="clear" w:color="auto" w:fill="EFEFEF"/>
            <w:tcMar>
              <w:top w:w="40" w:type="dxa"/>
              <w:bottom w:w="40" w:type="dxa"/>
              <w:right w:w="40" w:type="dxa"/>
            </w:tcMar>
            <w:vAlign w:val="bottom"/>
          </w:tcPr>
          <w:p w14:paraId="2A73B75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766" w14:textId="77777777">
        <w:tc>
          <w:tcPr>
            <w:tcW w:w="0" w:type="auto"/>
            <w:shd w:val="clear" w:color="auto" w:fill="auto"/>
            <w:tcMar>
              <w:top w:w="40" w:type="dxa"/>
              <w:left w:w="1040" w:type="dxa"/>
              <w:bottom w:w="40" w:type="dxa"/>
              <w:right w:w="40" w:type="dxa"/>
            </w:tcMar>
          </w:tcPr>
          <w:p w14:paraId="2A73B75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comprehensive income/(loss)</w:t>
            </w:r>
          </w:p>
        </w:tc>
        <w:tc>
          <w:tcPr>
            <w:tcW w:w="0" w:type="auto"/>
            <w:gridSpan w:val="2"/>
            <w:tcBorders>
              <w:top w:val="single" w:sz="8" w:space="0" w:color="000000"/>
            </w:tcBorders>
            <w:shd w:val="clear" w:color="auto" w:fill="auto"/>
            <w:tcMar>
              <w:top w:w="40" w:type="dxa"/>
              <w:left w:w="40" w:type="dxa"/>
              <w:bottom w:w="40" w:type="dxa"/>
            </w:tcMar>
            <w:vAlign w:val="bottom"/>
          </w:tcPr>
          <w:p w14:paraId="2A73B75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(408</w:t>
            </w:r>
          </w:p>
        </w:tc>
        <w:tc>
          <w:tcPr>
            <w:tcW w:w="0" w:type="auto"/>
            <w:tcBorders>
              <w:top w:val="single" w:sz="8" w:space="0" w:color="000000"/>
            </w:tcBorders>
            <w:shd w:val="clear" w:color="auto" w:fill="auto"/>
            <w:tcMar>
              <w:top w:w="40" w:type="dxa"/>
              <w:bottom w:w="40" w:type="dxa"/>
              <w:right w:w="40" w:type="dxa"/>
            </w:tcMar>
            <w:vAlign w:val="bottom"/>
          </w:tcPr>
          <w:p w14:paraId="2A73B75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75D" w14:textId="77777777" w:rsidR="00FA5565" w:rsidRDefault="00FA5565">
            <w:pPr>
              <w:jc w:val="right"/>
              <w:textAlignment w:val="bottom"/>
              <w:rPr>
                <w:rFonts w:ascii="Times New Roman" w:hAnsi="Times New Roman"/>
                <w:sz w:val="18"/>
                <w:szCs w:val="18"/>
              </w:rPr>
            </w:pPr>
          </w:p>
        </w:tc>
        <w:tc>
          <w:tcPr>
            <w:tcW w:w="0" w:type="auto"/>
            <w:gridSpan w:val="2"/>
            <w:tcBorders>
              <w:top w:val="single" w:sz="8" w:space="0" w:color="000000"/>
            </w:tcBorders>
            <w:shd w:val="clear" w:color="auto" w:fill="auto"/>
            <w:tcMar>
              <w:top w:w="40" w:type="dxa"/>
              <w:left w:w="40" w:type="dxa"/>
              <w:bottom w:w="40" w:type="dxa"/>
            </w:tcMar>
            <w:vAlign w:val="bottom"/>
          </w:tcPr>
          <w:p w14:paraId="2A73B75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(638</w:t>
            </w:r>
          </w:p>
        </w:tc>
        <w:tc>
          <w:tcPr>
            <w:tcW w:w="0" w:type="auto"/>
            <w:tcBorders>
              <w:top w:val="single" w:sz="8" w:space="0" w:color="000000"/>
            </w:tcBorders>
            <w:shd w:val="clear" w:color="auto" w:fill="auto"/>
            <w:tcMar>
              <w:top w:w="40" w:type="dxa"/>
              <w:bottom w:w="40" w:type="dxa"/>
              <w:right w:w="40" w:type="dxa"/>
            </w:tcMar>
            <w:vAlign w:val="bottom"/>
          </w:tcPr>
          <w:p w14:paraId="2A73B75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760" w14:textId="77777777" w:rsidR="00FA5565" w:rsidRDefault="00FA5565">
            <w:pPr>
              <w:jc w:val="right"/>
              <w:textAlignment w:val="bottom"/>
              <w:rPr>
                <w:rFonts w:ascii="Times New Roman" w:hAnsi="Times New Roman"/>
                <w:sz w:val="18"/>
                <w:szCs w:val="18"/>
              </w:rPr>
            </w:pPr>
          </w:p>
        </w:tc>
        <w:tc>
          <w:tcPr>
            <w:tcW w:w="0" w:type="auto"/>
            <w:gridSpan w:val="2"/>
            <w:tcBorders>
              <w:top w:val="single" w:sz="8" w:space="0" w:color="000000"/>
            </w:tcBorders>
            <w:shd w:val="clear" w:color="auto" w:fill="auto"/>
            <w:tcMar>
              <w:top w:w="40" w:type="dxa"/>
              <w:left w:w="40" w:type="dxa"/>
              <w:bottom w:w="40" w:type="dxa"/>
            </w:tcMar>
            <w:vAlign w:val="bottom"/>
          </w:tcPr>
          <w:p w14:paraId="2A73B76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3,827</w:t>
            </w:r>
          </w:p>
        </w:tc>
        <w:tc>
          <w:tcPr>
            <w:tcW w:w="0" w:type="auto"/>
            <w:tcBorders>
              <w:top w:val="single" w:sz="8" w:space="0" w:color="000000"/>
            </w:tcBorders>
            <w:shd w:val="clear" w:color="auto" w:fill="auto"/>
            <w:vAlign w:val="bottom"/>
          </w:tcPr>
          <w:p w14:paraId="2A73B76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63" w14:textId="77777777" w:rsidR="00FA5565" w:rsidRDefault="00FA5565">
            <w:pPr>
              <w:jc w:val="right"/>
              <w:textAlignment w:val="bottom"/>
              <w:rPr>
                <w:rFonts w:ascii="Times New Roman" w:hAnsi="Times New Roman"/>
                <w:sz w:val="18"/>
                <w:szCs w:val="18"/>
              </w:rPr>
            </w:pPr>
          </w:p>
        </w:tc>
        <w:tc>
          <w:tcPr>
            <w:tcW w:w="0" w:type="auto"/>
            <w:gridSpan w:val="2"/>
            <w:tcBorders>
              <w:top w:val="single" w:sz="8" w:space="0" w:color="000000"/>
            </w:tcBorders>
            <w:shd w:val="clear" w:color="auto" w:fill="auto"/>
            <w:tcMar>
              <w:top w:w="40" w:type="dxa"/>
              <w:left w:w="40" w:type="dxa"/>
              <w:bottom w:w="40" w:type="dxa"/>
            </w:tcMar>
            <w:vAlign w:val="bottom"/>
          </w:tcPr>
          <w:p w14:paraId="2A73B76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2,781</w:t>
            </w:r>
          </w:p>
        </w:tc>
        <w:tc>
          <w:tcPr>
            <w:tcW w:w="0" w:type="auto"/>
            <w:tcBorders>
              <w:top w:val="single" w:sz="8" w:space="0" w:color="000000"/>
            </w:tcBorders>
            <w:shd w:val="clear" w:color="auto" w:fill="auto"/>
            <w:vAlign w:val="bottom"/>
          </w:tcPr>
          <w:p w14:paraId="2A73B765" w14:textId="77777777" w:rsidR="00FA5565" w:rsidRDefault="00FA5565">
            <w:pPr>
              <w:textAlignment w:val="bottom"/>
              <w:rPr>
                <w:rFonts w:ascii="Times New Roman" w:hAnsi="Times New Roman"/>
                <w:sz w:val="20"/>
                <w:szCs w:val="20"/>
              </w:rPr>
            </w:pPr>
          </w:p>
        </w:tc>
      </w:tr>
      <w:tr w:rsidR="00FA5565" w14:paraId="2A73B773" w14:textId="77777777">
        <w:tc>
          <w:tcPr>
            <w:tcW w:w="0" w:type="auto"/>
            <w:shd w:val="clear" w:color="auto" w:fill="EFEFEF"/>
            <w:tcMar>
              <w:top w:w="40" w:type="dxa"/>
              <w:left w:w="560" w:type="dxa"/>
              <w:bottom w:w="40" w:type="dxa"/>
              <w:right w:w="40" w:type="dxa"/>
            </w:tcMar>
          </w:tcPr>
          <w:p w14:paraId="2A73B76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Cumulative effect of change in accounting principle (1)</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6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EFEFEF"/>
            <w:vAlign w:val="bottom"/>
          </w:tcPr>
          <w:p w14:paraId="2A73B76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6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single" w:sz="8" w:space="0" w:color="000000"/>
            </w:tcBorders>
            <w:shd w:val="clear" w:color="auto" w:fill="EFEFEF"/>
            <w:vAlign w:val="bottom"/>
          </w:tcPr>
          <w:p w14:paraId="2A73B76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6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89</w:t>
            </w:r>
          </w:p>
        </w:tc>
        <w:tc>
          <w:tcPr>
            <w:tcW w:w="0" w:type="auto"/>
            <w:tcBorders>
              <w:bottom w:val="single" w:sz="8" w:space="0" w:color="000000"/>
            </w:tcBorders>
            <w:shd w:val="clear" w:color="auto" w:fill="EFEFEF"/>
            <w:vAlign w:val="bottom"/>
          </w:tcPr>
          <w:p w14:paraId="2A73B76F" w14:textId="77777777" w:rsidR="00FA5565" w:rsidRDefault="00FA5565">
            <w:pPr>
              <w:textAlignment w:val="bottom"/>
              <w:rPr>
                <w:rFonts w:ascii="Times New Roman" w:hAnsi="Times New Roman"/>
                <w:sz w:val="20"/>
                <w:szCs w:val="20"/>
              </w:rPr>
            </w:pPr>
          </w:p>
        </w:tc>
        <w:tc>
          <w:tcPr>
            <w:tcW w:w="0" w:type="auto"/>
            <w:tcBorders>
              <w:bottom w:val="single" w:sz="8" w:space="0" w:color="000000"/>
            </w:tcBorders>
            <w:shd w:val="clear" w:color="auto" w:fill="EFEFEF"/>
            <w:tcMar>
              <w:top w:w="40" w:type="dxa"/>
              <w:left w:w="40" w:type="dxa"/>
              <w:bottom w:w="40" w:type="dxa"/>
              <w:right w:w="40" w:type="dxa"/>
            </w:tcMar>
            <w:vAlign w:val="bottom"/>
          </w:tcPr>
          <w:p w14:paraId="2A73B77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77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89</w:t>
            </w:r>
          </w:p>
        </w:tc>
        <w:tc>
          <w:tcPr>
            <w:tcW w:w="0" w:type="auto"/>
            <w:tcBorders>
              <w:bottom w:val="single" w:sz="8" w:space="0" w:color="000000"/>
            </w:tcBorders>
            <w:shd w:val="clear" w:color="auto" w:fill="EFEFEF"/>
            <w:vAlign w:val="bottom"/>
          </w:tcPr>
          <w:p w14:paraId="2A73B772" w14:textId="77777777" w:rsidR="00FA5565" w:rsidRDefault="00FA5565">
            <w:pPr>
              <w:textAlignment w:val="bottom"/>
              <w:rPr>
                <w:rFonts w:ascii="Times New Roman" w:hAnsi="Times New Roman"/>
                <w:sz w:val="20"/>
                <w:szCs w:val="20"/>
              </w:rPr>
            </w:pPr>
          </w:p>
        </w:tc>
      </w:tr>
      <w:tr w:rsidR="00FA5565" w14:paraId="2A73B784" w14:textId="77777777">
        <w:tc>
          <w:tcPr>
            <w:tcW w:w="0" w:type="auto"/>
            <w:shd w:val="clear" w:color="auto" w:fill="auto"/>
            <w:tcMar>
              <w:top w:w="40" w:type="dxa"/>
              <w:left w:w="40" w:type="dxa"/>
              <w:bottom w:w="40" w:type="dxa"/>
              <w:right w:w="40" w:type="dxa"/>
            </w:tcMar>
          </w:tcPr>
          <w:p w14:paraId="2A73B77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Balances as of September 28,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77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B77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(1,463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2A73B77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778" w14:textId="77777777" w:rsidR="00FA5565" w:rsidRDefault="00FA5565">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77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B77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172</w:t>
            </w:r>
          </w:p>
        </w:tc>
        <w:tc>
          <w:tcPr>
            <w:tcW w:w="0" w:type="auto"/>
            <w:tcBorders>
              <w:top w:val="single" w:sz="8" w:space="0" w:color="000000"/>
              <w:bottom w:val="double" w:sz="6" w:space="0" w:color="000000"/>
            </w:tcBorders>
            <w:shd w:val="clear" w:color="auto" w:fill="auto"/>
            <w:vAlign w:val="bottom"/>
          </w:tcPr>
          <w:p w14:paraId="2A73B77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7C" w14:textId="77777777" w:rsidR="00FA5565" w:rsidRDefault="00FA5565">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77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B77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707</w:t>
            </w:r>
          </w:p>
        </w:tc>
        <w:tc>
          <w:tcPr>
            <w:tcW w:w="0" w:type="auto"/>
            <w:tcBorders>
              <w:top w:val="single" w:sz="8" w:space="0" w:color="000000"/>
              <w:bottom w:val="double" w:sz="6" w:space="0" w:color="000000"/>
            </w:tcBorders>
            <w:shd w:val="clear" w:color="auto" w:fill="auto"/>
            <w:vAlign w:val="bottom"/>
          </w:tcPr>
          <w:p w14:paraId="2A73B77F" w14:textId="77777777" w:rsidR="00FA5565" w:rsidRDefault="00FA5565">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2A73B780" w14:textId="77777777" w:rsidR="00FA5565" w:rsidRDefault="00FA5565">
            <w:pPr>
              <w:jc w:val="right"/>
              <w:textAlignment w:val="bottom"/>
              <w:rPr>
                <w:rFonts w:ascii="Times New Roman" w:hAnsi="Times New Roman"/>
                <w:sz w:val="18"/>
                <w:szCs w:val="18"/>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78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B78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2A73B78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bl>
    <w:p w14:paraId="2A73B785" w14:textId="77777777" w:rsidR="00FA5565" w:rsidRDefault="00FA5565">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B788" w14:textId="77777777">
        <w:trPr>
          <w:tblCellSpacing w:w="0" w:type="dxa"/>
        </w:trPr>
        <w:tc>
          <w:tcPr>
            <w:tcW w:w="960" w:type="dxa"/>
            <w:shd w:val="clear" w:color="auto" w:fill="auto"/>
            <w:vAlign w:val="center"/>
          </w:tcPr>
          <w:p w14:paraId="2A73B786" w14:textId="77777777" w:rsidR="00FA5565" w:rsidRDefault="00FA5565">
            <w:pPr>
              <w:rPr>
                <w:rFonts w:ascii="Times New Roman" w:hAnsi="Times New Roman"/>
                <w:sz w:val="20"/>
                <w:szCs w:val="20"/>
              </w:rPr>
            </w:pPr>
          </w:p>
        </w:tc>
        <w:tc>
          <w:tcPr>
            <w:tcW w:w="0" w:type="auto"/>
            <w:shd w:val="clear" w:color="auto" w:fill="auto"/>
            <w:vAlign w:val="center"/>
          </w:tcPr>
          <w:p w14:paraId="2A73B787" w14:textId="77777777" w:rsidR="00FA5565" w:rsidRDefault="00FA5565">
            <w:pPr>
              <w:rPr>
                <w:rFonts w:ascii="Times New Roman" w:hAnsi="Times New Roman"/>
                <w:sz w:val="20"/>
                <w:szCs w:val="20"/>
              </w:rPr>
            </w:pPr>
          </w:p>
        </w:tc>
      </w:tr>
      <w:tr w:rsidR="00FA5565" w14:paraId="2A73B78B" w14:textId="77777777">
        <w:trPr>
          <w:tblCellSpacing w:w="0" w:type="dxa"/>
        </w:trPr>
        <w:tc>
          <w:tcPr>
            <w:tcW w:w="0" w:type="auto"/>
            <w:shd w:val="clear" w:color="auto" w:fill="auto"/>
          </w:tcPr>
          <w:p w14:paraId="2A73B789"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B78A"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Refer to Note 1, “Summary of Significant Accounting Policies” for more information on the Company’s adoption of ASU 2016-01 in 2019.</w:t>
            </w:r>
          </w:p>
        </w:tc>
      </w:tr>
    </w:tbl>
    <w:p w14:paraId="2A73B78C"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Note 9 – Benefit Plans</w:t>
      </w:r>
    </w:p>
    <w:p w14:paraId="2A73B78D"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2014 Employee Stock Plan</w:t>
      </w:r>
    </w:p>
    <w:p w14:paraId="2A73B78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In the second quarter of 2014, </w:t>
      </w:r>
      <w:r>
        <w:rPr>
          <w:rFonts w:ascii="Helvetica" w:eastAsia="Helvetica" w:hAnsi="Helvetica" w:cs="Helvetica"/>
          <w:sz w:val="18"/>
          <w:szCs w:val="18"/>
        </w:rPr>
        <w:t>shareholders approved the 2014 Employee Stock Plan (the “2014 Plan”) and terminated the Company’s authority to grant new awards under the 2003 Employee Stock Plan (the “2003 Plan”). The 2014 Plan provides for broad-based equity grants to employees, includi</w:t>
      </w:r>
      <w:r>
        <w:rPr>
          <w:rFonts w:ascii="Helvetica" w:eastAsia="Helvetica" w:hAnsi="Helvetica" w:cs="Helvetica"/>
          <w:sz w:val="18"/>
          <w:szCs w:val="18"/>
        </w:rPr>
        <w:t xml:space="preserve">ng executive officers, and permits the granting of RSUs, stock grants, performance-based awards, stock options and stock appreciation rights, as well as cash bonus awards. RSUs granted under the 2014 Plan generally vest over four years, based on continued </w:t>
      </w:r>
      <w:r>
        <w:rPr>
          <w:rFonts w:ascii="Helvetica" w:eastAsia="Helvetica" w:hAnsi="Helvetica" w:cs="Helvetica"/>
          <w:sz w:val="18"/>
          <w:szCs w:val="18"/>
        </w:rPr>
        <w:t>employment, and are settled upon vesting in shares of the Company’s common stock on a one-for-one basis. RSUs granted under the 2014 Plan reduce the number of shares available for grant under the plan by a factor of two times the number of RSUs granted. RS</w:t>
      </w:r>
      <w:r>
        <w:rPr>
          <w:rFonts w:ascii="Helvetica" w:eastAsia="Helvetica" w:hAnsi="Helvetica" w:cs="Helvetica"/>
          <w:sz w:val="18"/>
          <w:szCs w:val="18"/>
        </w:rPr>
        <w:t>Us canceled and shares withheld to satisfy tax withholding obligations increase the number of shares available for grant under the 2014 Plan utilizing a factor of two times the number of RSUs canceled or shares withheld. Currently, all RSUs granted under t</w:t>
      </w:r>
      <w:r>
        <w:rPr>
          <w:rFonts w:ascii="Helvetica" w:eastAsia="Helvetica" w:hAnsi="Helvetica" w:cs="Helvetica"/>
          <w:sz w:val="18"/>
          <w:szCs w:val="18"/>
        </w:rPr>
        <w:t>he 2014 Plan have dividend equivalent rights (“DERs”), which entitle holders of RSUs to the same dividend value per share as holders of common stock. DERs are subject to the same vesting and other terms and conditions as the corresponding unvested RSUs. DE</w:t>
      </w:r>
      <w:r>
        <w:rPr>
          <w:rFonts w:ascii="Helvetica" w:eastAsia="Helvetica" w:hAnsi="Helvetica" w:cs="Helvetica"/>
          <w:sz w:val="18"/>
          <w:szCs w:val="18"/>
        </w:rPr>
        <w:t>Rs are accumulated and paid when the underlying shares vest. Upon approval of the 2014 Plan, the Company reserved 385 million shares plus the number of shares remaining that were reserved but not issued under the 2003 Plan. Shares subject to outstanding aw</w:t>
      </w:r>
      <w:r>
        <w:rPr>
          <w:rFonts w:ascii="Helvetica" w:eastAsia="Helvetica" w:hAnsi="Helvetica" w:cs="Helvetica"/>
          <w:sz w:val="18"/>
          <w:szCs w:val="18"/>
        </w:rPr>
        <w:t xml:space="preserve">ards under the 2003 Plan that expire, are canceled or otherwise terminate, or are withheld to satisfy tax withholding obligations for RSUs, will also be available for awards under the 2014 Plan. As of September 28, 2019, approximately 246.4 million shares </w:t>
      </w:r>
      <w:r>
        <w:rPr>
          <w:rFonts w:ascii="Helvetica" w:eastAsia="Helvetica" w:hAnsi="Helvetica" w:cs="Helvetica"/>
          <w:sz w:val="18"/>
          <w:szCs w:val="18"/>
        </w:rPr>
        <w:t>were reserved for future issuance under the 2014 Plan.</w:t>
      </w:r>
    </w:p>
    <w:p w14:paraId="2A73B78F"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Apple Inc. Non-Employee Director Stock Plan</w:t>
      </w:r>
    </w:p>
    <w:p w14:paraId="2A73B79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Apple Inc. Non-Employee Director Stock Plan (the “Director Plan”) is a shareholder-approved plan that (i) permits the Company to grant awards of RSUs or </w:t>
      </w:r>
      <w:r>
        <w:rPr>
          <w:rFonts w:ascii="Helvetica" w:eastAsia="Helvetica" w:hAnsi="Helvetica" w:cs="Helvetica"/>
          <w:sz w:val="18"/>
          <w:szCs w:val="18"/>
        </w:rPr>
        <w:t>stock options to the Company’s non-employee directors, (ii) provides for automatic initial grants of RSUs upon a non-employee director joining the Board of Directors and automatic annual grants of RSUs at each annual meeting of shareholders, and (iii) perm</w:t>
      </w:r>
      <w:r>
        <w:rPr>
          <w:rFonts w:ascii="Helvetica" w:eastAsia="Helvetica" w:hAnsi="Helvetica" w:cs="Helvetica"/>
          <w:sz w:val="18"/>
          <w:szCs w:val="18"/>
        </w:rPr>
        <w:t>its the Board of Directors to prospectively change the value and relative mixture of stock options and RSUs for the initial and annual award grants and the methodology for determining the number of shares of the Company’s common stock subject to these gran</w:t>
      </w:r>
      <w:r>
        <w:rPr>
          <w:rFonts w:ascii="Helvetica" w:eastAsia="Helvetica" w:hAnsi="Helvetica" w:cs="Helvetica"/>
          <w:sz w:val="18"/>
          <w:szCs w:val="18"/>
        </w:rPr>
        <w:t>ts, in each case within the limits set forth in the Director Plan and without further shareholder approval. RSUs granted under the Director Plan reduce the number of shares available for grant under the plan by a factor of two times the number of RSUs gran</w:t>
      </w:r>
      <w:r>
        <w:rPr>
          <w:rFonts w:ascii="Helvetica" w:eastAsia="Helvetica" w:hAnsi="Helvetica" w:cs="Helvetica"/>
          <w:sz w:val="18"/>
          <w:szCs w:val="18"/>
        </w:rPr>
        <w:t>ted. The Director Plan expires on November 12, 2027. All RSUs granted under the Director Plan are entitled to DERs. DERs are subject to the same vesting and other terms and conditions as the corresponding unvested RSUs. DERs are accumulated and paid when t</w:t>
      </w:r>
      <w:r>
        <w:rPr>
          <w:rFonts w:ascii="Helvetica" w:eastAsia="Helvetica" w:hAnsi="Helvetica" w:cs="Helvetica"/>
          <w:sz w:val="18"/>
          <w:szCs w:val="18"/>
        </w:rPr>
        <w:t>he underlying shares vest. As of September 28, 2019, approximately 1.1 million shares were reserved for future issuance under the Director Plan.</w:t>
      </w:r>
    </w:p>
    <w:p w14:paraId="2A73B791" w14:textId="77777777" w:rsidR="00FA5565" w:rsidRDefault="00FA5565">
      <w:pPr>
        <w:rPr>
          <w:rFonts w:ascii="Times New Roman" w:hAnsi="Times New Roman"/>
          <w:sz w:val="20"/>
          <w:szCs w:val="20"/>
        </w:rPr>
      </w:pPr>
    </w:p>
    <w:p w14:paraId="2A73B792"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49</w:t>
      </w:r>
    </w:p>
    <w:p w14:paraId="2A73B793" w14:textId="77777777" w:rsidR="00FA5565" w:rsidRDefault="00D804D1">
      <w:r>
        <w:rPr>
          <w:rFonts w:ascii="Times New Roman" w:hAnsi="Times New Roman"/>
          <w:sz w:val="16"/>
          <w:szCs w:val="16"/>
        </w:rPr>
        <w:pict w14:anchorId="2A73C0CD">
          <v:rect id="_x0000_i1075" style="width:415.3pt;height:1.5pt" o:hralign="center" o:hrstd="t" o:hr="t" fillcolor="#a0a0a0" stroked="f"/>
        </w:pict>
      </w:r>
    </w:p>
    <w:p w14:paraId="2A73B794" w14:textId="77777777" w:rsidR="00FA5565" w:rsidRDefault="00FA5565">
      <w:pPr>
        <w:rPr>
          <w:rFonts w:ascii="Times New Roman" w:hAnsi="Times New Roman"/>
          <w:sz w:val="20"/>
          <w:szCs w:val="20"/>
        </w:rPr>
      </w:pPr>
    </w:p>
    <w:p w14:paraId="2A73B795"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Rule 10b5-1 Trading Plans</w:t>
      </w:r>
    </w:p>
    <w:p w14:paraId="2A73B79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During the three months ended </w:t>
      </w:r>
      <w:r>
        <w:rPr>
          <w:rFonts w:ascii="Helvetica" w:eastAsia="Helvetica" w:hAnsi="Helvetica" w:cs="Helvetica"/>
          <w:sz w:val="18"/>
          <w:szCs w:val="18"/>
        </w:rPr>
        <w:t>September 28, 2019, Section 16 officers Timothy D. Cook, Chris Kondo, Luca Maestri, Deirdre O’Brien and Jeffrey Williams had equity trading plans in place in accordance with Rule 10b5-1(c)(1) under the Exchange Act. An equity trading plan is a written docu</w:t>
      </w:r>
      <w:r>
        <w:rPr>
          <w:rFonts w:ascii="Helvetica" w:eastAsia="Helvetica" w:hAnsi="Helvetica" w:cs="Helvetica"/>
          <w:sz w:val="18"/>
          <w:szCs w:val="18"/>
        </w:rPr>
        <w:t>ment that pre-establishes the amounts, prices and dates (or formula for determining the amounts, prices and dates) of future purchases or sales of the Company’s stock, including shares acquired under the Company’s employee and director equity plans.</w:t>
      </w:r>
    </w:p>
    <w:p w14:paraId="2A73B797"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Employ</w:t>
      </w:r>
      <w:r>
        <w:rPr>
          <w:rFonts w:ascii="Helvetica" w:eastAsia="Helvetica" w:hAnsi="Helvetica" w:cs="Helvetica"/>
          <w:b/>
          <w:bCs/>
          <w:sz w:val="18"/>
          <w:szCs w:val="18"/>
        </w:rPr>
        <w:t>ee Stock Purchase Plan</w:t>
      </w:r>
    </w:p>
    <w:p w14:paraId="2A73B79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Employee Stock Purchase Plan (the “Purchase Plan”) is a shareholder-approved plan under which substantially all employees may purchase the Company’s common stock through payroll deductions at a price equal to 85% of the lower of </w:t>
      </w:r>
      <w:r>
        <w:rPr>
          <w:rFonts w:ascii="Helvetica" w:eastAsia="Helvetica" w:hAnsi="Helvetica" w:cs="Helvetica"/>
          <w:sz w:val="18"/>
          <w:szCs w:val="18"/>
        </w:rPr>
        <w:t>the fair market values of the stock as of the beginning or the end of six-month offering periods. An employee’s payroll deductions under the Purchase Plan are limited to 10% of the employee’s compensation and employees may not purchase more than $25,000 of</w:t>
      </w:r>
      <w:r>
        <w:rPr>
          <w:rFonts w:ascii="Helvetica" w:eastAsia="Helvetica" w:hAnsi="Helvetica" w:cs="Helvetica"/>
          <w:sz w:val="18"/>
          <w:szCs w:val="18"/>
        </w:rPr>
        <w:t xml:space="preserve"> stock during any calendar year. As of September 28, 2019, approximately 31.1 million shares were reserved for future issuance under the Purchase Plan.</w:t>
      </w:r>
    </w:p>
    <w:p w14:paraId="2A73B79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401(k) Plan</w:t>
      </w:r>
    </w:p>
    <w:p w14:paraId="2A73B79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401(k) Plan is a deferred salary arrangement under Section 401(k) of the Inter</w:t>
      </w:r>
      <w:r>
        <w:rPr>
          <w:rFonts w:ascii="Helvetica" w:eastAsia="Helvetica" w:hAnsi="Helvetica" w:cs="Helvetica"/>
          <w:sz w:val="18"/>
          <w:szCs w:val="18"/>
        </w:rPr>
        <w:t>nal Revenue Code. Under the 401(k) Plan, participating U.S. employees may defer a portion of their pre-tax earnings, up to the IRS annual contribution limit ($19,000 for calendar year 2019). The Company matches 50% to 100% of each employee’s contributions,</w:t>
      </w:r>
      <w:r>
        <w:rPr>
          <w:rFonts w:ascii="Helvetica" w:eastAsia="Helvetica" w:hAnsi="Helvetica" w:cs="Helvetica"/>
          <w:sz w:val="18"/>
          <w:szCs w:val="18"/>
        </w:rPr>
        <w:t xml:space="preserve"> depending on length of service, up to a maximum of 6% of the employee’s eligible earnings.</w:t>
      </w:r>
    </w:p>
    <w:p w14:paraId="2A73B79B"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Restricted Stock Units</w:t>
      </w:r>
    </w:p>
    <w:p w14:paraId="2A73B79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 summary of the Company’s RSU activity and related information for 2019, 2018 and 2017, is as follows:</w:t>
      </w:r>
    </w:p>
    <w:tbl>
      <w:tblPr>
        <w:tblW w:w="5000" w:type="pct"/>
        <w:tblCellMar>
          <w:left w:w="0" w:type="dxa"/>
          <w:right w:w="0" w:type="dxa"/>
        </w:tblCellMar>
        <w:tblLook w:val="04A0" w:firstRow="1" w:lastRow="0" w:firstColumn="1" w:lastColumn="0" w:noHBand="0" w:noVBand="1"/>
      </w:tblPr>
      <w:tblGrid>
        <w:gridCol w:w="4143"/>
        <w:gridCol w:w="1154"/>
        <w:gridCol w:w="100"/>
        <w:gridCol w:w="130"/>
        <w:gridCol w:w="142"/>
        <w:gridCol w:w="1310"/>
        <w:gridCol w:w="87"/>
        <w:gridCol w:w="130"/>
        <w:gridCol w:w="142"/>
        <w:gridCol w:w="906"/>
        <w:gridCol w:w="62"/>
      </w:tblGrid>
      <w:tr w:rsidR="00FA5565" w14:paraId="2A73B79E" w14:textId="77777777">
        <w:tc>
          <w:tcPr>
            <w:tcW w:w="0" w:type="auto"/>
            <w:gridSpan w:val="11"/>
            <w:shd w:val="clear" w:color="auto" w:fill="auto"/>
            <w:vAlign w:val="center"/>
          </w:tcPr>
          <w:p w14:paraId="2A73B79D" w14:textId="77777777" w:rsidR="00FA5565" w:rsidRDefault="00FA5565">
            <w:pPr>
              <w:rPr>
                <w:rFonts w:ascii="Times New Roman" w:hAnsi="Times New Roman"/>
                <w:sz w:val="20"/>
                <w:szCs w:val="20"/>
              </w:rPr>
            </w:pPr>
          </w:p>
        </w:tc>
      </w:tr>
      <w:tr w:rsidR="00FA5565" w14:paraId="2A73B7AA" w14:textId="77777777">
        <w:tc>
          <w:tcPr>
            <w:tcW w:w="2550" w:type="pct"/>
            <w:shd w:val="clear" w:color="auto" w:fill="auto"/>
            <w:vAlign w:val="center"/>
          </w:tcPr>
          <w:p w14:paraId="2A73B79F" w14:textId="77777777" w:rsidR="00FA5565" w:rsidRDefault="00FA5565">
            <w:pPr>
              <w:rPr>
                <w:rFonts w:ascii="Times New Roman" w:hAnsi="Times New Roman"/>
                <w:sz w:val="20"/>
                <w:szCs w:val="20"/>
              </w:rPr>
            </w:pPr>
          </w:p>
        </w:tc>
        <w:tc>
          <w:tcPr>
            <w:tcW w:w="750" w:type="pct"/>
            <w:shd w:val="clear" w:color="auto" w:fill="auto"/>
            <w:vAlign w:val="center"/>
          </w:tcPr>
          <w:p w14:paraId="2A73B7A0" w14:textId="77777777" w:rsidR="00FA5565" w:rsidRDefault="00FA5565">
            <w:pPr>
              <w:rPr>
                <w:rFonts w:ascii="Times New Roman" w:hAnsi="Times New Roman"/>
                <w:sz w:val="20"/>
                <w:szCs w:val="20"/>
              </w:rPr>
            </w:pPr>
          </w:p>
        </w:tc>
        <w:tc>
          <w:tcPr>
            <w:tcW w:w="50" w:type="pct"/>
            <w:shd w:val="clear" w:color="auto" w:fill="auto"/>
            <w:vAlign w:val="center"/>
          </w:tcPr>
          <w:p w14:paraId="2A73B7A1" w14:textId="77777777" w:rsidR="00FA5565" w:rsidRDefault="00FA5565">
            <w:pPr>
              <w:rPr>
                <w:rFonts w:ascii="Times New Roman" w:hAnsi="Times New Roman"/>
                <w:sz w:val="20"/>
                <w:szCs w:val="20"/>
              </w:rPr>
            </w:pPr>
          </w:p>
        </w:tc>
        <w:tc>
          <w:tcPr>
            <w:tcW w:w="50" w:type="pct"/>
            <w:shd w:val="clear" w:color="auto" w:fill="auto"/>
            <w:vAlign w:val="center"/>
          </w:tcPr>
          <w:p w14:paraId="2A73B7A2" w14:textId="77777777" w:rsidR="00FA5565" w:rsidRDefault="00FA5565">
            <w:pPr>
              <w:rPr>
                <w:rFonts w:ascii="Times New Roman" w:hAnsi="Times New Roman"/>
                <w:sz w:val="20"/>
                <w:szCs w:val="20"/>
              </w:rPr>
            </w:pPr>
          </w:p>
        </w:tc>
        <w:tc>
          <w:tcPr>
            <w:tcW w:w="50" w:type="pct"/>
            <w:shd w:val="clear" w:color="auto" w:fill="auto"/>
            <w:vAlign w:val="center"/>
          </w:tcPr>
          <w:p w14:paraId="2A73B7A3" w14:textId="77777777" w:rsidR="00FA5565" w:rsidRDefault="00FA5565">
            <w:pPr>
              <w:rPr>
                <w:rFonts w:ascii="Times New Roman" w:hAnsi="Times New Roman"/>
                <w:sz w:val="20"/>
                <w:szCs w:val="20"/>
              </w:rPr>
            </w:pPr>
          </w:p>
        </w:tc>
        <w:tc>
          <w:tcPr>
            <w:tcW w:w="750" w:type="pct"/>
            <w:shd w:val="clear" w:color="auto" w:fill="auto"/>
            <w:vAlign w:val="center"/>
          </w:tcPr>
          <w:p w14:paraId="2A73B7A4" w14:textId="77777777" w:rsidR="00FA5565" w:rsidRDefault="00FA5565">
            <w:pPr>
              <w:rPr>
                <w:rFonts w:ascii="Times New Roman" w:hAnsi="Times New Roman"/>
                <w:sz w:val="20"/>
                <w:szCs w:val="20"/>
              </w:rPr>
            </w:pPr>
          </w:p>
        </w:tc>
        <w:tc>
          <w:tcPr>
            <w:tcW w:w="50" w:type="pct"/>
            <w:shd w:val="clear" w:color="auto" w:fill="auto"/>
            <w:vAlign w:val="center"/>
          </w:tcPr>
          <w:p w14:paraId="2A73B7A5" w14:textId="77777777" w:rsidR="00FA5565" w:rsidRDefault="00FA5565">
            <w:pPr>
              <w:rPr>
                <w:rFonts w:ascii="Times New Roman" w:hAnsi="Times New Roman"/>
                <w:sz w:val="20"/>
                <w:szCs w:val="20"/>
              </w:rPr>
            </w:pPr>
          </w:p>
        </w:tc>
        <w:tc>
          <w:tcPr>
            <w:tcW w:w="50" w:type="pct"/>
            <w:shd w:val="clear" w:color="auto" w:fill="auto"/>
            <w:vAlign w:val="center"/>
          </w:tcPr>
          <w:p w14:paraId="2A73B7A6" w14:textId="77777777" w:rsidR="00FA5565" w:rsidRDefault="00FA5565">
            <w:pPr>
              <w:rPr>
                <w:rFonts w:ascii="Times New Roman" w:hAnsi="Times New Roman"/>
                <w:sz w:val="20"/>
                <w:szCs w:val="20"/>
              </w:rPr>
            </w:pPr>
          </w:p>
        </w:tc>
        <w:tc>
          <w:tcPr>
            <w:tcW w:w="50" w:type="pct"/>
            <w:shd w:val="clear" w:color="auto" w:fill="auto"/>
            <w:vAlign w:val="center"/>
          </w:tcPr>
          <w:p w14:paraId="2A73B7A7" w14:textId="77777777" w:rsidR="00FA5565" w:rsidRDefault="00FA5565">
            <w:pPr>
              <w:rPr>
                <w:rFonts w:ascii="Times New Roman" w:hAnsi="Times New Roman"/>
                <w:sz w:val="20"/>
                <w:szCs w:val="20"/>
              </w:rPr>
            </w:pPr>
          </w:p>
        </w:tc>
        <w:tc>
          <w:tcPr>
            <w:tcW w:w="600" w:type="pct"/>
            <w:shd w:val="clear" w:color="auto" w:fill="auto"/>
            <w:vAlign w:val="center"/>
          </w:tcPr>
          <w:p w14:paraId="2A73B7A8" w14:textId="77777777" w:rsidR="00FA5565" w:rsidRDefault="00FA5565">
            <w:pPr>
              <w:rPr>
                <w:rFonts w:ascii="Times New Roman" w:hAnsi="Times New Roman"/>
                <w:sz w:val="20"/>
                <w:szCs w:val="20"/>
              </w:rPr>
            </w:pPr>
          </w:p>
        </w:tc>
        <w:tc>
          <w:tcPr>
            <w:tcW w:w="50" w:type="pct"/>
            <w:shd w:val="clear" w:color="auto" w:fill="auto"/>
            <w:vAlign w:val="center"/>
          </w:tcPr>
          <w:p w14:paraId="2A73B7A9" w14:textId="77777777" w:rsidR="00FA5565" w:rsidRDefault="00FA5565">
            <w:pPr>
              <w:rPr>
                <w:rFonts w:ascii="Times New Roman" w:hAnsi="Times New Roman"/>
                <w:sz w:val="20"/>
                <w:szCs w:val="20"/>
              </w:rPr>
            </w:pPr>
          </w:p>
        </w:tc>
      </w:tr>
      <w:tr w:rsidR="00FA5565" w14:paraId="2A73B7B7" w14:textId="77777777">
        <w:tc>
          <w:tcPr>
            <w:tcW w:w="0" w:type="auto"/>
            <w:shd w:val="clear" w:color="auto" w:fill="auto"/>
            <w:tcMar>
              <w:top w:w="40" w:type="dxa"/>
              <w:left w:w="40" w:type="dxa"/>
              <w:bottom w:w="40" w:type="dxa"/>
              <w:right w:w="40" w:type="dxa"/>
            </w:tcMar>
            <w:vAlign w:val="bottom"/>
          </w:tcPr>
          <w:p w14:paraId="2A73B7A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2A73B7AC"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Number of</w:t>
            </w:r>
          </w:p>
          <w:p w14:paraId="2A73B7A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RSUs</w:t>
            </w:r>
          </w:p>
          <w:p w14:paraId="2A73B7AE"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 xml:space="preserve">(in </w:t>
            </w:r>
            <w:r>
              <w:rPr>
                <w:rFonts w:ascii="Helvetica" w:eastAsia="Helvetica" w:hAnsi="Helvetica" w:cs="Helvetica"/>
                <w:sz w:val="16"/>
                <w:szCs w:val="16"/>
              </w:rPr>
              <w:t>thousands)</w:t>
            </w:r>
          </w:p>
        </w:tc>
        <w:tc>
          <w:tcPr>
            <w:tcW w:w="0" w:type="auto"/>
            <w:shd w:val="clear" w:color="auto" w:fill="auto"/>
            <w:tcMar>
              <w:top w:w="40" w:type="dxa"/>
              <w:left w:w="40" w:type="dxa"/>
              <w:bottom w:w="40" w:type="dxa"/>
              <w:right w:w="40" w:type="dxa"/>
            </w:tcMar>
            <w:vAlign w:val="bottom"/>
          </w:tcPr>
          <w:p w14:paraId="2A73B7A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7B0"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Weighted-Average</w:t>
            </w:r>
          </w:p>
          <w:p w14:paraId="2A73B7B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Grant Date Fair</w:t>
            </w:r>
          </w:p>
          <w:p w14:paraId="2A73B7B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Value Per RSU</w:t>
            </w:r>
          </w:p>
        </w:tc>
        <w:tc>
          <w:tcPr>
            <w:tcW w:w="0" w:type="auto"/>
            <w:shd w:val="clear" w:color="auto" w:fill="auto"/>
            <w:tcMar>
              <w:top w:w="40" w:type="dxa"/>
              <w:left w:w="40" w:type="dxa"/>
              <w:bottom w:w="40" w:type="dxa"/>
              <w:right w:w="40" w:type="dxa"/>
            </w:tcMar>
            <w:vAlign w:val="bottom"/>
          </w:tcPr>
          <w:p w14:paraId="2A73B7B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7B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Aggregate</w:t>
            </w:r>
          </w:p>
          <w:p w14:paraId="2A73B7B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Fair Value</w:t>
            </w:r>
          </w:p>
          <w:p w14:paraId="2A73B7B6" w14:textId="77777777" w:rsidR="00FA5565" w:rsidRDefault="00D804D1">
            <w:pPr>
              <w:jc w:val="center"/>
              <w:textAlignment w:val="bottom"/>
              <w:rPr>
                <w:rFonts w:ascii="Times New Roman" w:hAnsi="Times New Roman"/>
                <w:sz w:val="16"/>
                <w:szCs w:val="16"/>
              </w:rPr>
            </w:pPr>
            <w:r>
              <w:rPr>
                <w:rFonts w:ascii="Helvetica" w:eastAsia="Helvetica" w:hAnsi="Helvetica" w:cs="Helvetica"/>
                <w:sz w:val="16"/>
                <w:szCs w:val="16"/>
              </w:rPr>
              <w:t>(in millions)</w:t>
            </w:r>
          </w:p>
        </w:tc>
      </w:tr>
      <w:tr w:rsidR="00FA5565" w14:paraId="2A73B7C1" w14:textId="77777777">
        <w:tc>
          <w:tcPr>
            <w:tcW w:w="0" w:type="auto"/>
            <w:shd w:val="clear" w:color="auto" w:fill="auto"/>
            <w:tcMar>
              <w:top w:w="40" w:type="dxa"/>
              <w:left w:w="40" w:type="dxa"/>
              <w:bottom w:w="40" w:type="dxa"/>
              <w:right w:w="40" w:type="dxa"/>
            </w:tcMar>
          </w:tcPr>
          <w:p w14:paraId="2A73B7B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Balance as of September 24, 2016</w:t>
            </w:r>
          </w:p>
        </w:tc>
        <w:tc>
          <w:tcPr>
            <w:tcW w:w="0" w:type="auto"/>
            <w:shd w:val="clear" w:color="auto" w:fill="auto"/>
            <w:tcMar>
              <w:top w:w="40" w:type="dxa"/>
              <w:left w:w="40" w:type="dxa"/>
              <w:bottom w:w="40" w:type="dxa"/>
            </w:tcMar>
            <w:vAlign w:val="bottom"/>
          </w:tcPr>
          <w:p w14:paraId="2A73B7B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99,089</w:t>
            </w:r>
          </w:p>
        </w:tc>
        <w:tc>
          <w:tcPr>
            <w:tcW w:w="0" w:type="auto"/>
            <w:shd w:val="clear" w:color="auto" w:fill="auto"/>
            <w:vAlign w:val="bottom"/>
          </w:tcPr>
          <w:p w14:paraId="2A73B7B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B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7B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7B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97.54</w:t>
            </w:r>
          </w:p>
        </w:tc>
        <w:tc>
          <w:tcPr>
            <w:tcW w:w="0" w:type="auto"/>
            <w:shd w:val="clear" w:color="auto" w:fill="auto"/>
            <w:vAlign w:val="bottom"/>
          </w:tcPr>
          <w:p w14:paraId="2A73B7B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B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7C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7CB" w14:textId="77777777">
        <w:tc>
          <w:tcPr>
            <w:tcW w:w="0" w:type="auto"/>
            <w:shd w:val="clear" w:color="auto" w:fill="EFEFEF"/>
            <w:tcMar>
              <w:top w:w="40" w:type="dxa"/>
              <w:left w:w="560" w:type="dxa"/>
              <w:bottom w:w="40" w:type="dxa"/>
              <w:right w:w="40" w:type="dxa"/>
            </w:tcMar>
          </w:tcPr>
          <w:p w14:paraId="2A73B7C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RSUs granted</w:t>
            </w:r>
          </w:p>
        </w:tc>
        <w:tc>
          <w:tcPr>
            <w:tcW w:w="0" w:type="auto"/>
            <w:shd w:val="clear" w:color="auto" w:fill="EFEFEF"/>
            <w:tcMar>
              <w:top w:w="40" w:type="dxa"/>
              <w:left w:w="40" w:type="dxa"/>
              <w:bottom w:w="40" w:type="dxa"/>
            </w:tcMar>
            <w:vAlign w:val="bottom"/>
          </w:tcPr>
          <w:p w14:paraId="2A73B7C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50,112</w:t>
            </w:r>
          </w:p>
        </w:tc>
        <w:tc>
          <w:tcPr>
            <w:tcW w:w="0" w:type="auto"/>
            <w:shd w:val="clear" w:color="auto" w:fill="EFEFEF"/>
            <w:vAlign w:val="bottom"/>
          </w:tcPr>
          <w:p w14:paraId="2A73B7C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7C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7C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121.65</w:t>
            </w:r>
          </w:p>
        </w:tc>
        <w:tc>
          <w:tcPr>
            <w:tcW w:w="0" w:type="auto"/>
            <w:shd w:val="clear" w:color="auto" w:fill="EFEFEF"/>
            <w:vAlign w:val="bottom"/>
          </w:tcPr>
          <w:p w14:paraId="2A73B7C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C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7C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7D5" w14:textId="77777777">
        <w:tc>
          <w:tcPr>
            <w:tcW w:w="0" w:type="auto"/>
            <w:shd w:val="clear" w:color="auto" w:fill="auto"/>
            <w:tcMar>
              <w:top w:w="40" w:type="dxa"/>
              <w:left w:w="560" w:type="dxa"/>
              <w:bottom w:w="40" w:type="dxa"/>
              <w:right w:w="40" w:type="dxa"/>
            </w:tcMar>
          </w:tcPr>
          <w:p w14:paraId="2A73B7C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RSUs vested</w:t>
            </w:r>
          </w:p>
        </w:tc>
        <w:tc>
          <w:tcPr>
            <w:tcW w:w="0" w:type="auto"/>
            <w:shd w:val="clear" w:color="auto" w:fill="auto"/>
            <w:tcMar>
              <w:top w:w="40" w:type="dxa"/>
              <w:left w:w="40" w:type="dxa"/>
              <w:bottom w:w="40" w:type="dxa"/>
            </w:tcMar>
            <w:vAlign w:val="bottom"/>
          </w:tcPr>
          <w:p w14:paraId="2A73B7C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(45,735</w:t>
            </w:r>
          </w:p>
        </w:tc>
        <w:tc>
          <w:tcPr>
            <w:tcW w:w="0" w:type="auto"/>
            <w:shd w:val="clear" w:color="auto" w:fill="auto"/>
            <w:tcMar>
              <w:top w:w="40" w:type="dxa"/>
              <w:bottom w:w="40" w:type="dxa"/>
              <w:right w:w="40" w:type="dxa"/>
            </w:tcMar>
            <w:vAlign w:val="bottom"/>
          </w:tcPr>
          <w:p w14:paraId="2A73B7C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7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7D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7D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95.48</w:t>
            </w:r>
          </w:p>
        </w:tc>
        <w:tc>
          <w:tcPr>
            <w:tcW w:w="0" w:type="auto"/>
            <w:shd w:val="clear" w:color="auto" w:fill="auto"/>
            <w:vAlign w:val="bottom"/>
          </w:tcPr>
          <w:p w14:paraId="2A73B7D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D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7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7DF" w14:textId="77777777">
        <w:tc>
          <w:tcPr>
            <w:tcW w:w="0" w:type="auto"/>
            <w:shd w:val="clear" w:color="auto" w:fill="EFEFEF"/>
            <w:tcMar>
              <w:top w:w="40" w:type="dxa"/>
              <w:left w:w="560" w:type="dxa"/>
              <w:bottom w:w="40" w:type="dxa"/>
              <w:right w:w="40" w:type="dxa"/>
            </w:tcMar>
          </w:tcPr>
          <w:p w14:paraId="2A73B7D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RSUs canceled</w:t>
            </w:r>
          </w:p>
        </w:tc>
        <w:tc>
          <w:tcPr>
            <w:tcW w:w="0" w:type="auto"/>
            <w:tcBorders>
              <w:bottom w:val="single" w:sz="8" w:space="0" w:color="000000"/>
            </w:tcBorders>
            <w:shd w:val="clear" w:color="auto" w:fill="EFEFEF"/>
            <w:tcMar>
              <w:top w:w="40" w:type="dxa"/>
              <w:left w:w="40" w:type="dxa"/>
              <w:bottom w:w="40" w:type="dxa"/>
            </w:tcMar>
            <w:vAlign w:val="bottom"/>
          </w:tcPr>
          <w:p w14:paraId="2A73B7D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(5,895</w:t>
            </w:r>
          </w:p>
        </w:tc>
        <w:tc>
          <w:tcPr>
            <w:tcW w:w="0" w:type="auto"/>
            <w:tcBorders>
              <w:bottom w:val="single" w:sz="8" w:space="0" w:color="000000"/>
            </w:tcBorders>
            <w:shd w:val="clear" w:color="auto" w:fill="EFEFEF"/>
            <w:tcMar>
              <w:top w:w="40" w:type="dxa"/>
              <w:bottom w:w="40" w:type="dxa"/>
              <w:right w:w="40" w:type="dxa"/>
            </w:tcMar>
            <w:vAlign w:val="bottom"/>
          </w:tcPr>
          <w:p w14:paraId="2A73B7D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7D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7D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7D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106.87</w:t>
            </w:r>
          </w:p>
        </w:tc>
        <w:tc>
          <w:tcPr>
            <w:tcW w:w="0" w:type="auto"/>
            <w:shd w:val="clear" w:color="auto" w:fill="EFEFEF"/>
            <w:vAlign w:val="bottom"/>
          </w:tcPr>
          <w:p w14:paraId="2A73B7D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7D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7E9" w14:textId="77777777">
        <w:tc>
          <w:tcPr>
            <w:tcW w:w="0" w:type="auto"/>
            <w:shd w:val="clear" w:color="auto" w:fill="auto"/>
            <w:tcMar>
              <w:top w:w="40" w:type="dxa"/>
              <w:left w:w="40" w:type="dxa"/>
              <w:bottom w:w="40" w:type="dxa"/>
              <w:right w:w="40" w:type="dxa"/>
            </w:tcMar>
          </w:tcPr>
          <w:p w14:paraId="2A73B7E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Balance as of September 30, 2017</w:t>
            </w:r>
          </w:p>
        </w:tc>
        <w:tc>
          <w:tcPr>
            <w:tcW w:w="0" w:type="auto"/>
            <w:shd w:val="clear" w:color="auto" w:fill="auto"/>
            <w:tcMar>
              <w:top w:w="40" w:type="dxa"/>
              <w:left w:w="40" w:type="dxa"/>
              <w:bottom w:w="40" w:type="dxa"/>
            </w:tcMar>
            <w:vAlign w:val="bottom"/>
          </w:tcPr>
          <w:p w14:paraId="2A73B7E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97,571</w:t>
            </w:r>
          </w:p>
        </w:tc>
        <w:tc>
          <w:tcPr>
            <w:tcW w:w="0" w:type="auto"/>
            <w:shd w:val="clear" w:color="auto" w:fill="auto"/>
            <w:vAlign w:val="bottom"/>
          </w:tcPr>
          <w:p w14:paraId="2A73B7E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E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7E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7E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110.33</w:t>
            </w:r>
          </w:p>
        </w:tc>
        <w:tc>
          <w:tcPr>
            <w:tcW w:w="0" w:type="auto"/>
            <w:shd w:val="clear" w:color="auto" w:fill="auto"/>
            <w:vAlign w:val="bottom"/>
          </w:tcPr>
          <w:p w14:paraId="2A73B7E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E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7E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7F3" w14:textId="77777777">
        <w:tc>
          <w:tcPr>
            <w:tcW w:w="0" w:type="auto"/>
            <w:shd w:val="clear" w:color="auto" w:fill="EFEFEF"/>
            <w:tcMar>
              <w:top w:w="40" w:type="dxa"/>
              <w:left w:w="560" w:type="dxa"/>
              <w:bottom w:w="40" w:type="dxa"/>
              <w:right w:w="40" w:type="dxa"/>
            </w:tcMar>
          </w:tcPr>
          <w:p w14:paraId="2A73B7EA"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RSUs granted</w:t>
            </w:r>
          </w:p>
        </w:tc>
        <w:tc>
          <w:tcPr>
            <w:tcW w:w="0" w:type="auto"/>
            <w:shd w:val="clear" w:color="auto" w:fill="EFEFEF"/>
            <w:tcMar>
              <w:top w:w="40" w:type="dxa"/>
              <w:left w:w="40" w:type="dxa"/>
              <w:bottom w:w="40" w:type="dxa"/>
            </w:tcMar>
            <w:vAlign w:val="bottom"/>
          </w:tcPr>
          <w:p w14:paraId="2A73B7E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45,351</w:t>
            </w:r>
          </w:p>
        </w:tc>
        <w:tc>
          <w:tcPr>
            <w:tcW w:w="0" w:type="auto"/>
            <w:shd w:val="clear" w:color="auto" w:fill="EFEFEF"/>
            <w:vAlign w:val="bottom"/>
          </w:tcPr>
          <w:p w14:paraId="2A73B7E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E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7E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7E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162.86</w:t>
            </w:r>
          </w:p>
        </w:tc>
        <w:tc>
          <w:tcPr>
            <w:tcW w:w="0" w:type="auto"/>
            <w:shd w:val="clear" w:color="auto" w:fill="EFEFEF"/>
            <w:vAlign w:val="bottom"/>
          </w:tcPr>
          <w:p w14:paraId="2A73B7F0"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7F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7F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7FD" w14:textId="77777777">
        <w:tc>
          <w:tcPr>
            <w:tcW w:w="0" w:type="auto"/>
            <w:shd w:val="clear" w:color="auto" w:fill="auto"/>
            <w:tcMar>
              <w:top w:w="40" w:type="dxa"/>
              <w:left w:w="560" w:type="dxa"/>
              <w:bottom w:w="40" w:type="dxa"/>
              <w:right w:w="40" w:type="dxa"/>
            </w:tcMar>
          </w:tcPr>
          <w:p w14:paraId="2A73B7F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RSUs vested</w:t>
            </w:r>
          </w:p>
        </w:tc>
        <w:tc>
          <w:tcPr>
            <w:tcW w:w="0" w:type="auto"/>
            <w:shd w:val="clear" w:color="auto" w:fill="auto"/>
            <w:tcMar>
              <w:top w:w="40" w:type="dxa"/>
              <w:left w:w="40" w:type="dxa"/>
              <w:bottom w:w="40" w:type="dxa"/>
            </w:tcMar>
            <w:vAlign w:val="bottom"/>
          </w:tcPr>
          <w:p w14:paraId="2A73B7F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(44,718</w:t>
            </w:r>
          </w:p>
        </w:tc>
        <w:tc>
          <w:tcPr>
            <w:tcW w:w="0" w:type="auto"/>
            <w:shd w:val="clear" w:color="auto" w:fill="auto"/>
            <w:tcMar>
              <w:top w:w="40" w:type="dxa"/>
              <w:bottom w:w="40" w:type="dxa"/>
              <w:right w:w="40" w:type="dxa"/>
            </w:tcMar>
            <w:vAlign w:val="bottom"/>
          </w:tcPr>
          <w:p w14:paraId="2A73B7F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7F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7F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7F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111.24</w:t>
            </w:r>
          </w:p>
        </w:tc>
        <w:tc>
          <w:tcPr>
            <w:tcW w:w="0" w:type="auto"/>
            <w:shd w:val="clear" w:color="auto" w:fill="auto"/>
            <w:vAlign w:val="bottom"/>
          </w:tcPr>
          <w:p w14:paraId="2A73B7F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7F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7F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807" w14:textId="77777777">
        <w:tc>
          <w:tcPr>
            <w:tcW w:w="0" w:type="auto"/>
            <w:shd w:val="clear" w:color="auto" w:fill="EFEFEF"/>
            <w:tcMar>
              <w:top w:w="40" w:type="dxa"/>
              <w:left w:w="560" w:type="dxa"/>
              <w:bottom w:w="40" w:type="dxa"/>
              <w:right w:w="40" w:type="dxa"/>
            </w:tcMar>
          </w:tcPr>
          <w:p w14:paraId="2A73B7F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RSUs canceled</w:t>
            </w:r>
          </w:p>
        </w:tc>
        <w:tc>
          <w:tcPr>
            <w:tcW w:w="0" w:type="auto"/>
            <w:tcBorders>
              <w:bottom w:val="single" w:sz="8" w:space="0" w:color="000000"/>
            </w:tcBorders>
            <w:shd w:val="clear" w:color="auto" w:fill="EFEFEF"/>
            <w:tcMar>
              <w:top w:w="40" w:type="dxa"/>
              <w:left w:w="40" w:type="dxa"/>
              <w:bottom w:w="40" w:type="dxa"/>
            </w:tcMar>
            <w:vAlign w:val="bottom"/>
          </w:tcPr>
          <w:p w14:paraId="2A73B7F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(6,049</w:t>
            </w:r>
          </w:p>
        </w:tc>
        <w:tc>
          <w:tcPr>
            <w:tcW w:w="0" w:type="auto"/>
            <w:tcBorders>
              <w:bottom w:val="single" w:sz="8" w:space="0" w:color="000000"/>
            </w:tcBorders>
            <w:shd w:val="clear" w:color="auto" w:fill="EFEFEF"/>
            <w:tcMar>
              <w:top w:w="40" w:type="dxa"/>
              <w:bottom w:w="40" w:type="dxa"/>
              <w:right w:w="40" w:type="dxa"/>
            </w:tcMar>
            <w:vAlign w:val="bottom"/>
          </w:tcPr>
          <w:p w14:paraId="2A73B80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8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80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80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127.82</w:t>
            </w:r>
          </w:p>
        </w:tc>
        <w:tc>
          <w:tcPr>
            <w:tcW w:w="0" w:type="auto"/>
            <w:shd w:val="clear" w:color="auto" w:fill="EFEFEF"/>
            <w:vAlign w:val="bottom"/>
          </w:tcPr>
          <w:p w14:paraId="2A73B80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80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8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811" w14:textId="77777777">
        <w:tc>
          <w:tcPr>
            <w:tcW w:w="0" w:type="auto"/>
            <w:shd w:val="clear" w:color="auto" w:fill="auto"/>
            <w:tcMar>
              <w:top w:w="40" w:type="dxa"/>
              <w:left w:w="40" w:type="dxa"/>
              <w:bottom w:w="40" w:type="dxa"/>
              <w:right w:w="40" w:type="dxa"/>
            </w:tcMar>
          </w:tcPr>
          <w:p w14:paraId="2A73B80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Balance as of September 29, 2018</w:t>
            </w:r>
          </w:p>
        </w:tc>
        <w:tc>
          <w:tcPr>
            <w:tcW w:w="0" w:type="auto"/>
            <w:shd w:val="clear" w:color="auto" w:fill="auto"/>
            <w:tcMar>
              <w:top w:w="40" w:type="dxa"/>
              <w:left w:w="40" w:type="dxa"/>
              <w:bottom w:w="40" w:type="dxa"/>
            </w:tcMar>
            <w:vAlign w:val="bottom"/>
          </w:tcPr>
          <w:p w14:paraId="2A73B80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92,155</w:t>
            </w:r>
          </w:p>
        </w:tc>
        <w:tc>
          <w:tcPr>
            <w:tcW w:w="0" w:type="auto"/>
            <w:shd w:val="clear" w:color="auto" w:fill="auto"/>
            <w:vAlign w:val="bottom"/>
          </w:tcPr>
          <w:p w14:paraId="2A73B80A"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0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80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80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134.60</w:t>
            </w:r>
          </w:p>
        </w:tc>
        <w:tc>
          <w:tcPr>
            <w:tcW w:w="0" w:type="auto"/>
            <w:shd w:val="clear" w:color="auto" w:fill="auto"/>
            <w:vAlign w:val="bottom"/>
          </w:tcPr>
          <w:p w14:paraId="2A73B80E"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0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8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81B" w14:textId="77777777">
        <w:tc>
          <w:tcPr>
            <w:tcW w:w="0" w:type="auto"/>
            <w:shd w:val="clear" w:color="auto" w:fill="EFEFEF"/>
            <w:tcMar>
              <w:top w:w="40" w:type="dxa"/>
              <w:left w:w="560" w:type="dxa"/>
              <w:bottom w:w="40" w:type="dxa"/>
              <w:right w:w="40" w:type="dxa"/>
            </w:tcMar>
          </w:tcPr>
          <w:p w14:paraId="2A73B81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RSUs granted</w:t>
            </w:r>
          </w:p>
        </w:tc>
        <w:tc>
          <w:tcPr>
            <w:tcW w:w="0" w:type="auto"/>
            <w:shd w:val="clear" w:color="auto" w:fill="EFEFEF"/>
            <w:tcMar>
              <w:top w:w="40" w:type="dxa"/>
              <w:left w:w="40" w:type="dxa"/>
              <w:bottom w:w="40" w:type="dxa"/>
            </w:tcMar>
            <w:vAlign w:val="bottom"/>
          </w:tcPr>
          <w:p w14:paraId="2A73B81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36,852</w:t>
            </w:r>
          </w:p>
        </w:tc>
        <w:tc>
          <w:tcPr>
            <w:tcW w:w="0" w:type="auto"/>
            <w:shd w:val="clear" w:color="auto" w:fill="EFEFEF"/>
            <w:vAlign w:val="bottom"/>
          </w:tcPr>
          <w:p w14:paraId="2A73B81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81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81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81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215.95</w:t>
            </w:r>
          </w:p>
        </w:tc>
        <w:tc>
          <w:tcPr>
            <w:tcW w:w="0" w:type="auto"/>
            <w:shd w:val="clear" w:color="auto" w:fill="EFEFEF"/>
            <w:vAlign w:val="bottom"/>
          </w:tcPr>
          <w:p w14:paraId="2A73B81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8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81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825" w14:textId="77777777">
        <w:tc>
          <w:tcPr>
            <w:tcW w:w="0" w:type="auto"/>
            <w:shd w:val="clear" w:color="auto" w:fill="auto"/>
            <w:tcMar>
              <w:top w:w="40" w:type="dxa"/>
              <w:left w:w="560" w:type="dxa"/>
              <w:bottom w:w="40" w:type="dxa"/>
              <w:right w:w="40" w:type="dxa"/>
            </w:tcMar>
          </w:tcPr>
          <w:p w14:paraId="2A73B81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RSUs vested</w:t>
            </w:r>
          </w:p>
        </w:tc>
        <w:tc>
          <w:tcPr>
            <w:tcW w:w="0" w:type="auto"/>
            <w:shd w:val="clear" w:color="auto" w:fill="auto"/>
            <w:tcMar>
              <w:top w:w="40" w:type="dxa"/>
              <w:left w:w="40" w:type="dxa"/>
              <w:bottom w:w="40" w:type="dxa"/>
            </w:tcMar>
            <w:vAlign w:val="bottom"/>
          </w:tcPr>
          <w:p w14:paraId="2A73B81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(42,088</w:t>
            </w:r>
          </w:p>
        </w:tc>
        <w:tc>
          <w:tcPr>
            <w:tcW w:w="0" w:type="auto"/>
            <w:shd w:val="clear" w:color="auto" w:fill="auto"/>
            <w:tcMar>
              <w:top w:w="40" w:type="dxa"/>
              <w:bottom w:w="40" w:type="dxa"/>
              <w:right w:w="40" w:type="dxa"/>
            </w:tcMar>
            <w:vAlign w:val="bottom"/>
          </w:tcPr>
          <w:p w14:paraId="2A73B81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81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82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82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135.21</w:t>
            </w:r>
          </w:p>
        </w:tc>
        <w:tc>
          <w:tcPr>
            <w:tcW w:w="0" w:type="auto"/>
            <w:shd w:val="clear" w:color="auto" w:fill="auto"/>
            <w:vAlign w:val="bottom"/>
          </w:tcPr>
          <w:p w14:paraId="2A73B82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8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82F" w14:textId="77777777">
        <w:tc>
          <w:tcPr>
            <w:tcW w:w="0" w:type="auto"/>
            <w:shd w:val="clear" w:color="auto" w:fill="EFEFEF"/>
            <w:tcMar>
              <w:top w:w="40" w:type="dxa"/>
              <w:left w:w="560" w:type="dxa"/>
              <w:bottom w:w="40" w:type="dxa"/>
              <w:right w:w="40" w:type="dxa"/>
            </w:tcMar>
          </w:tcPr>
          <w:p w14:paraId="2A73B82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RSUs canceled</w:t>
            </w:r>
          </w:p>
        </w:tc>
        <w:tc>
          <w:tcPr>
            <w:tcW w:w="0" w:type="auto"/>
            <w:shd w:val="clear" w:color="auto" w:fill="EFEFEF"/>
            <w:tcMar>
              <w:top w:w="40" w:type="dxa"/>
              <w:left w:w="40" w:type="dxa"/>
              <w:bottom w:w="40" w:type="dxa"/>
            </w:tcMar>
            <w:vAlign w:val="bottom"/>
          </w:tcPr>
          <w:p w14:paraId="2A73B82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(5,402</w:t>
            </w:r>
          </w:p>
        </w:tc>
        <w:tc>
          <w:tcPr>
            <w:tcW w:w="0" w:type="auto"/>
            <w:shd w:val="clear" w:color="auto" w:fill="EFEFEF"/>
            <w:tcMar>
              <w:top w:w="40" w:type="dxa"/>
              <w:bottom w:w="40" w:type="dxa"/>
              <w:right w:w="40" w:type="dxa"/>
            </w:tcMar>
            <w:vAlign w:val="bottom"/>
          </w:tcPr>
          <w:p w14:paraId="2A73B82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8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82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82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162.85</w:t>
            </w:r>
          </w:p>
        </w:tc>
        <w:tc>
          <w:tcPr>
            <w:tcW w:w="0" w:type="auto"/>
            <w:shd w:val="clear" w:color="auto" w:fill="EFEFEF"/>
            <w:vAlign w:val="bottom"/>
          </w:tcPr>
          <w:p w14:paraId="2A73B82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82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8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83B" w14:textId="77777777">
        <w:tc>
          <w:tcPr>
            <w:tcW w:w="0" w:type="auto"/>
            <w:shd w:val="clear" w:color="auto" w:fill="auto"/>
            <w:tcMar>
              <w:top w:w="40" w:type="dxa"/>
              <w:left w:w="40" w:type="dxa"/>
              <w:bottom w:w="40" w:type="dxa"/>
              <w:right w:w="40" w:type="dxa"/>
            </w:tcMar>
          </w:tcPr>
          <w:p w14:paraId="2A73B83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Balance as of September 28,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83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81,517</w:t>
            </w:r>
          </w:p>
        </w:tc>
        <w:tc>
          <w:tcPr>
            <w:tcW w:w="0" w:type="auto"/>
            <w:tcBorders>
              <w:top w:val="single" w:sz="8" w:space="0" w:color="000000"/>
              <w:bottom w:val="double" w:sz="6" w:space="0" w:color="000000"/>
            </w:tcBorders>
            <w:shd w:val="clear" w:color="auto" w:fill="auto"/>
            <w:vAlign w:val="bottom"/>
          </w:tcPr>
          <w:p w14:paraId="2A73B83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3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83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83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169.18</w:t>
            </w:r>
          </w:p>
        </w:tc>
        <w:tc>
          <w:tcPr>
            <w:tcW w:w="0" w:type="auto"/>
            <w:shd w:val="clear" w:color="auto" w:fill="auto"/>
            <w:vAlign w:val="bottom"/>
          </w:tcPr>
          <w:p w14:paraId="2A73B83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3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83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83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17,838</w:t>
            </w:r>
          </w:p>
        </w:tc>
        <w:tc>
          <w:tcPr>
            <w:tcW w:w="0" w:type="auto"/>
            <w:shd w:val="clear" w:color="auto" w:fill="auto"/>
            <w:vAlign w:val="bottom"/>
          </w:tcPr>
          <w:p w14:paraId="2A73B83A" w14:textId="77777777" w:rsidR="00FA5565" w:rsidRDefault="00FA5565">
            <w:pPr>
              <w:textAlignment w:val="bottom"/>
              <w:rPr>
                <w:rFonts w:ascii="Times New Roman" w:hAnsi="Times New Roman"/>
                <w:sz w:val="20"/>
                <w:szCs w:val="20"/>
              </w:rPr>
            </w:pPr>
          </w:p>
        </w:tc>
      </w:tr>
    </w:tbl>
    <w:p w14:paraId="2A73B83C" w14:textId="77777777" w:rsidR="00FA5565" w:rsidRDefault="00FA5565">
      <w:pPr>
        <w:spacing w:line="288" w:lineRule="auto"/>
        <w:jc w:val="both"/>
        <w:rPr>
          <w:rFonts w:ascii="Times New Roman" w:hAnsi="Times New Roman"/>
          <w:sz w:val="20"/>
          <w:szCs w:val="20"/>
        </w:rPr>
      </w:pPr>
    </w:p>
    <w:p w14:paraId="2A73B83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fair value as of the respective vesting dates of </w:t>
      </w:r>
      <w:r>
        <w:rPr>
          <w:rFonts w:ascii="Helvetica" w:eastAsia="Helvetica" w:hAnsi="Helvetica" w:cs="Helvetica"/>
          <w:sz w:val="18"/>
          <w:szCs w:val="18"/>
        </w:rPr>
        <w:t>RSUs was $8.6 billion, $7.6 billion and $6.1 billion for 2019, 2018 and 2017, respectively. The majority of RSUs that vested in 2019, 2018 and 2017 were net share settled such that the Company withheld shares with a value equivalent to the employees’ oblig</w:t>
      </w:r>
      <w:r>
        <w:rPr>
          <w:rFonts w:ascii="Helvetica" w:eastAsia="Helvetica" w:hAnsi="Helvetica" w:cs="Helvetica"/>
          <w:sz w:val="18"/>
          <w:szCs w:val="18"/>
        </w:rPr>
        <w:t>ation for the applicable income and other employment taxes, and remitted the cash to the appropriate taxing authorities. The total shares withheld were approximately 14.8 million, 16.0 million and 15.4 million for 2019, 2018 and 2017, respectively, and wer</w:t>
      </w:r>
      <w:r>
        <w:rPr>
          <w:rFonts w:ascii="Helvetica" w:eastAsia="Helvetica" w:hAnsi="Helvetica" w:cs="Helvetica"/>
          <w:sz w:val="18"/>
          <w:szCs w:val="18"/>
        </w:rPr>
        <w:t>e based on the value of the RSUs on their respective vesting dates as determined by the Company’s closing stock price. Total payments for the employees’ tax obligations to taxing authorities were $3.0 billion, $2.7 billion and $2.0 billion in 2019, 2018 an</w:t>
      </w:r>
      <w:r>
        <w:rPr>
          <w:rFonts w:ascii="Helvetica" w:eastAsia="Helvetica" w:hAnsi="Helvetica" w:cs="Helvetica"/>
          <w:sz w:val="18"/>
          <w:szCs w:val="18"/>
        </w:rPr>
        <w:t>d 2017, respectively. These net share settlements had the effect of share repurchases by the Company as they reduced the number of shares that would have otherwise been issued as a result of the vesting and did not represent an expense to the Company.</w:t>
      </w:r>
    </w:p>
    <w:p w14:paraId="2A73B83E" w14:textId="77777777" w:rsidR="00FA5565" w:rsidRDefault="00FA5565">
      <w:pPr>
        <w:rPr>
          <w:rFonts w:ascii="Times New Roman" w:hAnsi="Times New Roman"/>
          <w:sz w:val="20"/>
          <w:szCs w:val="20"/>
        </w:rPr>
      </w:pPr>
    </w:p>
    <w:p w14:paraId="2A73B83F"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w:t>
      </w:r>
      <w:r>
        <w:rPr>
          <w:rFonts w:ascii="Helvetica" w:eastAsia="Helvetica" w:hAnsi="Helvetica" w:cs="Helvetica"/>
          <w:sz w:val="16"/>
          <w:szCs w:val="16"/>
        </w:rPr>
        <w:t>le Inc. | 2019 Form 10-K | 50</w:t>
      </w:r>
    </w:p>
    <w:p w14:paraId="2A73B840" w14:textId="77777777" w:rsidR="00FA5565" w:rsidRDefault="00D804D1">
      <w:r>
        <w:rPr>
          <w:rFonts w:ascii="Times New Roman" w:hAnsi="Times New Roman"/>
          <w:sz w:val="16"/>
          <w:szCs w:val="16"/>
        </w:rPr>
        <w:pict w14:anchorId="2A73C0CE">
          <v:rect id="_x0000_i1076" style="width:415.3pt;height:1.5pt" o:hralign="center" o:hrstd="t" o:hr="t" fillcolor="#a0a0a0" stroked="f"/>
        </w:pict>
      </w:r>
    </w:p>
    <w:p w14:paraId="2A73B841" w14:textId="77777777" w:rsidR="00FA5565" w:rsidRDefault="00FA5565">
      <w:pPr>
        <w:rPr>
          <w:rFonts w:ascii="Times New Roman" w:hAnsi="Times New Roman"/>
          <w:sz w:val="20"/>
          <w:szCs w:val="20"/>
        </w:rPr>
      </w:pPr>
    </w:p>
    <w:p w14:paraId="2A73B842"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Share-Based Compensation</w:t>
      </w:r>
    </w:p>
    <w:p w14:paraId="2A73B84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 shows share-based compensation expense and the related income tax benefit included in the Consolidated Statements of Operations for 2019, 2018 and 2017 (in millions):</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FA5565" w14:paraId="2A73B845" w14:textId="77777777">
        <w:tc>
          <w:tcPr>
            <w:tcW w:w="0" w:type="auto"/>
            <w:gridSpan w:val="12"/>
            <w:shd w:val="clear" w:color="auto" w:fill="auto"/>
            <w:vAlign w:val="center"/>
          </w:tcPr>
          <w:p w14:paraId="2A73B844" w14:textId="77777777" w:rsidR="00FA5565" w:rsidRDefault="00FA5565">
            <w:pPr>
              <w:rPr>
                <w:rFonts w:ascii="Times New Roman" w:hAnsi="Times New Roman"/>
                <w:sz w:val="20"/>
                <w:szCs w:val="20"/>
              </w:rPr>
            </w:pPr>
          </w:p>
        </w:tc>
      </w:tr>
      <w:tr w:rsidR="00FA5565" w14:paraId="2A73B852" w14:textId="77777777">
        <w:tc>
          <w:tcPr>
            <w:tcW w:w="2950" w:type="pct"/>
            <w:shd w:val="clear" w:color="auto" w:fill="auto"/>
            <w:vAlign w:val="center"/>
          </w:tcPr>
          <w:p w14:paraId="2A73B846" w14:textId="77777777" w:rsidR="00FA5565" w:rsidRDefault="00FA5565">
            <w:pPr>
              <w:rPr>
                <w:rFonts w:ascii="Times New Roman" w:hAnsi="Times New Roman"/>
                <w:sz w:val="20"/>
                <w:szCs w:val="20"/>
              </w:rPr>
            </w:pPr>
          </w:p>
        </w:tc>
        <w:tc>
          <w:tcPr>
            <w:tcW w:w="50" w:type="pct"/>
            <w:shd w:val="clear" w:color="auto" w:fill="auto"/>
            <w:vAlign w:val="center"/>
          </w:tcPr>
          <w:p w14:paraId="2A73B847" w14:textId="77777777" w:rsidR="00FA5565" w:rsidRDefault="00FA5565">
            <w:pPr>
              <w:rPr>
                <w:rFonts w:ascii="Times New Roman" w:hAnsi="Times New Roman"/>
                <w:sz w:val="20"/>
                <w:szCs w:val="20"/>
              </w:rPr>
            </w:pPr>
          </w:p>
        </w:tc>
        <w:tc>
          <w:tcPr>
            <w:tcW w:w="550" w:type="pct"/>
            <w:shd w:val="clear" w:color="auto" w:fill="auto"/>
            <w:vAlign w:val="center"/>
          </w:tcPr>
          <w:p w14:paraId="2A73B848" w14:textId="77777777" w:rsidR="00FA5565" w:rsidRDefault="00FA5565">
            <w:pPr>
              <w:rPr>
                <w:rFonts w:ascii="Times New Roman" w:hAnsi="Times New Roman"/>
                <w:sz w:val="20"/>
                <w:szCs w:val="20"/>
              </w:rPr>
            </w:pPr>
          </w:p>
        </w:tc>
        <w:tc>
          <w:tcPr>
            <w:tcW w:w="50" w:type="pct"/>
            <w:shd w:val="clear" w:color="auto" w:fill="auto"/>
            <w:vAlign w:val="center"/>
          </w:tcPr>
          <w:p w14:paraId="2A73B849" w14:textId="77777777" w:rsidR="00FA5565" w:rsidRDefault="00FA5565">
            <w:pPr>
              <w:rPr>
                <w:rFonts w:ascii="Times New Roman" w:hAnsi="Times New Roman"/>
                <w:sz w:val="20"/>
                <w:szCs w:val="20"/>
              </w:rPr>
            </w:pPr>
          </w:p>
        </w:tc>
        <w:tc>
          <w:tcPr>
            <w:tcW w:w="50" w:type="pct"/>
            <w:shd w:val="clear" w:color="auto" w:fill="auto"/>
            <w:vAlign w:val="center"/>
          </w:tcPr>
          <w:p w14:paraId="2A73B84A" w14:textId="77777777" w:rsidR="00FA5565" w:rsidRDefault="00FA5565">
            <w:pPr>
              <w:rPr>
                <w:rFonts w:ascii="Times New Roman" w:hAnsi="Times New Roman"/>
                <w:sz w:val="20"/>
                <w:szCs w:val="20"/>
              </w:rPr>
            </w:pPr>
          </w:p>
        </w:tc>
        <w:tc>
          <w:tcPr>
            <w:tcW w:w="50" w:type="pct"/>
            <w:shd w:val="clear" w:color="auto" w:fill="auto"/>
            <w:vAlign w:val="center"/>
          </w:tcPr>
          <w:p w14:paraId="2A73B84B" w14:textId="77777777" w:rsidR="00FA5565" w:rsidRDefault="00FA5565">
            <w:pPr>
              <w:rPr>
                <w:rFonts w:ascii="Times New Roman" w:hAnsi="Times New Roman"/>
                <w:sz w:val="20"/>
                <w:szCs w:val="20"/>
              </w:rPr>
            </w:pPr>
          </w:p>
        </w:tc>
        <w:tc>
          <w:tcPr>
            <w:tcW w:w="550" w:type="pct"/>
            <w:shd w:val="clear" w:color="auto" w:fill="auto"/>
            <w:vAlign w:val="center"/>
          </w:tcPr>
          <w:p w14:paraId="2A73B84C" w14:textId="77777777" w:rsidR="00FA5565" w:rsidRDefault="00FA5565">
            <w:pPr>
              <w:rPr>
                <w:rFonts w:ascii="Times New Roman" w:hAnsi="Times New Roman"/>
                <w:sz w:val="20"/>
                <w:szCs w:val="20"/>
              </w:rPr>
            </w:pPr>
          </w:p>
        </w:tc>
        <w:tc>
          <w:tcPr>
            <w:tcW w:w="50" w:type="pct"/>
            <w:shd w:val="clear" w:color="auto" w:fill="auto"/>
            <w:vAlign w:val="center"/>
          </w:tcPr>
          <w:p w14:paraId="2A73B84D" w14:textId="77777777" w:rsidR="00FA5565" w:rsidRDefault="00FA5565">
            <w:pPr>
              <w:rPr>
                <w:rFonts w:ascii="Times New Roman" w:hAnsi="Times New Roman"/>
                <w:sz w:val="20"/>
                <w:szCs w:val="20"/>
              </w:rPr>
            </w:pPr>
          </w:p>
        </w:tc>
        <w:tc>
          <w:tcPr>
            <w:tcW w:w="50" w:type="pct"/>
            <w:shd w:val="clear" w:color="auto" w:fill="auto"/>
            <w:vAlign w:val="center"/>
          </w:tcPr>
          <w:p w14:paraId="2A73B84E" w14:textId="77777777" w:rsidR="00FA5565" w:rsidRDefault="00FA5565">
            <w:pPr>
              <w:rPr>
                <w:rFonts w:ascii="Times New Roman" w:hAnsi="Times New Roman"/>
                <w:sz w:val="20"/>
                <w:szCs w:val="20"/>
              </w:rPr>
            </w:pPr>
          </w:p>
        </w:tc>
        <w:tc>
          <w:tcPr>
            <w:tcW w:w="50" w:type="pct"/>
            <w:shd w:val="clear" w:color="auto" w:fill="auto"/>
            <w:vAlign w:val="center"/>
          </w:tcPr>
          <w:p w14:paraId="2A73B84F" w14:textId="77777777" w:rsidR="00FA5565" w:rsidRDefault="00FA5565">
            <w:pPr>
              <w:rPr>
                <w:rFonts w:ascii="Times New Roman" w:hAnsi="Times New Roman"/>
                <w:sz w:val="20"/>
                <w:szCs w:val="20"/>
              </w:rPr>
            </w:pPr>
          </w:p>
        </w:tc>
        <w:tc>
          <w:tcPr>
            <w:tcW w:w="550" w:type="pct"/>
            <w:shd w:val="clear" w:color="auto" w:fill="auto"/>
            <w:vAlign w:val="center"/>
          </w:tcPr>
          <w:p w14:paraId="2A73B850" w14:textId="77777777" w:rsidR="00FA5565" w:rsidRDefault="00FA5565">
            <w:pPr>
              <w:rPr>
                <w:rFonts w:ascii="Times New Roman" w:hAnsi="Times New Roman"/>
                <w:sz w:val="20"/>
                <w:szCs w:val="20"/>
              </w:rPr>
            </w:pPr>
          </w:p>
        </w:tc>
        <w:tc>
          <w:tcPr>
            <w:tcW w:w="50" w:type="pct"/>
            <w:shd w:val="clear" w:color="auto" w:fill="auto"/>
            <w:vAlign w:val="center"/>
          </w:tcPr>
          <w:p w14:paraId="2A73B851" w14:textId="77777777" w:rsidR="00FA5565" w:rsidRDefault="00FA5565">
            <w:pPr>
              <w:rPr>
                <w:rFonts w:ascii="Times New Roman" w:hAnsi="Times New Roman"/>
                <w:sz w:val="20"/>
                <w:szCs w:val="20"/>
              </w:rPr>
            </w:pPr>
          </w:p>
        </w:tc>
      </w:tr>
      <w:tr w:rsidR="00FA5565" w14:paraId="2A73B859" w14:textId="77777777">
        <w:tc>
          <w:tcPr>
            <w:tcW w:w="0" w:type="auto"/>
            <w:shd w:val="clear" w:color="auto" w:fill="auto"/>
            <w:tcMar>
              <w:top w:w="40" w:type="dxa"/>
              <w:left w:w="40" w:type="dxa"/>
              <w:bottom w:w="40" w:type="dxa"/>
              <w:right w:w="40" w:type="dxa"/>
            </w:tcMar>
            <w:vAlign w:val="bottom"/>
          </w:tcPr>
          <w:p w14:paraId="2A73B85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85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85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85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8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858"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866" w14:textId="77777777">
        <w:tc>
          <w:tcPr>
            <w:tcW w:w="0" w:type="auto"/>
            <w:shd w:val="clear" w:color="auto" w:fill="auto"/>
            <w:tcMar>
              <w:top w:w="40" w:type="dxa"/>
              <w:left w:w="40" w:type="dxa"/>
              <w:bottom w:w="40" w:type="dxa"/>
              <w:right w:w="40" w:type="dxa"/>
            </w:tcMar>
            <w:vAlign w:val="bottom"/>
          </w:tcPr>
          <w:p w14:paraId="2A73B85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Share-based compensation expense</w:t>
            </w:r>
          </w:p>
        </w:tc>
        <w:tc>
          <w:tcPr>
            <w:tcW w:w="0" w:type="auto"/>
            <w:tcBorders>
              <w:top w:val="single" w:sz="8" w:space="0" w:color="000000"/>
            </w:tcBorders>
            <w:shd w:val="clear" w:color="auto" w:fill="auto"/>
            <w:tcMar>
              <w:top w:w="40" w:type="dxa"/>
              <w:left w:w="40" w:type="dxa"/>
              <w:bottom w:w="40" w:type="dxa"/>
            </w:tcMar>
            <w:vAlign w:val="bottom"/>
          </w:tcPr>
          <w:p w14:paraId="2A73B85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85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6,068</w:t>
            </w:r>
          </w:p>
        </w:tc>
        <w:tc>
          <w:tcPr>
            <w:tcW w:w="0" w:type="auto"/>
            <w:tcBorders>
              <w:top w:val="single" w:sz="8" w:space="0" w:color="000000"/>
            </w:tcBorders>
            <w:shd w:val="clear" w:color="auto" w:fill="auto"/>
            <w:vAlign w:val="bottom"/>
          </w:tcPr>
          <w:p w14:paraId="2A73B85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85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86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5,340</w:t>
            </w:r>
          </w:p>
        </w:tc>
        <w:tc>
          <w:tcPr>
            <w:tcW w:w="0" w:type="auto"/>
            <w:tcBorders>
              <w:top w:val="single" w:sz="8" w:space="0" w:color="000000"/>
            </w:tcBorders>
            <w:shd w:val="clear" w:color="auto" w:fill="auto"/>
            <w:vAlign w:val="bottom"/>
          </w:tcPr>
          <w:p w14:paraId="2A73B86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6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86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86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4,840</w:t>
            </w:r>
          </w:p>
        </w:tc>
        <w:tc>
          <w:tcPr>
            <w:tcW w:w="0" w:type="auto"/>
            <w:tcBorders>
              <w:top w:val="single" w:sz="8" w:space="0" w:color="000000"/>
            </w:tcBorders>
            <w:shd w:val="clear" w:color="auto" w:fill="auto"/>
            <w:vAlign w:val="bottom"/>
          </w:tcPr>
          <w:p w14:paraId="2A73B865" w14:textId="77777777" w:rsidR="00FA5565" w:rsidRDefault="00FA5565">
            <w:pPr>
              <w:textAlignment w:val="bottom"/>
              <w:rPr>
                <w:rFonts w:ascii="Times New Roman" w:hAnsi="Times New Roman"/>
                <w:sz w:val="20"/>
                <w:szCs w:val="20"/>
              </w:rPr>
            </w:pPr>
          </w:p>
        </w:tc>
      </w:tr>
      <w:tr w:rsidR="00FA5565" w14:paraId="2A73B873" w14:textId="77777777">
        <w:tc>
          <w:tcPr>
            <w:tcW w:w="0" w:type="auto"/>
            <w:shd w:val="clear" w:color="auto" w:fill="EFEFEF"/>
            <w:tcMar>
              <w:top w:w="40" w:type="dxa"/>
              <w:left w:w="40" w:type="dxa"/>
              <w:bottom w:w="40" w:type="dxa"/>
              <w:right w:w="40" w:type="dxa"/>
            </w:tcMar>
            <w:vAlign w:val="bottom"/>
          </w:tcPr>
          <w:p w14:paraId="2A73B867"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Income tax benefit related to share-based compensation expense</w:t>
            </w:r>
          </w:p>
        </w:tc>
        <w:tc>
          <w:tcPr>
            <w:tcW w:w="0" w:type="auto"/>
            <w:shd w:val="clear" w:color="auto" w:fill="EFEFEF"/>
            <w:tcMar>
              <w:top w:w="40" w:type="dxa"/>
              <w:left w:w="40" w:type="dxa"/>
              <w:bottom w:w="40" w:type="dxa"/>
            </w:tcMar>
            <w:vAlign w:val="bottom"/>
          </w:tcPr>
          <w:p w14:paraId="2A73B86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86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(1,967</w:t>
            </w:r>
          </w:p>
        </w:tc>
        <w:tc>
          <w:tcPr>
            <w:tcW w:w="0" w:type="auto"/>
            <w:shd w:val="clear" w:color="auto" w:fill="EFEFEF"/>
            <w:tcMar>
              <w:top w:w="40" w:type="dxa"/>
              <w:bottom w:w="40" w:type="dxa"/>
              <w:right w:w="40" w:type="dxa"/>
            </w:tcMar>
            <w:vAlign w:val="bottom"/>
          </w:tcPr>
          <w:p w14:paraId="2A73B86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8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86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86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(1,893</w:t>
            </w:r>
          </w:p>
        </w:tc>
        <w:tc>
          <w:tcPr>
            <w:tcW w:w="0" w:type="auto"/>
            <w:shd w:val="clear" w:color="auto" w:fill="EFEFEF"/>
            <w:tcMar>
              <w:top w:w="40" w:type="dxa"/>
              <w:bottom w:w="40" w:type="dxa"/>
              <w:right w:w="40" w:type="dxa"/>
            </w:tcMar>
            <w:vAlign w:val="bottom"/>
          </w:tcPr>
          <w:p w14:paraId="2A73B86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86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87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87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(1,632</w:t>
            </w:r>
          </w:p>
        </w:tc>
        <w:tc>
          <w:tcPr>
            <w:tcW w:w="0" w:type="auto"/>
            <w:shd w:val="clear" w:color="auto" w:fill="EFEFEF"/>
            <w:tcMar>
              <w:top w:w="40" w:type="dxa"/>
              <w:bottom w:w="40" w:type="dxa"/>
              <w:right w:w="40" w:type="dxa"/>
            </w:tcMar>
            <w:vAlign w:val="bottom"/>
          </w:tcPr>
          <w:p w14:paraId="2A73B87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bl>
    <w:p w14:paraId="2A73B874" w14:textId="77777777" w:rsidR="00FA5565" w:rsidRDefault="00FA5565">
      <w:pPr>
        <w:spacing w:line="288" w:lineRule="auto"/>
        <w:jc w:val="both"/>
        <w:rPr>
          <w:rFonts w:ascii="Times New Roman" w:hAnsi="Times New Roman"/>
          <w:sz w:val="20"/>
          <w:szCs w:val="20"/>
        </w:rPr>
      </w:pPr>
    </w:p>
    <w:p w14:paraId="2A73B87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As of September 28, 2019, the total unrecognized </w:t>
      </w:r>
      <w:r>
        <w:rPr>
          <w:rFonts w:ascii="Helvetica" w:eastAsia="Helvetica" w:hAnsi="Helvetica" w:cs="Helvetica"/>
          <w:sz w:val="18"/>
          <w:szCs w:val="18"/>
        </w:rPr>
        <w:t>compensation cost related to outstanding RSUs and stock options was $10.5 billion, which the Company expects to recognize over a weighted-average period of 2.5 years.</w:t>
      </w:r>
    </w:p>
    <w:p w14:paraId="2A73B876"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Note 10 – Commitments and Contingencies</w:t>
      </w:r>
    </w:p>
    <w:p w14:paraId="2A73B877"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Accrued Warranty and Guarantees</w:t>
      </w:r>
    </w:p>
    <w:p w14:paraId="2A73B87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w:t>
      </w:r>
      <w:r>
        <w:rPr>
          <w:rFonts w:ascii="Helvetica" w:eastAsia="Helvetica" w:hAnsi="Helvetica" w:cs="Helvetica"/>
          <w:sz w:val="18"/>
          <w:szCs w:val="18"/>
        </w:rPr>
        <w:t>le shows changes in the Company’s accrued warranties and related costs for 2019, 2018 and 2017 (in millions):</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FA5565" w14:paraId="2A73B87A" w14:textId="77777777">
        <w:tc>
          <w:tcPr>
            <w:tcW w:w="0" w:type="auto"/>
            <w:gridSpan w:val="12"/>
            <w:shd w:val="clear" w:color="auto" w:fill="auto"/>
            <w:vAlign w:val="center"/>
          </w:tcPr>
          <w:p w14:paraId="2A73B879" w14:textId="77777777" w:rsidR="00FA5565" w:rsidRDefault="00FA5565">
            <w:pPr>
              <w:rPr>
                <w:rFonts w:ascii="Times New Roman" w:hAnsi="Times New Roman"/>
                <w:sz w:val="20"/>
                <w:szCs w:val="20"/>
              </w:rPr>
            </w:pPr>
          </w:p>
        </w:tc>
      </w:tr>
      <w:tr w:rsidR="00FA5565" w14:paraId="2A73B887" w14:textId="77777777">
        <w:tc>
          <w:tcPr>
            <w:tcW w:w="2950" w:type="pct"/>
            <w:shd w:val="clear" w:color="auto" w:fill="auto"/>
            <w:vAlign w:val="center"/>
          </w:tcPr>
          <w:p w14:paraId="2A73B87B" w14:textId="77777777" w:rsidR="00FA5565" w:rsidRDefault="00FA5565">
            <w:pPr>
              <w:rPr>
                <w:rFonts w:ascii="Times New Roman" w:hAnsi="Times New Roman"/>
                <w:sz w:val="20"/>
                <w:szCs w:val="20"/>
              </w:rPr>
            </w:pPr>
          </w:p>
        </w:tc>
        <w:tc>
          <w:tcPr>
            <w:tcW w:w="50" w:type="pct"/>
            <w:shd w:val="clear" w:color="auto" w:fill="auto"/>
            <w:vAlign w:val="center"/>
          </w:tcPr>
          <w:p w14:paraId="2A73B87C" w14:textId="77777777" w:rsidR="00FA5565" w:rsidRDefault="00FA5565">
            <w:pPr>
              <w:rPr>
                <w:rFonts w:ascii="Times New Roman" w:hAnsi="Times New Roman"/>
                <w:sz w:val="20"/>
                <w:szCs w:val="20"/>
              </w:rPr>
            </w:pPr>
          </w:p>
        </w:tc>
        <w:tc>
          <w:tcPr>
            <w:tcW w:w="550" w:type="pct"/>
            <w:shd w:val="clear" w:color="auto" w:fill="auto"/>
            <w:vAlign w:val="center"/>
          </w:tcPr>
          <w:p w14:paraId="2A73B87D" w14:textId="77777777" w:rsidR="00FA5565" w:rsidRDefault="00FA5565">
            <w:pPr>
              <w:rPr>
                <w:rFonts w:ascii="Times New Roman" w:hAnsi="Times New Roman"/>
                <w:sz w:val="20"/>
                <w:szCs w:val="20"/>
              </w:rPr>
            </w:pPr>
          </w:p>
        </w:tc>
        <w:tc>
          <w:tcPr>
            <w:tcW w:w="50" w:type="pct"/>
            <w:shd w:val="clear" w:color="auto" w:fill="auto"/>
            <w:vAlign w:val="center"/>
          </w:tcPr>
          <w:p w14:paraId="2A73B87E" w14:textId="77777777" w:rsidR="00FA5565" w:rsidRDefault="00FA5565">
            <w:pPr>
              <w:rPr>
                <w:rFonts w:ascii="Times New Roman" w:hAnsi="Times New Roman"/>
                <w:sz w:val="20"/>
                <w:szCs w:val="20"/>
              </w:rPr>
            </w:pPr>
          </w:p>
        </w:tc>
        <w:tc>
          <w:tcPr>
            <w:tcW w:w="50" w:type="pct"/>
            <w:shd w:val="clear" w:color="auto" w:fill="auto"/>
            <w:vAlign w:val="center"/>
          </w:tcPr>
          <w:p w14:paraId="2A73B87F" w14:textId="77777777" w:rsidR="00FA5565" w:rsidRDefault="00FA5565">
            <w:pPr>
              <w:rPr>
                <w:rFonts w:ascii="Times New Roman" w:hAnsi="Times New Roman"/>
                <w:sz w:val="20"/>
                <w:szCs w:val="20"/>
              </w:rPr>
            </w:pPr>
          </w:p>
        </w:tc>
        <w:tc>
          <w:tcPr>
            <w:tcW w:w="50" w:type="pct"/>
            <w:shd w:val="clear" w:color="auto" w:fill="auto"/>
            <w:vAlign w:val="center"/>
          </w:tcPr>
          <w:p w14:paraId="2A73B880" w14:textId="77777777" w:rsidR="00FA5565" w:rsidRDefault="00FA5565">
            <w:pPr>
              <w:rPr>
                <w:rFonts w:ascii="Times New Roman" w:hAnsi="Times New Roman"/>
                <w:sz w:val="20"/>
                <w:szCs w:val="20"/>
              </w:rPr>
            </w:pPr>
          </w:p>
        </w:tc>
        <w:tc>
          <w:tcPr>
            <w:tcW w:w="550" w:type="pct"/>
            <w:shd w:val="clear" w:color="auto" w:fill="auto"/>
            <w:vAlign w:val="center"/>
          </w:tcPr>
          <w:p w14:paraId="2A73B881" w14:textId="77777777" w:rsidR="00FA5565" w:rsidRDefault="00FA5565">
            <w:pPr>
              <w:rPr>
                <w:rFonts w:ascii="Times New Roman" w:hAnsi="Times New Roman"/>
                <w:sz w:val="20"/>
                <w:szCs w:val="20"/>
              </w:rPr>
            </w:pPr>
          </w:p>
        </w:tc>
        <w:tc>
          <w:tcPr>
            <w:tcW w:w="50" w:type="pct"/>
            <w:shd w:val="clear" w:color="auto" w:fill="auto"/>
            <w:vAlign w:val="center"/>
          </w:tcPr>
          <w:p w14:paraId="2A73B882" w14:textId="77777777" w:rsidR="00FA5565" w:rsidRDefault="00FA5565">
            <w:pPr>
              <w:rPr>
                <w:rFonts w:ascii="Times New Roman" w:hAnsi="Times New Roman"/>
                <w:sz w:val="20"/>
                <w:szCs w:val="20"/>
              </w:rPr>
            </w:pPr>
          </w:p>
        </w:tc>
        <w:tc>
          <w:tcPr>
            <w:tcW w:w="50" w:type="pct"/>
            <w:shd w:val="clear" w:color="auto" w:fill="auto"/>
            <w:vAlign w:val="center"/>
          </w:tcPr>
          <w:p w14:paraId="2A73B883" w14:textId="77777777" w:rsidR="00FA5565" w:rsidRDefault="00FA5565">
            <w:pPr>
              <w:rPr>
                <w:rFonts w:ascii="Times New Roman" w:hAnsi="Times New Roman"/>
                <w:sz w:val="20"/>
                <w:szCs w:val="20"/>
              </w:rPr>
            </w:pPr>
          </w:p>
        </w:tc>
        <w:tc>
          <w:tcPr>
            <w:tcW w:w="50" w:type="pct"/>
            <w:shd w:val="clear" w:color="auto" w:fill="auto"/>
            <w:vAlign w:val="center"/>
          </w:tcPr>
          <w:p w14:paraId="2A73B884" w14:textId="77777777" w:rsidR="00FA5565" w:rsidRDefault="00FA5565">
            <w:pPr>
              <w:rPr>
                <w:rFonts w:ascii="Times New Roman" w:hAnsi="Times New Roman"/>
                <w:sz w:val="20"/>
                <w:szCs w:val="20"/>
              </w:rPr>
            </w:pPr>
          </w:p>
        </w:tc>
        <w:tc>
          <w:tcPr>
            <w:tcW w:w="550" w:type="pct"/>
            <w:shd w:val="clear" w:color="auto" w:fill="auto"/>
            <w:vAlign w:val="center"/>
          </w:tcPr>
          <w:p w14:paraId="2A73B885" w14:textId="77777777" w:rsidR="00FA5565" w:rsidRDefault="00FA5565">
            <w:pPr>
              <w:rPr>
                <w:rFonts w:ascii="Times New Roman" w:hAnsi="Times New Roman"/>
                <w:sz w:val="20"/>
                <w:szCs w:val="20"/>
              </w:rPr>
            </w:pPr>
          </w:p>
        </w:tc>
        <w:tc>
          <w:tcPr>
            <w:tcW w:w="50" w:type="pct"/>
            <w:shd w:val="clear" w:color="auto" w:fill="auto"/>
            <w:vAlign w:val="center"/>
          </w:tcPr>
          <w:p w14:paraId="2A73B886" w14:textId="77777777" w:rsidR="00FA5565" w:rsidRDefault="00FA5565">
            <w:pPr>
              <w:rPr>
                <w:rFonts w:ascii="Times New Roman" w:hAnsi="Times New Roman"/>
                <w:sz w:val="20"/>
                <w:szCs w:val="20"/>
              </w:rPr>
            </w:pPr>
          </w:p>
        </w:tc>
      </w:tr>
      <w:tr w:rsidR="00FA5565" w14:paraId="2A73B88E" w14:textId="77777777">
        <w:tc>
          <w:tcPr>
            <w:tcW w:w="0" w:type="auto"/>
            <w:shd w:val="clear" w:color="auto" w:fill="auto"/>
            <w:tcMar>
              <w:top w:w="40" w:type="dxa"/>
              <w:left w:w="40" w:type="dxa"/>
              <w:bottom w:w="40" w:type="dxa"/>
              <w:right w:w="40" w:type="dxa"/>
            </w:tcMar>
            <w:vAlign w:val="bottom"/>
          </w:tcPr>
          <w:p w14:paraId="2A73B8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88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88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88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8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88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89B" w14:textId="77777777">
        <w:tc>
          <w:tcPr>
            <w:tcW w:w="0" w:type="auto"/>
            <w:shd w:val="clear" w:color="auto" w:fill="auto"/>
            <w:tcMar>
              <w:top w:w="40" w:type="dxa"/>
              <w:left w:w="40" w:type="dxa"/>
              <w:bottom w:w="40" w:type="dxa"/>
              <w:right w:w="40" w:type="dxa"/>
            </w:tcMar>
          </w:tcPr>
          <w:p w14:paraId="2A73B88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Beginning accrued warranty and related costs</w:t>
            </w:r>
          </w:p>
        </w:tc>
        <w:tc>
          <w:tcPr>
            <w:tcW w:w="0" w:type="auto"/>
            <w:tcBorders>
              <w:top w:val="single" w:sz="8" w:space="0" w:color="000000"/>
            </w:tcBorders>
            <w:shd w:val="clear" w:color="auto" w:fill="auto"/>
            <w:tcMar>
              <w:top w:w="40" w:type="dxa"/>
              <w:left w:w="40" w:type="dxa"/>
              <w:bottom w:w="40" w:type="dxa"/>
            </w:tcMar>
            <w:vAlign w:val="bottom"/>
          </w:tcPr>
          <w:p w14:paraId="2A73B89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89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3,692</w:t>
            </w:r>
          </w:p>
        </w:tc>
        <w:tc>
          <w:tcPr>
            <w:tcW w:w="0" w:type="auto"/>
            <w:tcBorders>
              <w:top w:val="single" w:sz="8" w:space="0" w:color="000000"/>
            </w:tcBorders>
            <w:shd w:val="clear" w:color="auto" w:fill="auto"/>
            <w:vAlign w:val="bottom"/>
          </w:tcPr>
          <w:p w14:paraId="2A73B89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9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89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89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3,834</w:t>
            </w:r>
          </w:p>
        </w:tc>
        <w:tc>
          <w:tcPr>
            <w:tcW w:w="0" w:type="auto"/>
            <w:tcBorders>
              <w:top w:val="single" w:sz="8" w:space="0" w:color="000000"/>
            </w:tcBorders>
            <w:shd w:val="clear" w:color="auto" w:fill="auto"/>
            <w:vAlign w:val="bottom"/>
          </w:tcPr>
          <w:p w14:paraId="2A73B89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9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89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89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3,702</w:t>
            </w:r>
          </w:p>
        </w:tc>
        <w:tc>
          <w:tcPr>
            <w:tcW w:w="0" w:type="auto"/>
            <w:tcBorders>
              <w:top w:val="single" w:sz="8" w:space="0" w:color="000000"/>
            </w:tcBorders>
            <w:shd w:val="clear" w:color="auto" w:fill="auto"/>
            <w:vAlign w:val="bottom"/>
          </w:tcPr>
          <w:p w14:paraId="2A73B89A" w14:textId="77777777" w:rsidR="00FA5565" w:rsidRDefault="00FA5565">
            <w:pPr>
              <w:textAlignment w:val="bottom"/>
              <w:rPr>
                <w:rFonts w:ascii="Times New Roman" w:hAnsi="Times New Roman"/>
                <w:sz w:val="20"/>
                <w:szCs w:val="20"/>
              </w:rPr>
            </w:pPr>
          </w:p>
        </w:tc>
      </w:tr>
      <w:tr w:rsidR="00FA5565" w14:paraId="2A73B8A5" w14:textId="77777777">
        <w:tc>
          <w:tcPr>
            <w:tcW w:w="0" w:type="auto"/>
            <w:shd w:val="clear" w:color="auto" w:fill="EFEFEF"/>
            <w:tcMar>
              <w:top w:w="40" w:type="dxa"/>
              <w:left w:w="560" w:type="dxa"/>
              <w:bottom w:w="40" w:type="dxa"/>
              <w:right w:w="40" w:type="dxa"/>
            </w:tcMar>
          </w:tcPr>
          <w:p w14:paraId="2A73B89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Cost of warranty claims</w:t>
            </w:r>
          </w:p>
        </w:tc>
        <w:tc>
          <w:tcPr>
            <w:tcW w:w="0" w:type="auto"/>
            <w:gridSpan w:val="2"/>
            <w:shd w:val="clear" w:color="auto" w:fill="EFEFEF"/>
            <w:tcMar>
              <w:top w:w="40" w:type="dxa"/>
              <w:left w:w="40" w:type="dxa"/>
              <w:bottom w:w="40" w:type="dxa"/>
            </w:tcMar>
            <w:vAlign w:val="bottom"/>
          </w:tcPr>
          <w:p w14:paraId="2A73B89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(3,857</w:t>
            </w:r>
          </w:p>
        </w:tc>
        <w:tc>
          <w:tcPr>
            <w:tcW w:w="0" w:type="auto"/>
            <w:shd w:val="clear" w:color="auto" w:fill="EFEFEF"/>
            <w:tcMar>
              <w:top w:w="40" w:type="dxa"/>
              <w:bottom w:w="40" w:type="dxa"/>
              <w:right w:w="40" w:type="dxa"/>
            </w:tcMar>
            <w:vAlign w:val="bottom"/>
          </w:tcPr>
          <w:p w14:paraId="2A73B89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89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8A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(4,115</w:t>
            </w:r>
          </w:p>
        </w:tc>
        <w:tc>
          <w:tcPr>
            <w:tcW w:w="0" w:type="auto"/>
            <w:shd w:val="clear" w:color="auto" w:fill="EFEFEF"/>
            <w:tcMar>
              <w:top w:w="40" w:type="dxa"/>
              <w:bottom w:w="40" w:type="dxa"/>
              <w:right w:w="40" w:type="dxa"/>
            </w:tcMar>
            <w:vAlign w:val="bottom"/>
          </w:tcPr>
          <w:p w14:paraId="2A73B8A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8A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8A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(4,322</w:t>
            </w:r>
          </w:p>
        </w:tc>
        <w:tc>
          <w:tcPr>
            <w:tcW w:w="0" w:type="auto"/>
            <w:shd w:val="clear" w:color="auto" w:fill="EFEFEF"/>
            <w:tcMar>
              <w:top w:w="40" w:type="dxa"/>
              <w:bottom w:w="40" w:type="dxa"/>
              <w:right w:w="40" w:type="dxa"/>
            </w:tcMar>
            <w:vAlign w:val="bottom"/>
          </w:tcPr>
          <w:p w14:paraId="2A73B8A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8AF" w14:textId="77777777">
        <w:tc>
          <w:tcPr>
            <w:tcW w:w="0" w:type="auto"/>
            <w:shd w:val="clear" w:color="auto" w:fill="auto"/>
            <w:tcMar>
              <w:top w:w="40" w:type="dxa"/>
              <w:left w:w="560" w:type="dxa"/>
              <w:bottom w:w="40" w:type="dxa"/>
              <w:right w:w="40" w:type="dxa"/>
            </w:tcMar>
          </w:tcPr>
          <w:p w14:paraId="2A73B8A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Accruals for product warranty</w:t>
            </w:r>
          </w:p>
        </w:tc>
        <w:tc>
          <w:tcPr>
            <w:tcW w:w="0" w:type="auto"/>
            <w:gridSpan w:val="2"/>
            <w:tcBorders>
              <w:bottom w:val="single" w:sz="8" w:space="0" w:color="000000"/>
            </w:tcBorders>
            <w:shd w:val="clear" w:color="auto" w:fill="auto"/>
            <w:tcMar>
              <w:top w:w="40" w:type="dxa"/>
              <w:left w:w="40" w:type="dxa"/>
              <w:bottom w:w="40" w:type="dxa"/>
            </w:tcMar>
            <w:vAlign w:val="bottom"/>
          </w:tcPr>
          <w:p w14:paraId="2A73B8A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3,735</w:t>
            </w:r>
          </w:p>
        </w:tc>
        <w:tc>
          <w:tcPr>
            <w:tcW w:w="0" w:type="auto"/>
            <w:tcBorders>
              <w:bottom w:val="single" w:sz="8" w:space="0" w:color="000000"/>
            </w:tcBorders>
            <w:shd w:val="clear" w:color="auto" w:fill="auto"/>
            <w:vAlign w:val="bottom"/>
          </w:tcPr>
          <w:p w14:paraId="2A73B8A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A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8A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3,973</w:t>
            </w:r>
          </w:p>
        </w:tc>
        <w:tc>
          <w:tcPr>
            <w:tcW w:w="0" w:type="auto"/>
            <w:tcBorders>
              <w:bottom w:val="single" w:sz="8" w:space="0" w:color="000000"/>
            </w:tcBorders>
            <w:shd w:val="clear" w:color="auto" w:fill="auto"/>
            <w:vAlign w:val="bottom"/>
          </w:tcPr>
          <w:p w14:paraId="2A73B8A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8A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8A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4,454</w:t>
            </w:r>
          </w:p>
        </w:tc>
        <w:tc>
          <w:tcPr>
            <w:tcW w:w="0" w:type="auto"/>
            <w:tcBorders>
              <w:bottom w:val="single" w:sz="8" w:space="0" w:color="000000"/>
            </w:tcBorders>
            <w:shd w:val="clear" w:color="auto" w:fill="auto"/>
            <w:vAlign w:val="bottom"/>
          </w:tcPr>
          <w:p w14:paraId="2A73B8AE" w14:textId="77777777" w:rsidR="00FA5565" w:rsidRDefault="00FA5565">
            <w:pPr>
              <w:textAlignment w:val="bottom"/>
              <w:rPr>
                <w:rFonts w:ascii="Times New Roman" w:hAnsi="Times New Roman"/>
                <w:sz w:val="20"/>
                <w:szCs w:val="20"/>
              </w:rPr>
            </w:pPr>
          </w:p>
        </w:tc>
      </w:tr>
      <w:tr w:rsidR="00FA5565" w14:paraId="2A73B8BC" w14:textId="77777777">
        <w:tc>
          <w:tcPr>
            <w:tcW w:w="0" w:type="auto"/>
            <w:shd w:val="clear" w:color="auto" w:fill="EFEFEF"/>
            <w:tcMar>
              <w:top w:w="40" w:type="dxa"/>
              <w:left w:w="40" w:type="dxa"/>
              <w:bottom w:w="40" w:type="dxa"/>
              <w:right w:w="40" w:type="dxa"/>
            </w:tcMar>
          </w:tcPr>
          <w:p w14:paraId="2A73B8B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Ending accrued warranty and related costs</w:t>
            </w:r>
          </w:p>
        </w:tc>
        <w:tc>
          <w:tcPr>
            <w:tcW w:w="0" w:type="auto"/>
            <w:tcBorders>
              <w:top w:val="single" w:sz="8" w:space="0" w:color="000000"/>
              <w:bottom w:val="double" w:sz="6" w:space="0" w:color="000000"/>
            </w:tcBorders>
            <w:shd w:val="clear" w:color="auto" w:fill="EFEFEF"/>
            <w:tcMar>
              <w:top w:w="40" w:type="dxa"/>
              <w:left w:w="40" w:type="dxa"/>
              <w:bottom w:w="40" w:type="dxa"/>
            </w:tcMar>
            <w:vAlign w:val="bottom"/>
          </w:tcPr>
          <w:p w14:paraId="2A73B8B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EFEFEF"/>
            <w:tcMar>
              <w:top w:w="40" w:type="dxa"/>
              <w:bottom w:w="40" w:type="dxa"/>
            </w:tcMar>
            <w:vAlign w:val="bottom"/>
          </w:tcPr>
          <w:p w14:paraId="2A73B8B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3,570</w:t>
            </w:r>
          </w:p>
        </w:tc>
        <w:tc>
          <w:tcPr>
            <w:tcW w:w="0" w:type="auto"/>
            <w:tcBorders>
              <w:top w:val="single" w:sz="8" w:space="0" w:color="000000"/>
              <w:bottom w:val="double" w:sz="6" w:space="0" w:color="000000"/>
            </w:tcBorders>
            <w:shd w:val="clear" w:color="auto" w:fill="EFEFEF"/>
            <w:vAlign w:val="bottom"/>
          </w:tcPr>
          <w:p w14:paraId="2A73B8B3"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8B4"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EFEFEF"/>
            <w:tcMar>
              <w:top w:w="40" w:type="dxa"/>
              <w:left w:w="40" w:type="dxa"/>
              <w:bottom w:w="40" w:type="dxa"/>
            </w:tcMar>
            <w:vAlign w:val="bottom"/>
          </w:tcPr>
          <w:p w14:paraId="2A73B8B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8B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3,692</w:t>
            </w:r>
          </w:p>
        </w:tc>
        <w:tc>
          <w:tcPr>
            <w:tcW w:w="0" w:type="auto"/>
            <w:tcBorders>
              <w:bottom w:val="double" w:sz="6" w:space="0" w:color="000000"/>
            </w:tcBorders>
            <w:shd w:val="clear" w:color="auto" w:fill="EFEFEF"/>
            <w:vAlign w:val="bottom"/>
          </w:tcPr>
          <w:p w14:paraId="2A73B8B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8B8"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EFEFEF"/>
            <w:tcMar>
              <w:top w:w="40" w:type="dxa"/>
              <w:left w:w="40" w:type="dxa"/>
              <w:bottom w:w="40" w:type="dxa"/>
            </w:tcMar>
            <w:vAlign w:val="bottom"/>
          </w:tcPr>
          <w:p w14:paraId="2A73B8B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8B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3,834</w:t>
            </w:r>
          </w:p>
        </w:tc>
        <w:tc>
          <w:tcPr>
            <w:tcW w:w="0" w:type="auto"/>
            <w:tcBorders>
              <w:bottom w:val="double" w:sz="6" w:space="0" w:color="000000"/>
            </w:tcBorders>
            <w:shd w:val="clear" w:color="auto" w:fill="EFEFEF"/>
            <w:vAlign w:val="bottom"/>
          </w:tcPr>
          <w:p w14:paraId="2A73B8BB" w14:textId="77777777" w:rsidR="00FA5565" w:rsidRDefault="00FA5565">
            <w:pPr>
              <w:textAlignment w:val="bottom"/>
              <w:rPr>
                <w:rFonts w:ascii="Times New Roman" w:hAnsi="Times New Roman"/>
                <w:sz w:val="20"/>
                <w:szCs w:val="20"/>
              </w:rPr>
            </w:pPr>
          </w:p>
        </w:tc>
      </w:tr>
    </w:tbl>
    <w:p w14:paraId="2A73B8BD" w14:textId="77777777" w:rsidR="00FA5565" w:rsidRDefault="00FA5565">
      <w:pPr>
        <w:spacing w:line="288" w:lineRule="auto"/>
        <w:jc w:val="both"/>
        <w:rPr>
          <w:rFonts w:ascii="Times New Roman" w:hAnsi="Times New Roman"/>
          <w:sz w:val="20"/>
          <w:szCs w:val="20"/>
        </w:rPr>
      </w:pPr>
    </w:p>
    <w:p w14:paraId="2A73B8B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offers an iPhone Upgrade Program, which is available to customers who </w:t>
      </w:r>
      <w:r>
        <w:rPr>
          <w:rFonts w:ascii="Helvetica" w:eastAsia="Helvetica" w:hAnsi="Helvetica" w:cs="Helvetica"/>
          <w:sz w:val="18"/>
          <w:szCs w:val="18"/>
        </w:rPr>
        <w:t>purchase a qualifying iPhone in the U.S., the U.K. and mainland China. The iPhone Upgrade Program provides customers the right to trade in that iPhone for a specified amount when purchasing a new iPhone, provided certain conditions are met. The Company acc</w:t>
      </w:r>
      <w:r>
        <w:rPr>
          <w:rFonts w:ascii="Helvetica" w:eastAsia="Helvetica" w:hAnsi="Helvetica" w:cs="Helvetica"/>
          <w:sz w:val="18"/>
          <w:szCs w:val="18"/>
        </w:rPr>
        <w:t>ounts for the trade-in right as a guarantee liability and recognizes arrangement revenue net of the fair value of such right, with subsequent changes to the guarantee liability recognized within net sales.</w:t>
      </w:r>
    </w:p>
    <w:p w14:paraId="2A73B8BF"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 xml:space="preserve">Concentrations in the Available Sources of Supply </w:t>
      </w:r>
      <w:r>
        <w:rPr>
          <w:rFonts w:ascii="Helvetica" w:eastAsia="Helvetica" w:hAnsi="Helvetica" w:cs="Helvetica"/>
          <w:b/>
          <w:bCs/>
          <w:sz w:val="18"/>
          <w:szCs w:val="18"/>
        </w:rPr>
        <w:t>of Materials and Product</w:t>
      </w:r>
    </w:p>
    <w:p w14:paraId="2A73B8C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Although most components essential to the Company’s business are generally available from multiple sources, certain components are currently obtained from single or limited sources. The Company also competes for various components </w:t>
      </w:r>
      <w:r>
        <w:rPr>
          <w:rFonts w:ascii="Helvetica" w:eastAsia="Helvetica" w:hAnsi="Helvetica" w:cs="Helvetica"/>
          <w:sz w:val="18"/>
          <w:szCs w:val="18"/>
        </w:rPr>
        <w:t>with other participants in the markets for smartphones, personal computers, tablets and other electronic devices. Therefore, many components used by the Company, including those that are available from multiple sources, are at times subject to industry-wid</w:t>
      </w:r>
      <w:r>
        <w:rPr>
          <w:rFonts w:ascii="Helvetica" w:eastAsia="Helvetica" w:hAnsi="Helvetica" w:cs="Helvetica"/>
          <w:sz w:val="18"/>
          <w:szCs w:val="18"/>
        </w:rPr>
        <w:t>e shortage and significant commodity pricing fluctuations.</w:t>
      </w:r>
    </w:p>
    <w:p w14:paraId="2A73B8C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uses some custom components that are not commonly used by its competitors, and new products introduced by the Company often utilize custom components available from only one </w:t>
      </w:r>
      <w:r>
        <w:rPr>
          <w:rFonts w:ascii="Helvetica" w:eastAsia="Helvetica" w:hAnsi="Helvetica" w:cs="Helvetica"/>
          <w:sz w:val="18"/>
          <w:szCs w:val="18"/>
        </w:rPr>
        <w:t>source. When a component or product uses new technologies, initial capacity constraints may exist until the suppliers’ yields have matured or their manufacturing capacities have increased. The continued availability of these components at acceptable prices</w:t>
      </w:r>
      <w:r>
        <w:rPr>
          <w:rFonts w:ascii="Helvetica" w:eastAsia="Helvetica" w:hAnsi="Helvetica" w:cs="Helvetica"/>
          <w:sz w:val="18"/>
          <w:szCs w:val="18"/>
        </w:rPr>
        <w:t>, or at all, may be affected if suppliers decide to concentrate on the production of common components instead of components customized to meet the Company’s requirements.</w:t>
      </w:r>
    </w:p>
    <w:p w14:paraId="2A73B8C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has entered into agreements for the supply of many components; however, </w:t>
      </w:r>
      <w:r>
        <w:rPr>
          <w:rFonts w:ascii="Helvetica" w:eastAsia="Helvetica" w:hAnsi="Helvetica" w:cs="Helvetica"/>
          <w:sz w:val="18"/>
          <w:szCs w:val="18"/>
        </w:rPr>
        <w:t>there can be no guarantee that the Company will be able to extend or renew these agreements on similar terms, or at all.</w:t>
      </w:r>
    </w:p>
    <w:p w14:paraId="2A73B8C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Substantially all of the Company’s hardware products are manufactured by outsourcing partners that are located primarily in Asia, with </w:t>
      </w:r>
      <w:r>
        <w:rPr>
          <w:rFonts w:ascii="Helvetica" w:eastAsia="Helvetica" w:hAnsi="Helvetica" w:cs="Helvetica"/>
          <w:sz w:val="18"/>
          <w:szCs w:val="18"/>
        </w:rPr>
        <w:t>some Mac computers manufactured in the U.S. and Ireland.</w:t>
      </w:r>
    </w:p>
    <w:p w14:paraId="2A73B8C4"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Other Off–Balance Sheet Commitments</w:t>
      </w:r>
    </w:p>
    <w:p w14:paraId="2A73B8C5"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Operating Leases</w:t>
      </w:r>
    </w:p>
    <w:p w14:paraId="2A73B8C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leases various equipment and facilities, including retail space, under noncancelable operating lease arrangements. The Company </w:t>
      </w:r>
      <w:r>
        <w:rPr>
          <w:rFonts w:ascii="Helvetica" w:eastAsia="Helvetica" w:hAnsi="Helvetica" w:cs="Helvetica"/>
          <w:sz w:val="18"/>
          <w:szCs w:val="18"/>
        </w:rPr>
        <w:t>does not currently utilize any other off–balance sheet financing arrangements. As of September 28, 2019, the Company’s total future minimum lease payments under noncancelable operating leases were $10.8 billion. The Company’s retail store and other facilit</w:t>
      </w:r>
      <w:r>
        <w:rPr>
          <w:rFonts w:ascii="Helvetica" w:eastAsia="Helvetica" w:hAnsi="Helvetica" w:cs="Helvetica"/>
          <w:sz w:val="18"/>
          <w:szCs w:val="18"/>
        </w:rPr>
        <w:t>y leases typically have original terms not exceeding 10 years and generally contain multi-year renewal options.</w:t>
      </w:r>
    </w:p>
    <w:p w14:paraId="2A73B8C7" w14:textId="77777777" w:rsidR="00FA5565" w:rsidRDefault="00FA5565">
      <w:pPr>
        <w:rPr>
          <w:rFonts w:ascii="Times New Roman" w:hAnsi="Times New Roman"/>
          <w:sz w:val="20"/>
          <w:szCs w:val="20"/>
        </w:rPr>
      </w:pPr>
    </w:p>
    <w:p w14:paraId="2A73B8C8"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51</w:t>
      </w:r>
    </w:p>
    <w:p w14:paraId="2A73B8C9" w14:textId="77777777" w:rsidR="00FA5565" w:rsidRDefault="00D804D1">
      <w:r>
        <w:rPr>
          <w:rFonts w:ascii="Times New Roman" w:hAnsi="Times New Roman"/>
          <w:sz w:val="16"/>
          <w:szCs w:val="16"/>
        </w:rPr>
        <w:pict w14:anchorId="2A73C0CF">
          <v:rect id="_x0000_i1077" style="width:415.3pt;height:1.5pt" o:hralign="center" o:hrstd="t" o:hr="t" fillcolor="#a0a0a0" stroked="f"/>
        </w:pict>
      </w:r>
    </w:p>
    <w:p w14:paraId="2A73B8CA" w14:textId="77777777" w:rsidR="00FA5565" w:rsidRDefault="00FA5565">
      <w:pPr>
        <w:rPr>
          <w:rFonts w:ascii="Times New Roman" w:hAnsi="Times New Roman"/>
          <w:sz w:val="20"/>
          <w:szCs w:val="20"/>
        </w:rPr>
      </w:pPr>
    </w:p>
    <w:p w14:paraId="2A73B8C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Rent expense under all operating leases, including both cancelable and noncancelable leases, was $1.3 billi</w:t>
      </w:r>
      <w:r>
        <w:rPr>
          <w:rFonts w:ascii="Helvetica" w:eastAsia="Helvetica" w:hAnsi="Helvetica" w:cs="Helvetica"/>
          <w:sz w:val="18"/>
          <w:szCs w:val="18"/>
        </w:rPr>
        <w:t>on, $1.2 billion and $1.1 billion in 2019, 2018 and 2017, respectively. Future minimum lease payments under noncancelable operating leases having initial or remaining terms in excess of one year as of September 28, 2019, are as follows (in millions):</w:t>
      </w:r>
    </w:p>
    <w:tbl>
      <w:tblPr>
        <w:tblW w:w="5000" w:type="pct"/>
        <w:tblCellMar>
          <w:left w:w="0" w:type="dxa"/>
          <w:right w:w="0" w:type="dxa"/>
        </w:tblCellMar>
        <w:tblLook w:val="04A0" w:firstRow="1" w:lastRow="0" w:firstColumn="1" w:lastColumn="0" w:noHBand="0" w:noVBand="1"/>
      </w:tblPr>
      <w:tblGrid>
        <w:gridCol w:w="7123"/>
        <w:gridCol w:w="141"/>
        <w:gridCol w:w="978"/>
        <w:gridCol w:w="64"/>
      </w:tblGrid>
      <w:tr w:rsidR="00FA5565" w14:paraId="2A73B8CD" w14:textId="77777777">
        <w:tc>
          <w:tcPr>
            <w:tcW w:w="0" w:type="auto"/>
            <w:gridSpan w:val="4"/>
            <w:shd w:val="clear" w:color="auto" w:fill="auto"/>
            <w:vAlign w:val="center"/>
          </w:tcPr>
          <w:p w14:paraId="2A73B8CC" w14:textId="77777777" w:rsidR="00FA5565" w:rsidRDefault="00FA5565">
            <w:pPr>
              <w:rPr>
                <w:rFonts w:ascii="Times New Roman" w:hAnsi="Times New Roman"/>
                <w:sz w:val="20"/>
                <w:szCs w:val="20"/>
              </w:rPr>
            </w:pPr>
          </w:p>
        </w:tc>
      </w:tr>
      <w:tr w:rsidR="00FA5565" w14:paraId="2A73B8D2" w14:textId="77777777">
        <w:tc>
          <w:tcPr>
            <w:tcW w:w="4300" w:type="pct"/>
            <w:shd w:val="clear" w:color="auto" w:fill="auto"/>
            <w:vAlign w:val="center"/>
          </w:tcPr>
          <w:p w14:paraId="2A73B8CE" w14:textId="77777777" w:rsidR="00FA5565" w:rsidRDefault="00FA5565">
            <w:pPr>
              <w:rPr>
                <w:rFonts w:ascii="Times New Roman" w:hAnsi="Times New Roman"/>
                <w:sz w:val="20"/>
                <w:szCs w:val="20"/>
              </w:rPr>
            </w:pPr>
          </w:p>
        </w:tc>
        <w:tc>
          <w:tcPr>
            <w:tcW w:w="50" w:type="pct"/>
            <w:shd w:val="clear" w:color="auto" w:fill="auto"/>
            <w:vAlign w:val="center"/>
          </w:tcPr>
          <w:p w14:paraId="2A73B8CF" w14:textId="77777777" w:rsidR="00FA5565" w:rsidRDefault="00FA5565">
            <w:pPr>
              <w:rPr>
                <w:rFonts w:ascii="Times New Roman" w:hAnsi="Times New Roman"/>
                <w:sz w:val="20"/>
                <w:szCs w:val="20"/>
              </w:rPr>
            </w:pPr>
          </w:p>
        </w:tc>
        <w:tc>
          <w:tcPr>
            <w:tcW w:w="600" w:type="pct"/>
            <w:shd w:val="clear" w:color="auto" w:fill="auto"/>
            <w:vAlign w:val="center"/>
          </w:tcPr>
          <w:p w14:paraId="2A73B8D0" w14:textId="77777777" w:rsidR="00FA5565" w:rsidRDefault="00FA5565">
            <w:pPr>
              <w:rPr>
                <w:rFonts w:ascii="Times New Roman" w:hAnsi="Times New Roman"/>
                <w:sz w:val="20"/>
                <w:szCs w:val="20"/>
              </w:rPr>
            </w:pPr>
          </w:p>
        </w:tc>
        <w:tc>
          <w:tcPr>
            <w:tcW w:w="50" w:type="pct"/>
            <w:shd w:val="clear" w:color="auto" w:fill="auto"/>
            <w:vAlign w:val="center"/>
          </w:tcPr>
          <w:p w14:paraId="2A73B8D1" w14:textId="77777777" w:rsidR="00FA5565" w:rsidRDefault="00FA5565">
            <w:pPr>
              <w:rPr>
                <w:rFonts w:ascii="Times New Roman" w:hAnsi="Times New Roman"/>
                <w:sz w:val="20"/>
                <w:szCs w:val="20"/>
              </w:rPr>
            </w:pPr>
          </w:p>
        </w:tc>
      </w:tr>
      <w:tr w:rsidR="00FA5565" w14:paraId="2A73B8D7" w14:textId="77777777">
        <w:tc>
          <w:tcPr>
            <w:tcW w:w="0" w:type="auto"/>
            <w:shd w:val="clear" w:color="auto" w:fill="auto"/>
            <w:tcMar>
              <w:top w:w="40" w:type="dxa"/>
              <w:left w:w="40" w:type="dxa"/>
              <w:bottom w:w="40" w:type="dxa"/>
              <w:right w:w="40" w:type="dxa"/>
            </w:tcMar>
          </w:tcPr>
          <w:p w14:paraId="2A73B8D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2020</w:t>
            </w:r>
          </w:p>
        </w:tc>
        <w:tc>
          <w:tcPr>
            <w:tcW w:w="0" w:type="auto"/>
            <w:shd w:val="clear" w:color="auto" w:fill="auto"/>
            <w:tcMar>
              <w:top w:w="40" w:type="dxa"/>
              <w:left w:w="40" w:type="dxa"/>
              <w:bottom w:w="40" w:type="dxa"/>
            </w:tcMar>
            <w:vAlign w:val="bottom"/>
          </w:tcPr>
          <w:p w14:paraId="2A73B8D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8D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1,306</w:t>
            </w:r>
          </w:p>
        </w:tc>
        <w:tc>
          <w:tcPr>
            <w:tcW w:w="0" w:type="auto"/>
            <w:shd w:val="clear" w:color="auto" w:fill="auto"/>
            <w:vAlign w:val="bottom"/>
          </w:tcPr>
          <w:p w14:paraId="2A73B8D6" w14:textId="77777777" w:rsidR="00FA5565" w:rsidRDefault="00FA5565">
            <w:pPr>
              <w:textAlignment w:val="bottom"/>
              <w:rPr>
                <w:rFonts w:ascii="Times New Roman" w:hAnsi="Times New Roman"/>
                <w:sz w:val="20"/>
                <w:szCs w:val="20"/>
              </w:rPr>
            </w:pPr>
          </w:p>
        </w:tc>
      </w:tr>
      <w:tr w:rsidR="00FA5565" w14:paraId="2A73B8DB" w14:textId="77777777">
        <w:tc>
          <w:tcPr>
            <w:tcW w:w="0" w:type="auto"/>
            <w:shd w:val="clear" w:color="auto" w:fill="EFEFEF"/>
            <w:tcMar>
              <w:top w:w="40" w:type="dxa"/>
              <w:left w:w="40" w:type="dxa"/>
              <w:bottom w:w="40" w:type="dxa"/>
              <w:right w:w="40" w:type="dxa"/>
            </w:tcMar>
          </w:tcPr>
          <w:p w14:paraId="2A73B8D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2021</w:t>
            </w:r>
          </w:p>
        </w:tc>
        <w:tc>
          <w:tcPr>
            <w:tcW w:w="0" w:type="auto"/>
            <w:gridSpan w:val="2"/>
            <w:shd w:val="clear" w:color="auto" w:fill="EFEFEF"/>
            <w:tcMar>
              <w:top w:w="40" w:type="dxa"/>
              <w:left w:w="40" w:type="dxa"/>
              <w:bottom w:w="40" w:type="dxa"/>
            </w:tcMar>
            <w:vAlign w:val="bottom"/>
          </w:tcPr>
          <w:p w14:paraId="2A73B8D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1,276</w:t>
            </w:r>
          </w:p>
        </w:tc>
        <w:tc>
          <w:tcPr>
            <w:tcW w:w="0" w:type="auto"/>
            <w:shd w:val="clear" w:color="auto" w:fill="EFEFEF"/>
            <w:vAlign w:val="bottom"/>
          </w:tcPr>
          <w:p w14:paraId="2A73B8DA" w14:textId="77777777" w:rsidR="00FA5565" w:rsidRDefault="00FA5565">
            <w:pPr>
              <w:textAlignment w:val="bottom"/>
              <w:rPr>
                <w:rFonts w:ascii="Times New Roman" w:hAnsi="Times New Roman"/>
                <w:sz w:val="20"/>
                <w:szCs w:val="20"/>
              </w:rPr>
            </w:pPr>
          </w:p>
        </w:tc>
      </w:tr>
      <w:tr w:rsidR="00FA5565" w14:paraId="2A73B8DF" w14:textId="77777777">
        <w:tc>
          <w:tcPr>
            <w:tcW w:w="0" w:type="auto"/>
            <w:shd w:val="clear" w:color="auto" w:fill="auto"/>
            <w:tcMar>
              <w:top w:w="40" w:type="dxa"/>
              <w:left w:w="40" w:type="dxa"/>
              <w:bottom w:w="40" w:type="dxa"/>
              <w:right w:w="40" w:type="dxa"/>
            </w:tcMar>
          </w:tcPr>
          <w:p w14:paraId="2A73B8D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2022</w:t>
            </w:r>
          </w:p>
        </w:tc>
        <w:tc>
          <w:tcPr>
            <w:tcW w:w="0" w:type="auto"/>
            <w:gridSpan w:val="2"/>
            <w:shd w:val="clear" w:color="auto" w:fill="auto"/>
            <w:tcMar>
              <w:top w:w="40" w:type="dxa"/>
              <w:left w:w="40" w:type="dxa"/>
              <w:bottom w:w="40" w:type="dxa"/>
            </w:tcMar>
            <w:vAlign w:val="bottom"/>
          </w:tcPr>
          <w:p w14:paraId="2A73B8D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1,137</w:t>
            </w:r>
          </w:p>
        </w:tc>
        <w:tc>
          <w:tcPr>
            <w:tcW w:w="0" w:type="auto"/>
            <w:shd w:val="clear" w:color="auto" w:fill="auto"/>
            <w:vAlign w:val="bottom"/>
          </w:tcPr>
          <w:p w14:paraId="2A73B8DE" w14:textId="77777777" w:rsidR="00FA5565" w:rsidRDefault="00FA5565">
            <w:pPr>
              <w:textAlignment w:val="bottom"/>
              <w:rPr>
                <w:rFonts w:ascii="Times New Roman" w:hAnsi="Times New Roman"/>
                <w:sz w:val="20"/>
                <w:szCs w:val="20"/>
              </w:rPr>
            </w:pPr>
          </w:p>
        </w:tc>
      </w:tr>
      <w:tr w:rsidR="00FA5565" w14:paraId="2A73B8E3" w14:textId="77777777">
        <w:tc>
          <w:tcPr>
            <w:tcW w:w="0" w:type="auto"/>
            <w:shd w:val="clear" w:color="auto" w:fill="EFEFEF"/>
            <w:tcMar>
              <w:top w:w="40" w:type="dxa"/>
              <w:left w:w="40" w:type="dxa"/>
              <w:bottom w:w="40" w:type="dxa"/>
              <w:right w:w="40" w:type="dxa"/>
            </w:tcMar>
          </w:tcPr>
          <w:p w14:paraId="2A73B8E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2023</w:t>
            </w:r>
          </w:p>
        </w:tc>
        <w:tc>
          <w:tcPr>
            <w:tcW w:w="0" w:type="auto"/>
            <w:gridSpan w:val="2"/>
            <w:shd w:val="clear" w:color="auto" w:fill="EFEFEF"/>
            <w:tcMar>
              <w:top w:w="40" w:type="dxa"/>
              <w:left w:w="40" w:type="dxa"/>
              <w:bottom w:w="40" w:type="dxa"/>
            </w:tcMar>
            <w:vAlign w:val="bottom"/>
          </w:tcPr>
          <w:p w14:paraId="2A73B8E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912</w:t>
            </w:r>
          </w:p>
        </w:tc>
        <w:tc>
          <w:tcPr>
            <w:tcW w:w="0" w:type="auto"/>
            <w:shd w:val="clear" w:color="auto" w:fill="EFEFEF"/>
            <w:vAlign w:val="bottom"/>
          </w:tcPr>
          <w:p w14:paraId="2A73B8E2" w14:textId="77777777" w:rsidR="00FA5565" w:rsidRDefault="00FA5565">
            <w:pPr>
              <w:textAlignment w:val="bottom"/>
              <w:rPr>
                <w:rFonts w:ascii="Times New Roman" w:hAnsi="Times New Roman"/>
                <w:sz w:val="20"/>
                <w:szCs w:val="20"/>
              </w:rPr>
            </w:pPr>
          </w:p>
        </w:tc>
      </w:tr>
      <w:tr w:rsidR="00FA5565" w14:paraId="2A73B8E7" w14:textId="77777777">
        <w:tc>
          <w:tcPr>
            <w:tcW w:w="0" w:type="auto"/>
            <w:shd w:val="clear" w:color="auto" w:fill="auto"/>
            <w:tcMar>
              <w:top w:w="40" w:type="dxa"/>
              <w:left w:w="40" w:type="dxa"/>
              <w:bottom w:w="40" w:type="dxa"/>
              <w:right w:w="40" w:type="dxa"/>
            </w:tcMar>
          </w:tcPr>
          <w:p w14:paraId="2A73B8E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2024</w:t>
            </w:r>
          </w:p>
        </w:tc>
        <w:tc>
          <w:tcPr>
            <w:tcW w:w="0" w:type="auto"/>
            <w:gridSpan w:val="2"/>
            <w:shd w:val="clear" w:color="auto" w:fill="auto"/>
            <w:tcMar>
              <w:top w:w="40" w:type="dxa"/>
              <w:left w:w="40" w:type="dxa"/>
              <w:bottom w:w="40" w:type="dxa"/>
            </w:tcMar>
            <w:vAlign w:val="bottom"/>
          </w:tcPr>
          <w:p w14:paraId="2A73B8E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834</w:t>
            </w:r>
          </w:p>
        </w:tc>
        <w:tc>
          <w:tcPr>
            <w:tcW w:w="0" w:type="auto"/>
            <w:shd w:val="clear" w:color="auto" w:fill="auto"/>
            <w:vAlign w:val="bottom"/>
          </w:tcPr>
          <w:p w14:paraId="2A73B8E6" w14:textId="77777777" w:rsidR="00FA5565" w:rsidRDefault="00FA5565">
            <w:pPr>
              <w:textAlignment w:val="bottom"/>
              <w:rPr>
                <w:rFonts w:ascii="Times New Roman" w:hAnsi="Times New Roman"/>
                <w:sz w:val="20"/>
                <w:szCs w:val="20"/>
              </w:rPr>
            </w:pPr>
          </w:p>
        </w:tc>
      </w:tr>
      <w:tr w:rsidR="00FA5565" w14:paraId="2A73B8EB" w14:textId="77777777">
        <w:tc>
          <w:tcPr>
            <w:tcW w:w="0" w:type="auto"/>
            <w:shd w:val="clear" w:color="auto" w:fill="EFEFEF"/>
            <w:tcMar>
              <w:top w:w="40" w:type="dxa"/>
              <w:left w:w="40" w:type="dxa"/>
              <w:bottom w:w="40" w:type="dxa"/>
              <w:right w:w="40" w:type="dxa"/>
            </w:tcMar>
          </w:tcPr>
          <w:p w14:paraId="2A73B8E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Thereafter</w:t>
            </w:r>
          </w:p>
        </w:tc>
        <w:tc>
          <w:tcPr>
            <w:tcW w:w="0" w:type="auto"/>
            <w:gridSpan w:val="2"/>
            <w:shd w:val="clear" w:color="auto" w:fill="EFEFEF"/>
            <w:tcMar>
              <w:top w:w="40" w:type="dxa"/>
              <w:left w:w="40" w:type="dxa"/>
              <w:bottom w:w="40" w:type="dxa"/>
            </w:tcMar>
            <w:vAlign w:val="bottom"/>
          </w:tcPr>
          <w:p w14:paraId="2A73B8E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5,373</w:t>
            </w:r>
          </w:p>
        </w:tc>
        <w:tc>
          <w:tcPr>
            <w:tcW w:w="0" w:type="auto"/>
            <w:shd w:val="clear" w:color="auto" w:fill="EFEFEF"/>
            <w:vAlign w:val="bottom"/>
          </w:tcPr>
          <w:p w14:paraId="2A73B8EA" w14:textId="77777777" w:rsidR="00FA5565" w:rsidRDefault="00FA5565">
            <w:pPr>
              <w:textAlignment w:val="bottom"/>
              <w:rPr>
                <w:rFonts w:ascii="Times New Roman" w:hAnsi="Times New Roman"/>
                <w:sz w:val="20"/>
                <w:szCs w:val="20"/>
              </w:rPr>
            </w:pPr>
          </w:p>
        </w:tc>
      </w:tr>
      <w:tr w:rsidR="00FA5565" w14:paraId="2A73B8F0" w14:textId="77777777">
        <w:tc>
          <w:tcPr>
            <w:tcW w:w="0" w:type="auto"/>
            <w:shd w:val="clear" w:color="auto" w:fill="auto"/>
            <w:tcMar>
              <w:top w:w="40" w:type="dxa"/>
              <w:left w:w="560" w:type="dxa"/>
              <w:bottom w:w="40" w:type="dxa"/>
              <w:right w:w="40" w:type="dxa"/>
            </w:tcMar>
          </w:tcPr>
          <w:p w14:paraId="2A73B8E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8E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B8E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10,838</w:t>
            </w:r>
          </w:p>
        </w:tc>
        <w:tc>
          <w:tcPr>
            <w:tcW w:w="0" w:type="auto"/>
            <w:tcBorders>
              <w:top w:val="single" w:sz="8" w:space="0" w:color="000000"/>
              <w:bottom w:val="double" w:sz="6" w:space="0" w:color="000000"/>
            </w:tcBorders>
            <w:shd w:val="clear" w:color="auto" w:fill="auto"/>
            <w:vAlign w:val="bottom"/>
          </w:tcPr>
          <w:p w14:paraId="2A73B8EF" w14:textId="77777777" w:rsidR="00FA5565" w:rsidRDefault="00FA5565">
            <w:pPr>
              <w:textAlignment w:val="bottom"/>
              <w:rPr>
                <w:rFonts w:ascii="Times New Roman" w:hAnsi="Times New Roman"/>
                <w:sz w:val="20"/>
                <w:szCs w:val="20"/>
              </w:rPr>
            </w:pPr>
          </w:p>
        </w:tc>
      </w:tr>
    </w:tbl>
    <w:p w14:paraId="2A73B8F1" w14:textId="77777777" w:rsidR="00FA5565" w:rsidRDefault="00FA5565">
      <w:pPr>
        <w:spacing w:line="288" w:lineRule="auto"/>
        <w:jc w:val="both"/>
        <w:rPr>
          <w:rFonts w:ascii="Times New Roman" w:hAnsi="Times New Roman"/>
          <w:sz w:val="20"/>
          <w:szCs w:val="20"/>
        </w:rPr>
      </w:pPr>
    </w:p>
    <w:p w14:paraId="2A73B8F2"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Unconditional Purchase Obligations</w:t>
      </w:r>
    </w:p>
    <w:p w14:paraId="2A73B8F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has entered into certain off–balance sheet commitments that require the future purchase of goods or </w:t>
      </w:r>
      <w:r>
        <w:rPr>
          <w:rFonts w:ascii="Helvetica" w:eastAsia="Helvetica" w:hAnsi="Helvetica" w:cs="Helvetica"/>
          <w:sz w:val="18"/>
          <w:szCs w:val="18"/>
        </w:rPr>
        <w:t xml:space="preserve">services (“unconditional purchase obligations”). The Company’s unconditional purchase obligations primarily consist of payments for supplier arrangements, Internet and telecommunication services, intellectual property licenses and content creation. Future </w:t>
      </w:r>
      <w:r>
        <w:rPr>
          <w:rFonts w:ascii="Helvetica" w:eastAsia="Helvetica" w:hAnsi="Helvetica" w:cs="Helvetica"/>
          <w:sz w:val="18"/>
          <w:szCs w:val="18"/>
        </w:rPr>
        <w:t>payments under noncancelable unconditional purchase obligations having a remaining term in excess of one year as of September 28, 2019, are as follows (in millions):</w:t>
      </w:r>
    </w:p>
    <w:tbl>
      <w:tblPr>
        <w:tblW w:w="5000" w:type="pct"/>
        <w:tblCellMar>
          <w:left w:w="0" w:type="dxa"/>
          <w:right w:w="0" w:type="dxa"/>
        </w:tblCellMar>
        <w:tblLook w:val="04A0" w:firstRow="1" w:lastRow="0" w:firstColumn="1" w:lastColumn="0" w:noHBand="0" w:noVBand="1"/>
      </w:tblPr>
      <w:tblGrid>
        <w:gridCol w:w="7123"/>
        <w:gridCol w:w="141"/>
        <w:gridCol w:w="978"/>
        <w:gridCol w:w="64"/>
      </w:tblGrid>
      <w:tr w:rsidR="00FA5565" w14:paraId="2A73B8F5" w14:textId="77777777">
        <w:tc>
          <w:tcPr>
            <w:tcW w:w="0" w:type="auto"/>
            <w:gridSpan w:val="4"/>
            <w:shd w:val="clear" w:color="auto" w:fill="auto"/>
            <w:vAlign w:val="center"/>
          </w:tcPr>
          <w:p w14:paraId="2A73B8F4" w14:textId="77777777" w:rsidR="00FA5565" w:rsidRDefault="00FA5565">
            <w:pPr>
              <w:rPr>
                <w:rFonts w:ascii="Times New Roman" w:hAnsi="Times New Roman"/>
                <w:sz w:val="20"/>
                <w:szCs w:val="20"/>
              </w:rPr>
            </w:pPr>
          </w:p>
        </w:tc>
      </w:tr>
      <w:tr w:rsidR="00FA5565" w14:paraId="2A73B8FA" w14:textId="77777777">
        <w:tc>
          <w:tcPr>
            <w:tcW w:w="4300" w:type="pct"/>
            <w:shd w:val="clear" w:color="auto" w:fill="auto"/>
            <w:vAlign w:val="center"/>
          </w:tcPr>
          <w:p w14:paraId="2A73B8F6" w14:textId="77777777" w:rsidR="00FA5565" w:rsidRDefault="00FA5565">
            <w:pPr>
              <w:rPr>
                <w:rFonts w:ascii="Times New Roman" w:hAnsi="Times New Roman"/>
                <w:sz w:val="20"/>
                <w:szCs w:val="20"/>
              </w:rPr>
            </w:pPr>
          </w:p>
        </w:tc>
        <w:tc>
          <w:tcPr>
            <w:tcW w:w="50" w:type="pct"/>
            <w:shd w:val="clear" w:color="auto" w:fill="auto"/>
            <w:vAlign w:val="center"/>
          </w:tcPr>
          <w:p w14:paraId="2A73B8F7" w14:textId="77777777" w:rsidR="00FA5565" w:rsidRDefault="00FA5565">
            <w:pPr>
              <w:rPr>
                <w:rFonts w:ascii="Times New Roman" w:hAnsi="Times New Roman"/>
                <w:sz w:val="20"/>
                <w:szCs w:val="20"/>
              </w:rPr>
            </w:pPr>
          </w:p>
        </w:tc>
        <w:tc>
          <w:tcPr>
            <w:tcW w:w="600" w:type="pct"/>
            <w:shd w:val="clear" w:color="auto" w:fill="auto"/>
            <w:vAlign w:val="center"/>
          </w:tcPr>
          <w:p w14:paraId="2A73B8F8" w14:textId="77777777" w:rsidR="00FA5565" w:rsidRDefault="00FA5565">
            <w:pPr>
              <w:rPr>
                <w:rFonts w:ascii="Times New Roman" w:hAnsi="Times New Roman"/>
                <w:sz w:val="20"/>
                <w:szCs w:val="20"/>
              </w:rPr>
            </w:pPr>
          </w:p>
        </w:tc>
        <w:tc>
          <w:tcPr>
            <w:tcW w:w="50" w:type="pct"/>
            <w:shd w:val="clear" w:color="auto" w:fill="auto"/>
            <w:vAlign w:val="center"/>
          </w:tcPr>
          <w:p w14:paraId="2A73B8F9" w14:textId="77777777" w:rsidR="00FA5565" w:rsidRDefault="00FA5565">
            <w:pPr>
              <w:rPr>
                <w:rFonts w:ascii="Times New Roman" w:hAnsi="Times New Roman"/>
                <w:sz w:val="20"/>
                <w:szCs w:val="20"/>
              </w:rPr>
            </w:pPr>
          </w:p>
        </w:tc>
      </w:tr>
      <w:tr w:rsidR="00FA5565" w14:paraId="2A73B8FF" w14:textId="77777777">
        <w:tc>
          <w:tcPr>
            <w:tcW w:w="0" w:type="auto"/>
            <w:shd w:val="clear" w:color="auto" w:fill="auto"/>
            <w:tcMar>
              <w:top w:w="40" w:type="dxa"/>
              <w:left w:w="40" w:type="dxa"/>
              <w:bottom w:w="40" w:type="dxa"/>
              <w:right w:w="40" w:type="dxa"/>
            </w:tcMar>
          </w:tcPr>
          <w:p w14:paraId="2A73B8F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2020</w:t>
            </w:r>
          </w:p>
        </w:tc>
        <w:tc>
          <w:tcPr>
            <w:tcW w:w="0" w:type="auto"/>
            <w:shd w:val="clear" w:color="auto" w:fill="auto"/>
            <w:tcMar>
              <w:top w:w="40" w:type="dxa"/>
              <w:left w:w="40" w:type="dxa"/>
              <w:bottom w:w="40" w:type="dxa"/>
            </w:tcMar>
            <w:vAlign w:val="bottom"/>
          </w:tcPr>
          <w:p w14:paraId="2A73B8F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8F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2,476</w:t>
            </w:r>
          </w:p>
        </w:tc>
        <w:tc>
          <w:tcPr>
            <w:tcW w:w="0" w:type="auto"/>
            <w:shd w:val="clear" w:color="auto" w:fill="auto"/>
            <w:vAlign w:val="bottom"/>
          </w:tcPr>
          <w:p w14:paraId="2A73B8FE" w14:textId="77777777" w:rsidR="00FA5565" w:rsidRDefault="00FA5565">
            <w:pPr>
              <w:textAlignment w:val="bottom"/>
              <w:rPr>
                <w:rFonts w:ascii="Times New Roman" w:hAnsi="Times New Roman"/>
                <w:sz w:val="20"/>
                <w:szCs w:val="20"/>
              </w:rPr>
            </w:pPr>
          </w:p>
        </w:tc>
      </w:tr>
      <w:tr w:rsidR="00FA5565" w14:paraId="2A73B903" w14:textId="77777777">
        <w:tc>
          <w:tcPr>
            <w:tcW w:w="0" w:type="auto"/>
            <w:shd w:val="clear" w:color="auto" w:fill="EFEFEF"/>
            <w:tcMar>
              <w:top w:w="40" w:type="dxa"/>
              <w:left w:w="40" w:type="dxa"/>
              <w:bottom w:w="40" w:type="dxa"/>
              <w:right w:w="40" w:type="dxa"/>
            </w:tcMar>
          </w:tcPr>
          <w:p w14:paraId="2A73B90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2021</w:t>
            </w:r>
          </w:p>
        </w:tc>
        <w:tc>
          <w:tcPr>
            <w:tcW w:w="0" w:type="auto"/>
            <w:gridSpan w:val="2"/>
            <w:shd w:val="clear" w:color="auto" w:fill="EFEFEF"/>
            <w:tcMar>
              <w:top w:w="40" w:type="dxa"/>
              <w:left w:w="40" w:type="dxa"/>
              <w:bottom w:w="40" w:type="dxa"/>
            </w:tcMar>
            <w:vAlign w:val="bottom"/>
          </w:tcPr>
          <w:p w14:paraId="2A73B90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2,386</w:t>
            </w:r>
          </w:p>
        </w:tc>
        <w:tc>
          <w:tcPr>
            <w:tcW w:w="0" w:type="auto"/>
            <w:shd w:val="clear" w:color="auto" w:fill="EFEFEF"/>
            <w:vAlign w:val="bottom"/>
          </w:tcPr>
          <w:p w14:paraId="2A73B902" w14:textId="77777777" w:rsidR="00FA5565" w:rsidRDefault="00FA5565">
            <w:pPr>
              <w:textAlignment w:val="bottom"/>
              <w:rPr>
                <w:rFonts w:ascii="Times New Roman" w:hAnsi="Times New Roman"/>
                <w:sz w:val="20"/>
                <w:szCs w:val="20"/>
              </w:rPr>
            </w:pPr>
          </w:p>
        </w:tc>
      </w:tr>
      <w:tr w:rsidR="00FA5565" w14:paraId="2A73B907" w14:textId="77777777">
        <w:tc>
          <w:tcPr>
            <w:tcW w:w="0" w:type="auto"/>
            <w:shd w:val="clear" w:color="auto" w:fill="auto"/>
            <w:tcMar>
              <w:top w:w="40" w:type="dxa"/>
              <w:left w:w="40" w:type="dxa"/>
              <w:bottom w:w="40" w:type="dxa"/>
              <w:right w:w="40" w:type="dxa"/>
            </w:tcMar>
          </w:tcPr>
          <w:p w14:paraId="2A73B90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2022</w:t>
            </w:r>
          </w:p>
        </w:tc>
        <w:tc>
          <w:tcPr>
            <w:tcW w:w="0" w:type="auto"/>
            <w:gridSpan w:val="2"/>
            <w:shd w:val="clear" w:color="auto" w:fill="auto"/>
            <w:tcMar>
              <w:top w:w="40" w:type="dxa"/>
              <w:left w:w="40" w:type="dxa"/>
              <w:bottom w:w="40" w:type="dxa"/>
            </w:tcMar>
            <w:vAlign w:val="bottom"/>
          </w:tcPr>
          <w:p w14:paraId="2A73B90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1,859</w:t>
            </w:r>
          </w:p>
        </w:tc>
        <w:tc>
          <w:tcPr>
            <w:tcW w:w="0" w:type="auto"/>
            <w:shd w:val="clear" w:color="auto" w:fill="auto"/>
            <w:vAlign w:val="bottom"/>
          </w:tcPr>
          <w:p w14:paraId="2A73B906" w14:textId="77777777" w:rsidR="00FA5565" w:rsidRDefault="00FA5565">
            <w:pPr>
              <w:textAlignment w:val="bottom"/>
              <w:rPr>
                <w:rFonts w:ascii="Times New Roman" w:hAnsi="Times New Roman"/>
                <w:sz w:val="20"/>
                <w:szCs w:val="20"/>
              </w:rPr>
            </w:pPr>
          </w:p>
        </w:tc>
      </w:tr>
      <w:tr w:rsidR="00FA5565" w14:paraId="2A73B90B" w14:textId="77777777">
        <w:tc>
          <w:tcPr>
            <w:tcW w:w="0" w:type="auto"/>
            <w:shd w:val="clear" w:color="auto" w:fill="EFEFEF"/>
            <w:tcMar>
              <w:top w:w="40" w:type="dxa"/>
              <w:left w:w="40" w:type="dxa"/>
              <w:bottom w:w="40" w:type="dxa"/>
              <w:right w:w="40" w:type="dxa"/>
            </w:tcMar>
          </w:tcPr>
          <w:p w14:paraId="2A73B90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2023</w:t>
            </w:r>
          </w:p>
        </w:tc>
        <w:tc>
          <w:tcPr>
            <w:tcW w:w="0" w:type="auto"/>
            <w:gridSpan w:val="2"/>
            <w:shd w:val="clear" w:color="auto" w:fill="EFEFEF"/>
            <w:tcMar>
              <w:top w:w="40" w:type="dxa"/>
              <w:left w:w="40" w:type="dxa"/>
              <w:bottom w:w="40" w:type="dxa"/>
            </w:tcMar>
            <w:vAlign w:val="bottom"/>
          </w:tcPr>
          <w:p w14:paraId="2A73B90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1,162</w:t>
            </w:r>
          </w:p>
        </w:tc>
        <w:tc>
          <w:tcPr>
            <w:tcW w:w="0" w:type="auto"/>
            <w:shd w:val="clear" w:color="auto" w:fill="EFEFEF"/>
            <w:vAlign w:val="bottom"/>
          </w:tcPr>
          <w:p w14:paraId="2A73B90A" w14:textId="77777777" w:rsidR="00FA5565" w:rsidRDefault="00FA5565">
            <w:pPr>
              <w:textAlignment w:val="bottom"/>
              <w:rPr>
                <w:rFonts w:ascii="Times New Roman" w:hAnsi="Times New Roman"/>
                <w:sz w:val="20"/>
                <w:szCs w:val="20"/>
              </w:rPr>
            </w:pPr>
          </w:p>
        </w:tc>
      </w:tr>
      <w:tr w:rsidR="00FA5565" w14:paraId="2A73B90F" w14:textId="77777777">
        <w:tc>
          <w:tcPr>
            <w:tcW w:w="0" w:type="auto"/>
            <w:shd w:val="clear" w:color="auto" w:fill="auto"/>
            <w:tcMar>
              <w:top w:w="40" w:type="dxa"/>
              <w:left w:w="40" w:type="dxa"/>
              <w:bottom w:w="40" w:type="dxa"/>
              <w:right w:w="40" w:type="dxa"/>
            </w:tcMar>
          </w:tcPr>
          <w:p w14:paraId="2A73B90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2024</w:t>
            </w:r>
          </w:p>
        </w:tc>
        <w:tc>
          <w:tcPr>
            <w:tcW w:w="0" w:type="auto"/>
            <w:gridSpan w:val="2"/>
            <w:shd w:val="clear" w:color="auto" w:fill="auto"/>
            <w:tcMar>
              <w:top w:w="40" w:type="dxa"/>
              <w:left w:w="40" w:type="dxa"/>
              <w:bottom w:w="40" w:type="dxa"/>
            </w:tcMar>
            <w:vAlign w:val="bottom"/>
          </w:tcPr>
          <w:p w14:paraId="2A73B90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218</w:t>
            </w:r>
          </w:p>
        </w:tc>
        <w:tc>
          <w:tcPr>
            <w:tcW w:w="0" w:type="auto"/>
            <w:shd w:val="clear" w:color="auto" w:fill="auto"/>
            <w:vAlign w:val="bottom"/>
          </w:tcPr>
          <w:p w14:paraId="2A73B90E" w14:textId="77777777" w:rsidR="00FA5565" w:rsidRDefault="00FA5565">
            <w:pPr>
              <w:textAlignment w:val="bottom"/>
              <w:rPr>
                <w:rFonts w:ascii="Times New Roman" w:hAnsi="Times New Roman"/>
                <w:sz w:val="20"/>
                <w:szCs w:val="20"/>
              </w:rPr>
            </w:pPr>
          </w:p>
        </w:tc>
      </w:tr>
      <w:tr w:rsidR="00FA5565" w14:paraId="2A73B913" w14:textId="77777777">
        <w:tc>
          <w:tcPr>
            <w:tcW w:w="0" w:type="auto"/>
            <w:shd w:val="clear" w:color="auto" w:fill="EFEFEF"/>
            <w:tcMar>
              <w:top w:w="40" w:type="dxa"/>
              <w:left w:w="40" w:type="dxa"/>
              <w:bottom w:w="40" w:type="dxa"/>
              <w:right w:w="40" w:type="dxa"/>
            </w:tcMar>
          </w:tcPr>
          <w:p w14:paraId="2A73B91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Thereafter</w:t>
            </w:r>
          </w:p>
        </w:tc>
        <w:tc>
          <w:tcPr>
            <w:tcW w:w="0" w:type="auto"/>
            <w:gridSpan w:val="2"/>
            <w:shd w:val="clear" w:color="auto" w:fill="EFEFEF"/>
            <w:tcMar>
              <w:top w:w="40" w:type="dxa"/>
              <w:left w:w="40" w:type="dxa"/>
              <w:bottom w:w="40" w:type="dxa"/>
            </w:tcMar>
            <w:vAlign w:val="bottom"/>
          </w:tcPr>
          <w:p w14:paraId="2A73B91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110</w:t>
            </w:r>
          </w:p>
        </w:tc>
        <w:tc>
          <w:tcPr>
            <w:tcW w:w="0" w:type="auto"/>
            <w:shd w:val="clear" w:color="auto" w:fill="EFEFEF"/>
            <w:vAlign w:val="bottom"/>
          </w:tcPr>
          <w:p w14:paraId="2A73B912" w14:textId="77777777" w:rsidR="00FA5565" w:rsidRDefault="00FA5565">
            <w:pPr>
              <w:textAlignment w:val="bottom"/>
              <w:rPr>
                <w:rFonts w:ascii="Times New Roman" w:hAnsi="Times New Roman"/>
                <w:sz w:val="20"/>
                <w:szCs w:val="20"/>
              </w:rPr>
            </w:pPr>
          </w:p>
        </w:tc>
      </w:tr>
      <w:tr w:rsidR="00FA5565" w14:paraId="2A73B918" w14:textId="77777777">
        <w:tc>
          <w:tcPr>
            <w:tcW w:w="0" w:type="auto"/>
            <w:shd w:val="clear" w:color="auto" w:fill="auto"/>
            <w:tcMar>
              <w:top w:w="40" w:type="dxa"/>
              <w:left w:w="560" w:type="dxa"/>
              <w:bottom w:w="40" w:type="dxa"/>
              <w:right w:w="40" w:type="dxa"/>
            </w:tcMar>
          </w:tcPr>
          <w:p w14:paraId="2A73B91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2A73B91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2A73B91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8,211</w:t>
            </w:r>
          </w:p>
        </w:tc>
        <w:tc>
          <w:tcPr>
            <w:tcW w:w="0" w:type="auto"/>
            <w:tcBorders>
              <w:top w:val="single" w:sz="8" w:space="0" w:color="000000"/>
              <w:bottom w:val="double" w:sz="6" w:space="0" w:color="000000"/>
            </w:tcBorders>
            <w:shd w:val="clear" w:color="auto" w:fill="auto"/>
            <w:vAlign w:val="bottom"/>
          </w:tcPr>
          <w:p w14:paraId="2A73B917" w14:textId="77777777" w:rsidR="00FA5565" w:rsidRDefault="00FA5565">
            <w:pPr>
              <w:textAlignment w:val="bottom"/>
              <w:rPr>
                <w:rFonts w:ascii="Times New Roman" w:hAnsi="Times New Roman"/>
                <w:sz w:val="20"/>
                <w:szCs w:val="20"/>
              </w:rPr>
            </w:pPr>
          </w:p>
        </w:tc>
      </w:tr>
    </w:tbl>
    <w:p w14:paraId="2A73B919" w14:textId="77777777" w:rsidR="00FA5565" w:rsidRDefault="00FA5565">
      <w:pPr>
        <w:spacing w:line="288" w:lineRule="auto"/>
        <w:jc w:val="both"/>
        <w:rPr>
          <w:rFonts w:ascii="Times New Roman" w:hAnsi="Times New Roman"/>
          <w:sz w:val="20"/>
          <w:szCs w:val="20"/>
        </w:rPr>
      </w:pPr>
    </w:p>
    <w:p w14:paraId="2A73B91A"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Contingencies</w:t>
      </w:r>
    </w:p>
    <w:p w14:paraId="2A73B91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Company is subject to various legal proceedings and claims that have arisen in the ordinary course of business and that have not been fully resolved. The outcome of litigation is inherently </w:t>
      </w:r>
      <w:r>
        <w:rPr>
          <w:rFonts w:ascii="Helvetica" w:eastAsia="Helvetica" w:hAnsi="Helvetica" w:cs="Helvetica"/>
          <w:sz w:val="18"/>
          <w:szCs w:val="18"/>
        </w:rPr>
        <w:t>uncertain. If one or more legal matters were resolved against the Company in a reporting period for amounts above management’s expectations, the Company’s financial condition and operating results for that reporting period could be materially adversely aff</w:t>
      </w:r>
      <w:r>
        <w:rPr>
          <w:rFonts w:ascii="Helvetica" w:eastAsia="Helvetica" w:hAnsi="Helvetica" w:cs="Helvetica"/>
          <w:sz w:val="18"/>
          <w:szCs w:val="18"/>
        </w:rPr>
        <w:t>ected. In the opinion of management, there was not at least a reasonable possibility the Company may have incurred a material loss, or a material loss greater than a recorded accrual, concerning loss contingencies for asserted legal and other claims, excep</w:t>
      </w:r>
      <w:r>
        <w:rPr>
          <w:rFonts w:ascii="Helvetica" w:eastAsia="Helvetica" w:hAnsi="Helvetica" w:cs="Helvetica"/>
          <w:sz w:val="18"/>
          <w:szCs w:val="18"/>
        </w:rPr>
        <w:t>t for the following matters:</w:t>
      </w:r>
    </w:p>
    <w:p w14:paraId="2A73B91C"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VirnetX</w:t>
      </w:r>
    </w:p>
    <w:p w14:paraId="2A73B91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VirnetX, Inc. (“VirnetX”) filed two lawsuits in the U.S. District Court for the Eastern District of Texas (the “Eastern Texas District Court”) against the Company alleging that certain Company products infringe four pat</w:t>
      </w:r>
      <w:r>
        <w:rPr>
          <w:rFonts w:ascii="Helvetica" w:eastAsia="Helvetica" w:hAnsi="Helvetica" w:cs="Helvetica"/>
          <w:sz w:val="18"/>
          <w:szCs w:val="18"/>
        </w:rPr>
        <w:t xml:space="preserve">ents (the “VirnetX Patents”) relating to network communications technology (“VirnetX I” and “VirnetX II”). On September 30, 2016, a jury returned a verdict in VirnetX I against the Company and awarded damages of $302 million, which later increased to $440 </w:t>
      </w:r>
      <w:r>
        <w:rPr>
          <w:rFonts w:ascii="Helvetica" w:eastAsia="Helvetica" w:hAnsi="Helvetica" w:cs="Helvetica"/>
          <w:sz w:val="18"/>
          <w:szCs w:val="18"/>
        </w:rPr>
        <w:t>million in post-trial proceedings. The Company appealed the VirnetX I verdict to the U.S. Court of Appeals for the Federal Circuit (the “Federal Circuit”). On April 11, 2018, a jury returned a verdict in VirnetX II against the Company and awarded damages o</w:t>
      </w:r>
      <w:r>
        <w:rPr>
          <w:rFonts w:ascii="Helvetica" w:eastAsia="Helvetica" w:hAnsi="Helvetica" w:cs="Helvetica"/>
          <w:sz w:val="18"/>
          <w:szCs w:val="18"/>
        </w:rPr>
        <w:t>f $503 million. VirnetX II is currently on appeal. The Company has challenged the validity of the VirnetX Patents at the U.S. Patent and Trademark Office (the “PTO”). In response, the PTO has declared the VirnetX Patents invalid. VirnetX appealed the inval</w:t>
      </w:r>
      <w:r>
        <w:rPr>
          <w:rFonts w:ascii="Helvetica" w:eastAsia="Helvetica" w:hAnsi="Helvetica" w:cs="Helvetica"/>
          <w:sz w:val="18"/>
          <w:szCs w:val="18"/>
        </w:rPr>
        <w:t>idity decision of the PTO to the Federal Circuit. The Federal Circuit consolidated the Company’s appeal of the Eastern Texas District Court VirnetX I verdict and VirnetX’s appeals from the PTO invalidity proceedings. On January 15, 2019, the Federal Circui</w:t>
      </w:r>
      <w:r>
        <w:rPr>
          <w:rFonts w:ascii="Helvetica" w:eastAsia="Helvetica" w:hAnsi="Helvetica" w:cs="Helvetica"/>
          <w:sz w:val="18"/>
          <w:szCs w:val="18"/>
        </w:rPr>
        <w:t>t affirmed the VirnetX I verdict, which the Company intends to further appeal. On July 8, 2019, the Federal Circuit remanded one of VirnetX’s two appeals of the PTO’s invalidity decisions back to the PTO for further proceedings. On August 1, 2019, the Fede</w:t>
      </w:r>
      <w:r>
        <w:rPr>
          <w:rFonts w:ascii="Helvetica" w:eastAsia="Helvetica" w:hAnsi="Helvetica" w:cs="Helvetica"/>
          <w:sz w:val="18"/>
          <w:szCs w:val="18"/>
        </w:rPr>
        <w:t>ral Circuit affirmed-in-part, vacated-in-part, and remanded back to the PTO portions of VirnetX’s second appeal. The Company has accrued its best estimate for the ultimate resolution of these matters.</w:t>
      </w:r>
    </w:p>
    <w:p w14:paraId="2A73B91E" w14:textId="77777777" w:rsidR="00FA5565" w:rsidRDefault="00FA5565">
      <w:pPr>
        <w:rPr>
          <w:rFonts w:ascii="Times New Roman" w:hAnsi="Times New Roman"/>
          <w:sz w:val="20"/>
          <w:szCs w:val="20"/>
        </w:rPr>
      </w:pPr>
    </w:p>
    <w:p w14:paraId="2A73B91F"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52</w:t>
      </w:r>
    </w:p>
    <w:p w14:paraId="2A73B920" w14:textId="77777777" w:rsidR="00FA5565" w:rsidRDefault="00D804D1">
      <w:r>
        <w:rPr>
          <w:rFonts w:ascii="Times New Roman" w:hAnsi="Times New Roman"/>
          <w:sz w:val="16"/>
          <w:szCs w:val="16"/>
        </w:rPr>
        <w:pict w14:anchorId="2A73C0D0">
          <v:rect id="_x0000_i1078" style="width:415.3pt;height:1.5pt" o:hralign="center" o:hrstd="t" o:hr="t" fillcolor="#a0a0a0" stroked="f"/>
        </w:pict>
      </w:r>
    </w:p>
    <w:p w14:paraId="2A73B921" w14:textId="77777777" w:rsidR="00FA5565" w:rsidRDefault="00FA5565">
      <w:pPr>
        <w:rPr>
          <w:rFonts w:ascii="Times New Roman" w:hAnsi="Times New Roman"/>
          <w:sz w:val="20"/>
          <w:szCs w:val="20"/>
        </w:rPr>
      </w:pPr>
    </w:p>
    <w:p w14:paraId="2A73B922"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Qualcomm</w:t>
      </w:r>
    </w:p>
    <w:p w14:paraId="2A73B92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On Januar</w:t>
      </w:r>
      <w:r>
        <w:rPr>
          <w:rFonts w:ascii="Helvetica" w:eastAsia="Helvetica" w:hAnsi="Helvetica" w:cs="Helvetica"/>
          <w:sz w:val="18"/>
          <w:szCs w:val="18"/>
        </w:rPr>
        <w:t>y 20, 2017, the Company filed a lawsuit against Qualcomm Incorporated and affiliated parties (“Qualcomm”) in the U.S. District Court for the Southern District of California seeking, among other things, to enjoin Qualcomm from requiring the Company to pay r</w:t>
      </w:r>
      <w:r>
        <w:rPr>
          <w:rFonts w:ascii="Helvetica" w:eastAsia="Helvetica" w:hAnsi="Helvetica" w:cs="Helvetica"/>
          <w:sz w:val="18"/>
          <w:szCs w:val="18"/>
        </w:rPr>
        <w:t>oyalties at the rate demanded by Qualcomm. No Qualcomm-related royalty payments had been remitted by the Company to its contract manufacturers since the beginning of the second quarter of 2017. Following the Company’s lawsuit, Qualcomm filed patent infring</w:t>
      </w:r>
      <w:r>
        <w:rPr>
          <w:rFonts w:ascii="Helvetica" w:eastAsia="Helvetica" w:hAnsi="Helvetica" w:cs="Helvetica"/>
          <w:sz w:val="18"/>
          <w:szCs w:val="18"/>
        </w:rPr>
        <w:t>ement suits against the Company and its affiliates in the U.S. and various international jurisdictions, some of which sought to enjoin the sale of certain of the Company’s products in particular countries.</w:t>
      </w:r>
    </w:p>
    <w:p w14:paraId="2A73B92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On April 16, 2019, the Company and Qualcomm reache</w:t>
      </w:r>
      <w:r>
        <w:rPr>
          <w:rFonts w:ascii="Helvetica" w:eastAsia="Helvetica" w:hAnsi="Helvetica" w:cs="Helvetica"/>
          <w:sz w:val="18"/>
          <w:szCs w:val="18"/>
        </w:rPr>
        <w:t>d a settlement agreement to dismiss all litigation between the two companies worldwide. The companies also reached a multi-year license agreement and a multi-year supply agreement. Under the terms of the settlement agreement, Apple made a payment to Qualco</w:t>
      </w:r>
      <w:r>
        <w:rPr>
          <w:rFonts w:ascii="Helvetica" w:eastAsia="Helvetica" w:hAnsi="Helvetica" w:cs="Helvetica"/>
          <w:sz w:val="18"/>
          <w:szCs w:val="18"/>
        </w:rPr>
        <w:t>mm to, among other things, resolve disputes over the withheld royalty payments.</w:t>
      </w:r>
    </w:p>
    <w:p w14:paraId="2A73B925"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iOS Performance Management Cases</w:t>
      </w:r>
    </w:p>
    <w:p w14:paraId="2A73B92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Various civil litigation matters have been filed in state and federal courts in the U.S. and in various international jurisdictions alleging vi</w:t>
      </w:r>
      <w:r>
        <w:rPr>
          <w:rFonts w:ascii="Helvetica" w:eastAsia="Helvetica" w:hAnsi="Helvetica" w:cs="Helvetica"/>
          <w:sz w:val="18"/>
          <w:szCs w:val="18"/>
        </w:rPr>
        <w:t>olation of consumer protection laws, fraud, computer intrusion and other causes of action related to the Company’s performance management feature used in its iPhone operating systems, introduced to certain iPhones in iOS updates 10.2.1 and 11.2. The claims</w:t>
      </w:r>
      <w:r>
        <w:rPr>
          <w:rFonts w:ascii="Helvetica" w:eastAsia="Helvetica" w:hAnsi="Helvetica" w:cs="Helvetica"/>
          <w:sz w:val="18"/>
          <w:szCs w:val="18"/>
        </w:rPr>
        <w:t xml:space="preserve"> seek monetary damages and other non-monetary relief. On April 5, 2018, several U.S. federal actions were consolidated through a Multidistrict Litigation process into a single action in the U.S. District Court for the Northern District of California. In ad</w:t>
      </w:r>
      <w:r>
        <w:rPr>
          <w:rFonts w:ascii="Helvetica" w:eastAsia="Helvetica" w:hAnsi="Helvetica" w:cs="Helvetica"/>
          <w:sz w:val="18"/>
          <w:szCs w:val="18"/>
        </w:rPr>
        <w:t>dition to civil litigation, the Company is also responding to governmental investigations and requests for information relating to the performance management feature. The Company believes that its iPhones were not defective, that the performance management</w:t>
      </w:r>
      <w:r>
        <w:rPr>
          <w:rFonts w:ascii="Helvetica" w:eastAsia="Helvetica" w:hAnsi="Helvetica" w:cs="Helvetica"/>
          <w:sz w:val="18"/>
          <w:szCs w:val="18"/>
        </w:rPr>
        <w:t xml:space="preserve"> feature introduced with iOS updates 10.2.1 and 11.2 was intended to, and did, improve customers’ user experience, and that the Company did not make any misleading statements or fail to disclose any material information. The Company has accrued its best es</w:t>
      </w:r>
      <w:r>
        <w:rPr>
          <w:rFonts w:ascii="Helvetica" w:eastAsia="Helvetica" w:hAnsi="Helvetica" w:cs="Helvetica"/>
          <w:sz w:val="18"/>
          <w:szCs w:val="18"/>
        </w:rPr>
        <w:t>timate for the ultimate resolution of these matters.</w:t>
      </w:r>
    </w:p>
    <w:p w14:paraId="2A73B927" w14:textId="77777777" w:rsidR="00FA5565" w:rsidRDefault="00D804D1">
      <w:pPr>
        <w:spacing w:line="288" w:lineRule="auto"/>
        <w:jc w:val="both"/>
        <w:rPr>
          <w:rFonts w:ascii="Times New Roman" w:hAnsi="Times New Roman"/>
          <w:sz w:val="18"/>
          <w:szCs w:val="18"/>
        </w:rPr>
      </w:pPr>
      <w:r>
        <w:rPr>
          <w:rFonts w:ascii="Helvetica" w:eastAsia="Helvetica" w:hAnsi="Helvetica" w:cs="Helvetica"/>
          <w:i/>
          <w:iCs/>
          <w:sz w:val="18"/>
          <w:szCs w:val="18"/>
        </w:rPr>
        <w:t>French Competition Authority</w:t>
      </w:r>
    </w:p>
    <w:p w14:paraId="2A73B92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In June 2019, the French Competition Authority (“FCA”) issued a report alleging that aspects of the Company’s sales and distribution practices in France violate French </w:t>
      </w:r>
      <w:r>
        <w:rPr>
          <w:rFonts w:ascii="Helvetica" w:eastAsia="Helvetica" w:hAnsi="Helvetica" w:cs="Helvetica"/>
          <w:sz w:val="18"/>
          <w:szCs w:val="18"/>
        </w:rPr>
        <w:t>competition law. The Company vigorously disagrees with the allegations, and a hearing of arguments was held before the FCA on October 15, 2019. The Company is awaiting the decision of the FCA, which may include a fine.</w:t>
      </w:r>
    </w:p>
    <w:p w14:paraId="2A73B92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Note 11 – Segment Information and Geo</w:t>
      </w:r>
      <w:r>
        <w:rPr>
          <w:rFonts w:ascii="Helvetica" w:eastAsia="Helvetica" w:hAnsi="Helvetica" w:cs="Helvetica"/>
          <w:b/>
          <w:bCs/>
          <w:sz w:val="18"/>
          <w:szCs w:val="18"/>
        </w:rPr>
        <w:t>graphic Data</w:t>
      </w:r>
    </w:p>
    <w:p w14:paraId="2A73B92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reports segment information based on the “management” approach. The management approach designates the internal reporting used by management for making decisions and assessing performance as the source of the Company’s reportable s</w:t>
      </w:r>
      <w:r>
        <w:rPr>
          <w:rFonts w:ascii="Helvetica" w:eastAsia="Helvetica" w:hAnsi="Helvetica" w:cs="Helvetica"/>
          <w:sz w:val="18"/>
          <w:szCs w:val="18"/>
        </w:rPr>
        <w:t>egments.</w:t>
      </w:r>
    </w:p>
    <w:p w14:paraId="2A73B92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manages its business primarily on a geographic basis. The Company’s reportable segments consist of the Americas, Europe, Greater China, Japan and Rest of Asia Pacific. Americas includes both North and South America. Europe includes Eur</w:t>
      </w:r>
      <w:r>
        <w:rPr>
          <w:rFonts w:ascii="Helvetica" w:eastAsia="Helvetica" w:hAnsi="Helvetica" w:cs="Helvetica"/>
          <w:sz w:val="18"/>
          <w:szCs w:val="18"/>
        </w:rPr>
        <w:t>opean countries, as well as India, the Middle East and Africa. Greater China includes China, Hong Kong and Taiwan. Rest of Asia Pacific includes Australia and those Asian countries not included in the Company’s other reportable segments. Although the repor</w:t>
      </w:r>
      <w:r>
        <w:rPr>
          <w:rFonts w:ascii="Helvetica" w:eastAsia="Helvetica" w:hAnsi="Helvetica" w:cs="Helvetica"/>
          <w:sz w:val="18"/>
          <w:szCs w:val="18"/>
        </w:rPr>
        <w:t>table segments provide similar hardware and software products and similar services, each one is managed separately to better align with the location of the Company’s customers and distribution partners and the unique market dynamics of each geographic regi</w:t>
      </w:r>
      <w:r>
        <w:rPr>
          <w:rFonts w:ascii="Helvetica" w:eastAsia="Helvetica" w:hAnsi="Helvetica" w:cs="Helvetica"/>
          <w:sz w:val="18"/>
          <w:szCs w:val="18"/>
        </w:rPr>
        <w:t>on. The accounting policies of the various segments are the same as those described in Note 1, “Summary of Significant Accounting Policies.”</w:t>
      </w:r>
    </w:p>
    <w:p w14:paraId="2A73B92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 evaluates the performance of its reportable segments based on net sales and operating income. Net sales</w:t>
      </w:r>
      <w:r>
        <w:rPr>
          <w:rFonts w:ascii="Helvetica" w:eastAsia="Helvetica" w:hAnsi="Helvetica" w:cs="Helvetica"/>
          <w:sz w:val="18"/>
          <w:szCs w:val="18"/>
        </w:rPr>
        <w:t xml:space="preserve"> for geographic segments are generally based on the location of customers and sales through the Company’s retail stores located in those geographic locations. Operating income for each segment includes net sales to third parties, related cost of sales and </w:t>
      </w:r>
      <w:r>
        <w:rPr>
          <w:rFonts w:ascii="Helvetica" w:eastAsia="Helvetica" w:hAnsi="Helvetica" w:cs="Helvetica"/>
          <w:sz w:val="18"/>
          <w:szCs w:val="18"/>
        </w:rPr>
        <w:t xml:space="preserve">operating expenses directly attributable to the segment. Advertising expenses are generally included in the geographic segment in which the expenditures are incurred. Operating income for each segment excludes other income and expense and certain expenses </w:t>
      </w:r>
      <w:r>
        <w:rPr>
          <w:rFonts w:ascii="Helvetica" w:eastAsia="Helvetica" w:hAnsi="Helvetica" w:cs="Helvetica"/>
          <w:sz w:val="18"/>
          <w:szCs w:val="18"/>
        </w:rPr>
        <w:t>managed outside the reportable segments. Costs excluded from segment operating income include various corporate expenses such as research and development, corporate marketing expenses, certain share-based compensation expenses, income taxes, various nonrec</w:t>
      </w:r>
      <w:r>
        <w:rPr>
          <w:rFonts w:ascii="Helvetica" w:eastAsia="Helvetica" w:hAnsi="Helvetica" w:cs="Helvetica"/>
          <w:sz w:val="18"/>
          <w:szCs w:val="18"/>
        </w:rPr>
        <w:t>urring charges and other separately managed general and administrative costs. The Company does not include intercompany transfers between segments for management reporting purposes.</w:t>
      </w:r>
    </w:p>
    <w:p w14:paraId="2A73B92D" w14:textId="77777777" w:rsidR="00FA5565" w:rsidRDefault="00FA5565">
      <w:pPr>
        <w:rPr>
          <w:rFonts w:ascii="Times New Roman" w:hAnsi="Times New Roman"/>
          <w:sz w:val="20"/>
          <w:szCs w:val="20"/>
        </w:rPr>
      </w:pPr>
    </w:p>
    <w:p w14:paraId="2A73B92E"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53</w:t>
      </w:r>
    </w:p>
    <w:p w14:paraId="2A73B92F" w14:textId="77777777" w:rsidR="00FA5565" w:rsidRDefault="00D804D1">
      <w:r>
        <w:rPr>
          <w:rFonts w:ascii="Times New Roman" w:hAnsi="Times New Roman"/>
          <w:sz w:val="16"/>
          <w:szCs w:val="16"/>
        </w:rPr>
        <w:pict w14:anchorId="2A73C0D1">
          <v:rect id="_x0000_i1079" style="width:415.3pt;height:1.5pt" o:hralign="center" o:hrstd="t" o:hr="t" fillcolor="#a0a0a0" stroked="f"/>
        </w:pict>
      </w:r>
    </w:p>
    <w:p w14:paraId="2A73B930" w14:textId="77777777" w:rsidR="00FA5565" w:rsidRDefault="00FA5565">
      <w:pPr>
        <w:rPr>
          <w:rFonts w:ascii="Times New Roman" w:hAnsi="Times New Roman"/>
          <w:sz w:val="20"/>
          <w:szCs w:val="20"/>
        </w:rPr>
      </w:pPr>
    </w:p>
    <w:p w14:paraId="2A73B93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 shows information</w:t>
      </w:r>
      <w:r>
        <w:rPr>
          <w:rFonts w:ascii="Helvetica" w:eastAsia="Helvetica" w:hAnsi="Helvetica" w:cs="Helvetica"/>
          <w:sz w:val="18"/>
          <w:szCs w:val="18"/>
        </w:rPr>
        <w:t xml:space="preserve"> by reportable segment for 2019, 2018 and 2017 (in millions):</w:t>
      </w:r>
    </w:p>
    <w:tbl>
      <w:tblPr>
        <w:tblW w:w="5000" w:type="pct"/>
        <w:tblCellMar>
          <w:left w:w="0" w:type="dxa"/>
          <w:right w:w="0" w:type="dxa"/>
        </w:tblCellMar>
        <w:tblLook w:val="04A0" w:firstRow="1" w:lastRow="0" w:firstColumn="1" w:lastColumn="0" w:noHBand="0" w:noVBand="1"/>
      </w:tblPr>
      <w:tblGrid>
        <w:gridCol w:w="4862"/>
        <w:gridCol w:w="141"/>
        <w:gridCol w:w="875"/>
        <w:gridCol w:w="44"/>
        <w:gridCol w:w="130"/>
        <w:gridCol w:w="141"/>
        <w:gridCol w:w="876"/>
        <w:gridCol w:w="45"/>
        <w:gridCol w:w="130"/>
        <w:gridCol w:w="141"/>
        <w:gridCol w:w="876"/>
        <w:gridCol w:w="45"/>
      </w:tblGrid>
      <w:tr w:rsidR="00FA5565" w14:paraId="2A73B933" w14:textId="77777777">
        <w:tc>
          <w:tcPr>
            <w:tcW w:w="0" w:type="auto"/>
            <w:gridSpan w:val="12"/>
            <w:shd w:val="clear" w:color="auto" w:fill="auto"/>
            <w:vAlign w:val="center"/>
          </w:tcPr>
          <w:p w14:paraId="2A73B932" w14:textId="77777777" w:rsidR="00FA5565" w:rsidRDefault="00FA5565">
            <w:pPr>
              <w:rPr>
                <w:rFonts w:ascii="Times New Roman" w:hAnsi="Times New Roman"/>
                <w:sz w:val="20"/>
                <w:szCs w:val="20"/>
              </w:rPr>
            </w:pPr>
          </w:p>
        </w:tc>
      </w:tr>
      <w:tr w:rsidR="00FA5565" w14:paraId="2A73B940" w14:textId="77777777">
        <w:tc>
          <w:tcPr>
            <w:tcW w:w="2950" w:type="pct"/>
            <w:shd w:val="clear" w:color="auto" w:fill="auto"/>
            <w:vAlign w:val="center"/>
          </w:tcPr>
          <w:p w14:paraId="2A73B934" w14:textId="77777777" w:rsidR="00FA5565" w:rsidRDefault="00FA5565">
            <w:pPr>
              <w:rPr>
                <w:rFonts w:ascii="Times New Roman" w:hAnsi="Times New Roman"/>
                <w:sz w:val="20"/>
                <w:szCs w:val="20"/>
              </w:rPr>
            </w:pPr>
          </w:p>
        </w:tc>
        <w:tc>
          <w:tcPr>
            <w:tcW w:w="50" w:type="pct"/>
            <w:shd w:val="clear" w:color="auto" w:fill="auto"/>
            <w:vAlign w:val="center"/>
          </w:tcPr>
          <w:p w14:paraId="2A73B935" w14:textId="77777777" w:rsidR="00FA5565" w:rsidRDefault="00FA5565">
            <w:pPr>
              <w:rPr>
                <w:rFonts w:ascii="Times New Roman" w:hAnsi="Times New Roman"/>
                <w:sz w:val="20"/>
                <w:szCs w:val="20"/>
              </w:rPr>
            </w:pPr>
          </w:p>
        </w:tc>
        <w:tc>
          <w:tcPr>
            <w:tcW w:w="550" w:type="pct"/>
            <w:shd w:val="clear" w:color="auto" w:fill="auto"/>
            <w:vAlign w:val="center"/>
          </w:tcPr>
          <w:p w14:paraId="2A73B936" w14:textId="77777777" w:rsidR="00FA5565" w:rsidRDefault="00FA5565">
            <w:pPr>
              <w:rPr>
                <w:rFonts w:ascii="Times New Roman" w:hAnsi="Times New Roman"/>
                <w:sz w:val="20"/>
                <w:szCs w:val="20"/>
              </w:rPr>
            </w:pPr>
          </w:p>
        </w:tc>
        <w:tc>
          <w:tcPr>
            <w:tcW w:w="50" w:type="pct"/>
            <w:shd w:val="clear" w:color="auto" w:fill="auto"/>
            <w:vAlign w:val="center"/>
          </w:tcPr>
          <w:p w14:paraId="2A73B937" w14:textId="77777777" w:rsidR="00FA5565" w:rsidRDefault="00FA5565">
            <w:pPr>
              <w:rPr>
                <w:rFonts w:ascii="Times New Roman" w:hAnsi="Times New Roman"/>
                <w:sz w:val="20"/>
                <w:szCs w:val="20"/>
              </w:rPr>
            </w:pPr>
          </w:p>
        </w:tc>
        <w:tc>
          <w:tcPr>
            <w:tcW w:w="50" w:type="pct"/>
            <w:shd w:val="clear" w:color="auto" w:fill="auto"/>
            <w:vAlign w:val="center"/>
          </w:tcPr>
          <w:p w14:paraId="2A73B938" w14:textId="77777777" w:rsidR="00FA5565" w:rsidRDefault="00FA5565">
            <w:pPr>
              <w:rPr>
                <w:rFonts w:ascii="Times New Roman" w:hAnsi="Times New Roman"/>
                <w:sz w:val="20"/>
                <w:szCs w:val="20"/>
              </w:rPr>
            </w:pPr>
          </w:p>
        </w:tc>
        <w:tc>
          <w:tcPr>
            <w:tcW w:w="50" w:type="pct"/>
            <w:shd w:val="clear" w:color="auto" w:fill="auto"/>
            <w:vAlign w:val="center"/>
          </w:tcPr>
          <w:p w14:paraId="2A73B939" w14:textId="77777777" w:rsidR="00FA5565" w:rsidRDefault="00FA5565">
            <w:pPr>
              <w:rPr>
                <w:rFonts w:ascii="Times New Roman" w:hAnsi="Times New Roman"/>
                <w:sz w:val="20"/>
                <w:szCs w:val="20"/>
              </w:rPr>
            </w:pPr>
          </w:p>
        </w:tc>
        <w:tc>
          <w:tcPr>
            <w:tcW w:w="550" w:type="pct"/>
            <w:shd w:val="clear" w:color="auto" w:fill="auto"/>
            <w:vAlign w:val="center"/>
          </w:tcPr>
          <w:p w14:paraId="2A73B93A" w14:textId="77777777" w:rsidR="00FA5565" w:rsidRDefault="00FA5565">
            <w:pPr>
              <w:rPr>
                <w:rFonts w:ascii="Times New Roman" w:hAnsi="Times New Roman"/>
                <w:sz w:val="20"/>
                <w:szCs w:val="20"/>
              </w:rPr>
            </w:pPr>
          </w:p>
        </w:tc>
        <w:tc>
          <w:tcPr>
            <w:tcW w:w="50" w:type="pct"/>
            <w:shd w:val="clear" w:color="auto" w:fill="auto"/>
            <w:vAlign w:val="center"/>
          </w:tcPr>
          <w:p w14:paraId="2A73B93B" w14:textId="77777777" w:rsidR="00FA5565" w:rsidRDefault="00FA5565">
            <w:pPr>
              <w:rPr>
                <w:rFonts w:ascii="Times New Roman" w:hAnsi="Times New Roman"/>
                <w:sz w:val="20"/>
                <w:szCs w:val="20"/>
              </w:rPr>
            </w:pPr>
          </w:p>
        </w:tc>
        <w:tc>
          <w:tcPr>
            <w:tcW w:w="50" w:type="pct"/>
            <w:shd w:val="clear" w:color="auto" w:fill="auto"/>
            <w:vAlign w:val="center"/>
          </w:tcPr>
          <w:p w14:paraId="2A73B93C" w14:textId="77777777" w:rsidR="00FA5565" w:rsidRDefault="00FA5565">
            <w:pPr>
              <w:rPr>
                <w:rFonts w:ascii="Times New Roman" w:hAnsi="Times New Roman"/>
                <w:sz w:val="20"/>
                <w:szCs w:val="20"/>
              </w:rPr>
            </w:pPr>
          </w:p>
        </w:tc>
        <w:tc>
          <w:tcPr>
            <w:tcW w:w="50" w:type="pct"/>
            <w:shd w:val="clear" w:color="auto" w:fill="auto"/>
            <w:vAlign w:val="center"/>
          </w:tcPr>
          <w:p w14:paraId="2A73B93D" w14:textId="77777777" w:rsidR="00FA5565" w:rsidRDefault="00FA5565">
            <w:pPr>
              <w:rPr>
                <w:rFonts w:ascii="Times New Roman" w:hAnsi="Times New Roman"/>
                <w:sz w:val="20"/>
                <w:szCs w:val="20"/>
              </w:rPr>
            </w:pPr>
          </w:p>
        </w:tc>
        <w:tc>
          <w:tcPr>
            <w:tcW w:w="550" w:type="pct"/>
            <w:shd w:val="clear" w:color="auto" w:fill="auto"/>
            <w:vAlign w:val="center"/>
          </w:tcPr>
          <w:p w14:paraId="2A73B93E" w14:textId="77777777" w:rsidR="00FA5565" w:rsidRDefault="00FA5565">
            <w:pPr>
              <w:rPr>
                <w:rFonts w:ascii="Times New Roman" w:hAnsi="Times New Roman"/>
                <w:sz w:val="20"/>
                <w:szCs w:val="20"/>
              </w:rPr>
            </w:pPr>
          </w:p>
        </w:tc>
        <w:tc>
          <w:tcPr>
            <w:tcW w:w="50" w:type="pct"/>
            <w:shd w:val="clear" w:color="auto" w:fill="auto"/>
            <w:vAlign w:val="center"/>
          </w:tcPr>
          <w:p w14:paraId="2A73B93F" w14:textId="77777777" w:rsidR="00FA5565" w:rsidRDefault="00FA5565">
            <w:pPr>
              <w:rPr>
                <w:rFonts w:ascii="Times New Roman" w:hAnsi="Times New Roman"/>
                <w:sz w:val="20"/>
                <w:szCs w:val="20"/>
              </w:rPr>
            </w:pPr>
          </w:p>
        </w:tc>
      </w:tr>
      <w:tr w:rsidR="00FA5565" w14:paraId="2A73B947" w14:textId="77777777">
        <w:tc>
          <w:tcPr>
            <w:tcW w:w="0" w:type="auto"/>
            <w:shd w:val="clear" w:color="auto" w:fill="auto"/>
            <w:tcMar>
              <w:top w:w="40" w:type="dxa"/>
              <w:left w:w="40" w:type="dxa"/>
              <w:bottom w:w="40" w:type="dxa"/>
              <w:right w:w="40" w:type="dxa"/>
            </w:tcMar>
            <w:vAlign w:val="bottom"/>
          </w:tcPr>
          <w:p w14:paraId="2A73B94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94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9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94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9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94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94E" w14:textId="77777777">
        <w:tc>
          <w:tcPr>
            <w:tcW w:w="0" w:type="auto"/>
            <w:shd w:val="clear" w:color="auto" w:fill="auto"/>
            <w:tcMar>
              <w:top w:w="40" w:type="dxa"/>
              <w:left w:w="40" w:type="dxa"/>
              <w:bottom w:w="40" w:type="dxa"/>
              <w:right w:w="40" w:type="dxa"/>
            </w:tcMar>
          </w:tcPr>
          <w:p w14:paraId="2A73B94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Americas:</w:t>
            </w:r>
          </w:p>
        </w:tc>
        <w:tc>
          <w:tcPr>
            <w:tcW w:w="0" w:type="auto"/>
            <w:gridSpan w:val="3"/>
            <w:shd w:val="clear" w:color="auto" w:fill="auto"/>
            <w:tcMar>
              <w:top w:w="40" w:type="dxa"/>
              <w:left w:w="40" w:type="dxa"/>
              <w:bottom w:w="40" w:type="dxa"/>
              <w:right w:w="40" w:type="dxa"/>
            </w:tcMar>
            <w:vAlign w:val="bottom"/>
          </w:tcPr>
          <w:p w14:paraId="2A73B9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94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94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94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9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95B" w14:textId="77777777">
        <w:tc>
          <w:tcPr>
            <w:tcW w:w="0" w:type="auto"/>
            <w:shd w:val="clear" w:color="auto" w:fill="EFEFEF"/>
            <w:tcMar>
              <w:top w:w="40" w:type="dxa"/>
              <w:left w:w="560" w:type="dxa"/>
              <w:bottom w:w="40" w:type="dxa"/>
              <w:right w:w="40" w:type="dxa"/>
            </w:tcMar>
          </w:tcPr>
          <w:p w14:paraId="2A73B94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sales</w:t>
            </w:r>
          </w:p>
        </w:tc>
        <w:tc>
          <w:tcPr>
            <w:tcW w:w="0" w:type="auto"/>
            <w:shd w:val="clear" w:color="auto" w:fill="EFEFEF"/>
            <w:tcMar>
              <w:top w:w="40" w:type="dxa"/>
              <w:left w:w="40" w:type="dxa"/>
              <w:bottom w:w="40" w:type="dxa"/>
            </w:tcMar>
            <w:vAlign w:val="bottom"/>
          </w:tcPr>
          <w:p w14:paraId="2A73B95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5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116,914</w:t>
            </w:r>
          </w:p>
        </w:tc>
        <w:tc>
          <w:tcPr>
            <w:tcW w:w="0" w:type="auto"/>
            <w:shd w:val="clear" w:color="auto" w:fill="EFEFEF"/>
            <w:vAlign w:val="bottom"/>
          </w:tcPr>
          <w:p w14:paraId="2A73B95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95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95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5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112,093</w:t>
            </w:r>
          </w:p>
        </w:tc>
        <w:tc>
          <w:tcPr>
            <w:tcW w:w="0" w:type="auto"/>
            <w:shd w:val="clear" w:color="auto" w:fill="EFEFEF"/>
            <w:vAlign w:val="bottom"/>
          </w:tcPr>
          <w:p w14:paraId="2A73B95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9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95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5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96,600</w:t>
            </w:r>
          </w:p>
        </w:tc>
        <w:tc>
          <w:tcPr>
            <w:tcW w:w="0" w:type="auto"/>
            <w:shd w:val="clear" w:color="auto" w:fill="EFEFEF"/>
            <w:vAlign w:val="bottom"/>
          </w:tcPr>
          <w:p w14:paraId="2A73B95A" w14:textId="77777777" w:rsidR="00FA5565" w:rsidRDefault="00FA5565">
            <w:pPr>
              <w:textAlignment w:val="bottom"/>
              <w:rPr>
                <w:rFonts w:ascii="Times New Roman" w:hAnsi="Times New Roman"/>
                <w:sz w:val="20"/>
                <w:szCs w:val="20"/>
              </w:rPr>
            </w:pPr>
          </w:p>
        </w:tc>
      </w:tr>
      <w:tr w:rsidR="00FA5565" w14:paraId="2A73B968" w14:textId="77777777">
        <w:tc>
          <w:tcPr>
            <w:tcW w:w="0" w:type="auto"/>
            <w:shd w:val="clear" w:color="auto" w:fill="auto"/>
            <w:tcMar>
              <w:top w:w="40" w:type="dxa"/>
              <w:left w:w="560" w:type="dxa"/>
              <w:bottom w:w="40" w:type="dxa"/>
              <w:right w:w="40" w:type="dxa"/>
            </w:tcMar>
          </w:tcPr>
          <w:p w14:paraId="2A73B95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Operating income</w:t>
            </w:r>
          </w:p>
        </w:tc>
        <w:tc>
          <w:tcPr>
            <w:tcW w:w="0" w:type="auto"/>
            <w:shd w:val="clear" w:color="auto" w:fill="auto"/>
            <w:tcMar>
              <w:top w:w="40" w:type="dxa"/>
              <w:left w:w="40" w:type="dxa"/>
              <w:bottom w:w="40" w:type="dxa"/>
            </w:tcMar>
            <w:vAlign w:val="bottom"/>
          </w:tcPr>
          <w:p w14:paraId="2A73B95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5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35,099</w:t>
            </w:r>
          </w:p>
        </w:tc>
        <w:tc>
          <w:tcPr>
            <w:tcW w:w="0" w:type="auto"/>
            <w:shd w:val="clear" w:color="auto" w:fill="auto"/>
            <w:vAlign w:val="bottom"/>
          </w:tcPr>
          <w:p w14:paraId="2A73B95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9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96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6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34,864</w:t>
            </w:r>
          </w:p>
        </w:tc>
        <w:tc>
          <w:tcPr>
            <w:tcW w:w="0" w:type="auto"/>
            <w:shd w:val="clear" w:color="auto" w:fill="auto"/>
            <w:vAlign w:val="bottom"/>
          </w:tcPr>
          <w:p w14:paraId="2A73B96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9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96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6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30,684</w:t>
            </w:r>
          </w:p>
        </w:tc>
        <w:tc>
          <w:tcPr>
            <w:tcW w:w="0" w:type="auto"/>
            <w:shd w:val="clear" w:color="auto" w:fill="auto"/>
            <w:vAlign w:val="bottom"/>
          </w:tcPr>
          <w:p w14:paraId="2A73B967" w14:textId="77777777" w:rsidR="00FA5565" w:rsidRDefault="00FA5565">
            <w:pPr>
              <w:textAlignment w:val="bottom"/>
              <w:rPr>
                <w:rFonts w:ascii="Times New Roman" w:hAnsi="Times New Roman"/>
                <w:sz w:val="20"/>
                <w:szCs w:val="20"/>
              </w:rPr>
            </w:pPr>
          </w:p>
        </w:tc>
      </w:tr>
      <w:tr w:rsidR="00FA5565" w14:paraId="2A73B96F" w14:textId="77777777">
        <w:tc>
          <w:tcPr>
            <w:tcW w:w="0" w:type="auto"/>
            <w:shd w:val="clear" w:color="auto" w:fill="EFEFEF"/>
            <w:tcMar>
              <w:top w:w="40" w:type="dxa"/>
              <w:left w:w="40" w:type="dxa"/>
              <w:bottom w:w="40" w:type="dxa"/>
              <w:right w:w="40" w:type="dxa"/>
            </w:tcMar>
            <w:vAlign w:val="bottom"/>
          </w:tcPr>
          <w:p w14:paraId="2A73B96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9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6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9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6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976" w14:textId="77777777">
        <w:tc>
          <w:tcPr>
            <w:tcW w:w="0" w:type="auto"/>
            <w:shd w:val="clear" w:color="auto" w:fill="auto"/>
            <w:tcMar>
              <w:top w:w="40" w:type="dxa"/>
              <w:left w:w="40" w:type="dxa"/>
              <w:bottom w:w="40" w:type="dxa"/>
              <w:right w:w="40" w:type="dxa"/>
            </w:tcMar>
          </w:tcPr>
          <w:p w14:paraId="2A73B97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Europe:</w:t>
            </w:r>
          </w:p>
        </w:tc>
        <w:tc>
          <w:tcPr>
            <w:tcW w:w="0" w:type="auto"/>
            <w:gridSpan w:val="3"/>
            <w:shd w:val="clear" w:color="auto" w:fill="auto"/>
            <w:tcMar>
              <w:top w:w="40" w:type="dxa"/>
              <w:left w:w="40" w:type="dxa"/>
              <w:bottom w:w="40" w:type="dxa"/>
              <w:right w:w="40" w:type="dxa"/>
            </w:tcMar>
            <w:vAlign w:val="bottom"/>
          </w:tcPr>
          <w:p w14:paraId="2A73B97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97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97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9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97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983" w14:textId="77777777">
        <w:tc>
          <w:tcPr>
            <w:tcW w:w="0" w:type="auto"/>
            <w:shd w:val="clear" w:color="auto" w:fill="EFEFEF"/>
            <w:tcMar>
              <w:top w:w="40" w:type="dxa"/>
              <w:left w:w="560" w:type="dxa"/>
              <w:bottom w:w="40" w:type="dxa"/>
              <w:right w:w="40" w:type="dxa"/>
            </w:tcMar>
          </w:tcPr>
          <w:p w14:paraId="2A73B97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sales</w:t>
            </w:r>
          </w:p>
        </w:tc>
        <w:tc>
          <w:tcPr>
            <w:tcW w:w="0" w:type="auto"/>
            <w:shd w:val="clear" w:color="auto" w:fill="EFEFEF"/>
            <w:tcMar>
              <w:top w:w="40" w:type="dxa"/>
              <w:left w:w="40" w:type="dxa"/>
              <w:bottom w:w="40" w:type="dxa"/>
            </w:tcMar>
            <w:vAlign w:val="bottom"/>
          </w:tcPr>
          <w:p w14:paraId="2A73B97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7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60,288</w:t>
            </w:r>
          </w:p>
        </w:tc>
        <w:tc>
          <w:tcPr>
            <w:tcW w:w="0" w:type="auto"/>
            <w:shd w:val="clear" w:color="auto" w:fill="EFEFEF"/>
            <w:vAlign w:val="bottom"/>
          </w:tcPr>
          <w:p w14:paraId="2A73B97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97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97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7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62,420</w:t>
            </w:r>
          </w:p>
        </w:tc>
        <w:tc>
          <w:tcPr>
            <w:tcW w:w="0" w:type="auto"/>
            <w:shd w:val="clear" w:color="auto" w:fill="EFEFEF"/>
            <w:vAlign w:val="bottom"/>
          </w:tcPr>
          <w:p w14:paraId="2A73B97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97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98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8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54,938</w:t>
            </w:r>
          </w:p>
        </w:tc>
        <w:tc>
          <w:tcPr>
            <w:tcW w:w="0" w:type="auto"/>
            <w:shd w:val="clear" w:color="auto" w:fill="EFEFEF"/>
            <w:vAlign w:val="bottom"/>
          </w:tcPr>
          <w:p w14:paraId="2A73B982" w14:textId="77777777" w:rsidR="00FA5565" w:rsidRDefault="00FA5565">
            <w:pPr>
              <w:textAlignment w:val="bottom"/>
              <w:rPr>
                <w:rFonts w:ascii="Times New Roman" w:hAnsi="Times New Roman"/>
                <w:sz w:val="20"/>
                <w:szCs w:val="20"/>
              </w:rPr>
            </w:pPr>
          </w:p>
        </w:tc>
      </w:tr>
      <w:tr w:rsidR="00FA5565" w14:paraId="2A73B990" w14:textId="77777777">
        <w:tc>
          <w:tcPr>
            <w:tcW w:w="0" w:type="auto"/>
            <w:shd w:val="clear" w:color="auto" w:fill="auto"/>
            <w:tcMar>
              <w:top w:w="40" w:type="dxa"/>
              <w:left w:w="560" w:type="dxa"/>
              <w:bottom w:w="40" w:type="dxa"/>
              <w:right w:w="40" w:type="dxa"/>
            </w:tcMar>
          </w:tcPr>
          <w:p w14:paraId="2A73B98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Operating income</w:t>
            </w:r>
          </w:p>
        </w:tc>
        <w:tc>
          <w:tcPr>
            <w:tcW w:w="0" w:type="auto"/>
            <w:shd w:val="clear" w:color="auto" w:fill="auto"/>
            <w:tcMar>
              <w:top w:w="40" w:type="dxa"/>
              <w:left w:w="40" w:type="dxa"/>
              <w:bottom w:w="40" w:type="dxa"/>
            </w:tcMar>
            <w:vAlign w:val="bottom"/>
          </w:tcPr>
          <w:p w14:paraId="2A73B98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8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19,195</w:t>
            </w:r>
          </w:p>
        </w:tc>
        <w:tc>
          <w:tcPr>
            <w:tcW w:w="0" w:type="auto"/>
            <w:shd w:val="clear" w:color="auto" w:fill="auto"/>
            <w:vAlign w:val="bottom"/>
          </w:tcPr>
          <w:p w14:paraId="2A73B98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9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98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8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19,955</w:t>
            </w:r>
          </w:p>
        </w:tc>
        <w:tc>
          <w:tcPr>
            <w:tcW w:w="0" w:type="auto"/>
            <w:shd w:val="clear" w:color="auto" w:fill="auto"/>
            <w:vAlign w:val="bottom"/>
          </w:tcPr>
          <w:p w14:paraId="2A73B98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9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98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8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16,514</w:t>
            </w:r>
          </w:p>
        </w:tc>
        <w:tc>
          <w:tcPr>
            <w:tcW w:w="0" w:type="auto"/>
            <w:shd w:val="clear" w:color="auto" w:fill="auto"/>
            <w:vAlign w:val="bottom"/>
          </w:tcPr>
          <w:p w14:paraId="2A73B98F" w14:textId="77777777" w:rsidR="00FA5565" w:rsidRDefault="00FA5565">
            <w:pPr>
              <w:textAlignment w:val="bottom"/>
              <w:rPr>
                <w:rFonts w:ascii="Times New Roman" w:hAnsi="Times New Roman"/>
                <w:sz w:val="20"/>
                <w:szCs w:val="20"/>
              </w:rPr>
            </w:pPr>
          </w:p>
        </w:tc>
      </w:tr>
      <w:tr w:rsidR="00FA5565" w14:paraId="2A73B997" w14:textId="77777777">
        <w:tc>
          <w:tcPr>
            <w:tcW w:w="0" w:type="auto"/>
            <w:shd w:val="clear" w:color="auto" w:fill="EFEFEF"/>
            <w:tcMar>
              <w:top w:w="40" w:type="dxa"/>
              <w:left w:w="40" w:type="dxa"/>
              <w:bottom w:w="40" w:type="dxa"/>
              <w:right w:w="40" w:type="dxa"/>
            </w:tcMar>
            <w:vAlign w:val="bottom"/>
          </w:tcPr>
          <w:p w14:paraId="2A73B9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9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99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9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9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9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99E" w14:textId="77777777">
        <w:tc>
          <w:tcPr>
            <w:tcW w:w="0" w:type="auto"/>
            <w:shd w:val="clear" w:color="auto" w:fill="auto"/>
            <w:tcMar>
              <w:top w:w="40" w:type="dxa"/>
              <w:left w:w="40" w:type="dxa"/>
              <w:bottom w:w="40" w:type="dxa"/>
              <w:right w:w="40" w:type="dxa"/>
            </w:tcMar>
          </w:tcPr>
          <w:p w14:paraId="2A73B99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Greater China:</w:t>
            </w:r>
          </w:p>
        </w:tc>
        <w:tc>
          <w:tcPr>
            <w:tcW w:w="0" w:type="auto"/>
            <w:gridSpan w:val="3"/>
            <w:shd w:val="clear" w:color="auto" w:fill="auto"/>
            <w:tcMar>
              <w:top w:w="40" w:type="dxa"/>
              <w:left w:w="40" w:type="dxa"/>
              <w:bottom w:w="40" w:type="dxa"/>
              <w:right w:w="40" w:type="dxa"/>
            </w:tcMar>
            <w:vAlign w:val="bottom"/>
          </w:tcPr>
          <w:p w14:paraId="2A73B9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99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99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99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99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9AB" w14:textId="77777777">
        <w:tc>
          <w:tcPr>
            <w:tcW w:w="0" w:type="auto"/>
            <w:shd w:val="clear" w:color="auto" w:fill="EFEFEF"/>
            <w:tcMar>
              <w:top w:w="40" w:type="dxa"/>
              <w:left w:w="560" w:type="dxa"/>
              <w:bottom w:w="40" w:type="dxa"/>
              <w:right w:w="40" w:type="dxa"/>
            </w:tcMar>
          </w:tcPr>
          <w:p w14:paraId="2A73B99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sales</w:t>
            </w:r>
          </w:p>
        </w:tc>
        <w:tc>
          <w:tcPr>
            <w:tcW w:w="0" w:type="auto"/>
            <w:shd w:val="clear" w:color="auto" w:fill="EFEFEF"/>
            <w:tcMar>
              <w:top w:w="40" w:type="dxa"/>
              <w:left w:w="40" w:type="dxa"/>
              <w:bottom w:w="40" w:type="dxa"/>
            </w:tcMar>
            <w:vAlign w:val="bottom"/>
          </w:tcPr>
          <w:p w14:paraId="2A73B9A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A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43,678</w:t>
            </w:r>
          </w:p>
        </w:tc>
        <w:tc>
          <w:tcPr>
            <w:tcW w:w="0" w:type="auto"/>
            <w:shd w:val="clear" w:color="auto" w:fill="EFEFEF"/>
            <w:vAlign w:val="bottom"/>
          </w:tcPr>
          <w:p w14:paraId="2A73B9A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9A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9A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A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51,942</w:t>
            </w:r>
          </w:p>
        </w:tc>
        <w:tc>
          <w:tcPr>
            <w:tcW w:w="0" w:type="auto"/>
            <w:shd w:val="clear" w:color="auto" w:fill="EFEFEF"/>
            <w:vAlign w:val="bottom"/>
          </w:tcPr>
          <w:p w14:paraId="2A73B9A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9A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9A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A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44,764</w:t>
            </w:r>
          </w:p>
        </w:tc>
        <w:tc>
          <w:tcPr>
            <w:tcW w:w="0" w:type="auto"/>
            <w:shd w:val="clear" w:color="auto" w:fill="EFEFEF"/>
            <w:vAlign w:val="bottom"/>
          </w:tcPr>
          <w:p w14:paraId="2A73B9AA" w14:textId="77777777" w:rsidR="00FA5565" w:rsidRDefault="00FA5565">
            <w:pPr>
              <w:textAlignment w:val="bottom"/>
              <w:rPr>
                <w:rFonts w:ascii="Times New Roman" w:hAnsi="Times New Roman"/>
                <w:sz w:val="20"/>
                <w:szCs w:val="20"/>
              </w:rPr>
            </w:pPr>
          </w:p>
        </w:tc>
      </w:tr>
      <w:tr w:rsidR="00FA5565" w14:paraId="2A73B9B8" w14:textId="77777777">
        <w:tc>
          <w:tcPr>
            <w:tcW w:w="0" w:type="auto"/>
            <w:shd w:val="clear" w:color="auto" w:fill="auto"/>
            <w:tcMar>
              <w:top w:w="40" w:type="dxa"/>
              <w:left w:w="560" w:type="dxa"/>
              <w:bottom w:w="40" w:type="dxa"/>
              <w:right w:w="40" w:type="dxa"/>
            </w:tcMar>
          </w:tcPr>
          <w:p w14:paraId="2A73B9A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Operating income</w:t>
            </w:r>
          </w:p>
        </w:tc>
        <w:tc>
          <w:tcPr>
            <w:tcW w:w="0" w:type="auto"/>
            <w:shd w:val="clear" w:color="auto" w:fill="auto"/>
            <w:tcMar>
              <w:top w:w="40" w:type="dxa"/>
              <w:left w:w="40" w:type="dxa"/>
              <w:bottom w:w="40" w:type="dxa"/>
            </w:tcMar>
            <w:vAlign w:val="bottom"/>
          </w:tcPr>
          <w:p w14:paraId="2A73B9A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A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16,232</w:t>
            </w:r>
          </w:p>
        </w:tc>
        <w:tc>
          <w:tcPr>
            <w:tcW w:w="0" w:type="auto"/>
            <w:shd w:val="clear" w:color="auto" w:fill="auto"/>
            <w:vAlign w:val="bottom"/>
          </w:tcPr>
          <w:p w14:paraId="2A73B9A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9B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9B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B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19,742</w:t>
            </w:r>
          </w:p>
        </w:tc>
        <w:tc>
          <w:tcPr>
            <w:tcW w:w="0" w:type="auto"/>
            <w:shd w:val="clear" w:color="auto" w:fill="auto"/>
            <w:vAlign w:val="bottom"/>
          </w:tcPr>
          <w:p w14:paraId="2A73B9B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9B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9B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B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17,032</w:t>
            </w:r>
          </w:p>
        </w:tc>
        <w:tc>
          <w:tcPr>
            <w:tcW w:w="0" w:type="auto"/>
            <w:shd w:val="clear" w:color="auto" w:fill="auto"/>
            <w:vAlign w:val="bottom"/>
          </w:tcPr>
          <w:p w14:paraId="2A73B9B7" w14:textId="77777777" w:rsidR="00FA5565" w:rsidRDefault="00FA5565">
            <w:pPr>
              <w:textAlignment w:val="bottom"/>
              <w:rPr>
                <w:rFonts w:ascii="Times New Roman" w:hAnsi="Times New Roman"/>
                <w:sz w:val="20"/>
                <w:szCs w:val="20"/>
              </w:rPr>
            </w:pPr>
          </w:p>
        </w:tc>
      </w:tr>
      <w:tr w:rsidR="00FA5565" w14:paraId="2A73B9BF" w14:textId="77777777">
        <w:tc>
          <w:tcPr>
            <w:tcW w:w="0" w:type="auto"/>
            <w:shd w:val="clear" w:color="auto" w:fill="EFEFEF"/>
            <w:tcMar>
              <w:top w:w="40" w:type="dxa"/>
              <w:left w:w="40" w:type="dxa"/>
              <w:bottom w:w="40" w:type="dxa"/>
              <w:right w:w="40" w:type="dxa"/>
            </w:tcMar>
            <w:vAlign w:val="bottom"/>
          </w:tcPr>
          <w:p w14:paraId="2A73B9B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B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9B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B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9B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9C6" w14:textId="77777777">
        <w:tc>
          <w:tcPr>
            <w:tcW w:w="0" w:type="auto"/>
            <w:shd w:val="clear" w:color="auto" w:fill="auto"/>
            <w:tcMar>
              <w:top w:w="40" w:type="dxa"/>
              <w:left w:w="40" w:type="dxa"/>
              <w:bottom w:w="40" w:type="dxa"/>
              <w:right w:w="40" w:type="dxa"/>
            </w:tcMar>
          </w:tcPr>
          <w:p w14:paraId="2A73B9C0"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Japan:</w:t>
            </w:r>
          </w:p>
        </w:tc>
        <w:tc>
          <w:tcPr>
            <w:tcW w:w="0" w:type="auto"/>
            <w:gridSpan w:val="3"/>
            <w:shd w:val="clear" w:color="auto" w:fill="auto"/>
            <w:tcMar>
              <w:top w:w="40" w:type="dxa"/>
              <w:left w:w="40" w:type="dxa"/>
              <w:bottom w:w="40" w:type="dxa"/>
              <w:right w:w="40" w:type="dxa"/>
            </w:tcMar>
            <w:vAlign w:val="bottom"/>
          </w:tcPr>
          <w:p w14:paraId="2A73B9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9C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9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9C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9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9D3" w14:textId="77777777">
        <w:tc>
          <w:tcPr>
            <w:tcW w:w="0" w:type="auto"/>
            <w:shd w:val="clear" w:color="auto" w:fill="EFEFEF"/>
            <w:tcMar>
              <w:top w:w="40" w:type="dxa"/>
              <w:left w:w="560" w:type="dxa"/>
              <w:bottom w:w="40" w:type="dxa"/>
              <w:right w:w="40" w:type="dxa"/>
            </w:tcMar>
          </w:tcPr>
          <w:p w14:paraId="2A73B9C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sales</w:t>
            </w:r>
          </w:p>
        </w:tc>
        <w:tc>
          <w:tcPr>
            <w:tcW w:w="0" w:type="auto"/>
            <w:shd w:val="clear" w:color="auto" w:fill="EFEFEF"/>
            <w:tcMar>
              <w:top w:w="40" w:type="dxa"/>
              <w:left w:w="40" w:type="dxa"/>
              <w:bottom w:w="40" w:type="dxa"/>
            </w:tcMar>
            <w:vAlign w:val="bottom"/>
          </w:tcPr>
          <w:p w14:paraId="2A73B9C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C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21,506</w:t>
            </w:r>
          </w:p>
        </w:tc>
        <w:tc>
          <w:tcPr>
            <w:tcW w:w="0" w:type="auto"/>
            <w:shd w:val="clear" w:color="auto" w:fill="EFEFEF"/>
            <w:vAlign w:val="bottom"/>
          </w:tcPr>
          <w:p w14:paraId="2A73B9C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9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9C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C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21,733</w:t>
            </w:r>
          </w:p>
        </w:tc>
        <w:tc>
          <w:tcPr>
            <w:tcW w:w="0" w:type="auto"/>
            <w:shd w:val="clear" w:color="auto" w:fill="EFEFEF"/>
            <w:vAlign w:val="bottom"/>
          </w:tcPr>
          <w:p w14:paraId="2A73B9C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9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9D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D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17,733</w:t>
            </w:r>
          </w:p>
        </w:tc>
        <w:tc>
          <w:tcPr>
            <w:tcW w:w="0" w:type="auto"/>
            <w:shd w:val="clear" w:color="auto" w:fill="EFEFEF"/>
            <w:vAlign w:val="bottom"/>
          </w:tcPr>
          <w:p w14:paraId="2A73B9D2" w14:textId="77777777" w:rsidR="00FA5565" w:rsidRDefault="00FA5565">
            <w:pPr>
              <w:textAlignment w:val="bottom"/>
              <w:rPr>
                <w:rFonts w:ascii="Times New Roman" w:hAnsi="Times New Roman"/>
                <w:sz w:val="20"/>
                <w:szCs w:val="20"/>
              </w:rPr>
            </w:pPr>
          </w:p>
        </w:tc>
      </w:tr>
      <w:tr w:rsidR="00FA5565" w14:paraId="2A73B9E0" w14:textId="77777777">
        <w:tc>
          <w:tcPr>
            <w:tcW w:w="0" w:type="auto"/>
            <w:shd w:val="clear" w:color="auto" w:fill="auto"/>
            <w:tcMar>
              <w:top w:w="40" w:type="dxa"/>
              <w:left w:w="560" w:type="dxa"/>
              <w:bottom w:w="40" w:type="dxa"/>
              <w:right w:w="40" w:type="dxa"/>
            </w:tcMar>
          </w:tcPr>
          <w:p w14:paraId="2A73B9D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Operating income</w:t>
            </w:r>
          </w:p>
        </w:tc>
        <w:tc>
          <w:tcPr>
            <w:tcW w:w="0" w:type="auto"/>
            <w:shd w:val="clear" w:color="auto" w:fill="auto"/>
            <w:tcMar>
              <w:top w:w="40" w:type="dxa"/>
              <w:left w:w="40" w:type="dxa"/>
              <w:bottom w:w="40" w:type="dxa"/>
            </w:tcMar>
            <w:vAlign w:val="bottom"/>
          </w:tcPr>
          <w:p w14:paraId="2A73B9D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D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9,369</w:t>
            </w:r>
          </w:p>
        </w:tc>
        <w:tc>
          <w:tcPr>
            <w:tcW w:w="0" w:type="auto"/>
            <w:shd w:val="clear" w:color="auto" w:fill="auto"/>
            <w:vAlign w:val="bottom"/>
          </w:tcPr>
          <w:p w14:paraId="2A73B9D7"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9D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9D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D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9,500</w:t>
            </w:r>
          </w:p>
        </w:tc>
        <w:tc>
          <w:tcPr>
            <w:tcW w:w="0" w:type="auto"/>
            <w:shd w:val="clear" w:color="auto" w:fill="auto"/>
            <w:vAlign w:val="bottom"/>
          </w:tcPr>
          <w:p w14:paraId="2A73B9DB"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9D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9D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D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8,097</w:t>
            </w:r>
          </w:p>
        </w:tc>
        <w:tc>
          <w:tcPr>
            <w:tcW w:w="0" w:type="auto"/>
            <w:shd w:val="clear" w:color="auto" w:fill="auto"/>
            <w:vAlign w:val="bottom"/>
          </w:tcPr>
          <w:p w14:paraId="2A73B9DF" w14:textId="77777777" w:rsidR="00FA5565" w:rsidRDefault="00FA5565">
            <w:pPr>
              <w:textAlignment w:val="bottom"/>
              <w:rPr>
                <w:rFonts w:ascii="Times New Roman" w:hAnsi="Times New Roman"/>
                <w:sz w:val="20"/>
                <w:szCs w:val="20"/>
              </w:rPr>
            </w:pPr>
          </w:p>
        </w:tc>
      </w:tr>
      <w:tr w:rsidR="00FA5565" w14:paraId="2A73B9E7" w14:textId="77777777">
        <w:tc>
          <w:tcPr>
            <w:tcW w:w="0" w:type="auto"/>
            <w:shd w:val="clear" w:color="auto" w:fill="EFEFEF"/>
            <w:tcMar>
              <w:top w:w="40" w:type="dxa"/>
              <w:left w:w="40" w:type="dxa"/>
              <w:bottom w:w="40" w:type="dxa"/>
              <w:right w:w="40" w:type="dxa"/>
            </w:tcMar>
            <w:vAlign w:val="bottom"/>
          </w:tcPr>
          <w:p w14:paraId="2A73B9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E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9E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E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9E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9E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9EE" w14:textId="77777777">
        <w:tc>
          <w:tcPr>
            <w:tcW w:w="0" w:type="auto"/>
            <w:shd w:val="clear" w:color="auto" w:fill="auto"/>
            <w:tcMar>
              <w:top w:w="40" w:type="dxa"/>
              <w:left w:w="40" w:type="dxa"/>
              <w:bottom w:w="40" w:type="dxa"/>
              <w:right w:w="40" w:type="dxa"/>
            </w:tcMar>
          </w:tcPr>
          <w:p w14:paraId="2A73B9E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Rest of Asia Pacific:</w:t>
            </w:r>
          </w:p>
        </w:tc>
        <w:tc>
          <w:tcPr>
            <w:tcW w:w="0" w:type="auto"/>
            <w:gridSpan w:val="3"/>
            <w:shd w:val="clear" w:color="auto" w:fill="auto"/>
            <w:tcMar>
              <w:top w:w="40" w:type="dxa"/>
              <w:left w:w="40" w:type="dxa"/>
              <w:bottom w:w="40" w:type="dxa"/>
              <w:right w:w="40" w:type="dxa"/>
            </w:tcMar>
            <w:vAlign w:val="bottom"/>
          </w:tcPr>
          <w:p w14:paraId="2A73B9E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9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9E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9E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9E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9FB" w14:textId="77777777">
        <w:tc>
          <w:tcPr>
            <w:tcW w:w="0" w:type="auto"/>
            <w:shd w:val="clear" w:color="auto" w:fill="EFEFEF"/>
            <w:tcMar>
              <w:top w:w="40" w:type="dxa"/>
              <w:left w:w="560" w:type="dxa"/>
              <w:bottom w:w="40" w:type="dxa"/>
              <w:right w:w="40" w:type="dxa"/>
            </w:tcMar>
          </w:tcPr>
          <w:p w14:paraId="2A73B9E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sales</w:t>
            </w:r>
          </w:p>
        </w:tc>
        <w:tc>
          <w:tcPr>
            <w:tcW w:w="0" w:type="auto"/>
            <w:shd w:val="clear" w:color="auto" w:fill="EFEFEF"/>
            <w:tcMar>
              <w:top w:w="40" w:type="dxa"/>
              <w:left w:w="40" w:type="dxa"/>
              <w:bottom w:w="40" w:type="dxa"/>
            </w:tcMar>
            <w:vAlign w:val="bottom"/>
          </w:tcPr>
          <w:p w14:paraId="2A73B9F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F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17,788</w:t>
            </w:r>
          </w:p>
        </w:tc>
        <w:tc>
          <w:tcPr>
            <w:tcW w:w="0" w:type="auto"/>
            <w:shd w:val="clear" w:color="auto" w:fill="EFEFEF"/>
            <w:vAlign w:val="bottom"/>
          </w:tcPr>
          <w:p w14:paraId="2A73B9F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9F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9F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F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17,407</w:t>
            </w:r>
          </w:p>
        </w:tc>
        <w:tc>
          <w:tcPr>
            <w:tcW w:w="0" w:type="auto"/>
            <w:shd w:val="clear" w:color="auto" w:fill="EFEFEF"/>
            <w:vAlign w:val="bottom"/>
          </w:tcPr>
          <w:p w14:paraId="2A73B9F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9F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9F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9F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15,199</w:t>
            </w:r>
          </w:p>
        </w:tc>
        <w:tc>
          <w:tcPr>
            <w:tcW w:w="0" w:type="auto"/>
            <w:shd w:val="clear" w:color="auto" w:fill="EFEFEF"/>
            <w:vAlign w:val="bottom"/>
          </w:tcPr>
          <w:p w14:paraId="2A73B9FA" w14:textId="77777777" w:rsidR="00FA5565" w:rsidRDefault="00FA5565">
            <w:pPr>
              <w:textAlignment w:val="bottom"/>
              <w:rPr>
                <w:rFonts w:ascii="Times New Roman" w:hAnsi="Times New Roman"/>
                <w:sz w:val="20"/>
                <w:szCs w:val="20"/>
              </w:rPr>
            </w:pPr>
          </w:p>
        </w:tc>
      </w:tr>
      <w:tr w:rsidR="00FA5565" w14:paraId="2A73BA08" w14:textId="77777777">
        <w:tc>
          <w:tcPr>
            <w:tcW w:w="0" w:type="auto"/>
            <w:shd w:val="clear" w:color="auto" w:fill="auto"/>
            <w:tcMar>
              <w:top w:w="40" w:type="dxa"/>
              <w:left w:w="560" w:type="dxa"/>
              <w:bottom w:w="40" w:type="dxa"/>
              <w:right w:w="40" w:type="dxa"/>
            </w:tcMar>
          </w:tcPr>
          <w:p w14:paraId="2A73B9FC"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Operating income</w:t>
            </w:r>
          </w:p>
        </w:tc>
        <w:tc>
          <w:tcPr>
            <w:tcW w:w="0" w:type="auto"/>
            <w:shd w:val="clear" w:color="auto" w:fill="auto"/>
            <w:tcMar>
              <w:top w:w="40" w:type="dxa"/>
              <w:left w:w="40" w:type="dxa"/>
              <w:bottom w:w="40" w:type="dxa"/>
            </w:tcMar>
            <w:vAlign w:val="bottom"/>
          </w:tcPr>
          <w:p w14:paraId="2A73B9F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9F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6,055</w:t>
            </w:r>
          </w:p>
        </w:tc>
        <w:tc>
          <w:tcPr>
            <w:tcW w:w="0" w:type="auto"/>
            <w:shd w:val="clear" w:color="auto" w:fill="auto"/>
            <w:vAlign w:val="bottom"/>
          </w:tcPr>
          <w:p w14:paraId="2A73B9FF"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A0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A0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A0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6,181</w:t>
            </w:r>
          </w:p>
        </w:tc>
        <w:tc>
          <w:tcPr>
            <w:tcW w:w="0" w:type="auto"/>
            <w:shd w:val="clear" w:color="auto" w:fill="auto"/>
            <w:vAlign w:val="bottom"/>
          </w:tcPr>
          <w:p w14:paraId="2A73BA03"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A0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A0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A0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5,304</w:t>
            </w:r>
          </w:p>
        </w:tc>
        <w:tc>
          <w:tcPr>
            <w:tcW w:w="0" w:type="auto"/>
            <w:shd w:val="clear" w:color="auto" w:fill="auto"/>
            <w:vAlign w:val="bottom"/>
          </w:tcPr>
          <w:p w14:paraId="2A73BA07" w14:textId="77777777" w:rsidR="00FA5565" w:rsidRDefault="00FA5565">
            <w:pPr>
              <w:textAlignment w:val="bottom"/>
              <w:rPr>
                <w:rFonts w:ascii="Times New Roman" w:hAnsi="Times New Roman"/>
                <w:sz w:val="20"/>
                <w:szCs w:val="20"/>
              </w:rPr>
            </w:pPr>
          </w:p>
        </w:tc>
      </w:tr>
    </w:tbl>
    <w:p w14:paraId="2A73BA09" w14:textId="77777777" w:rsidR="00FA5565" w:rsidRDefault="00FA5565">
      <w:pPr>
        <w:spacing w:line="288" w:lineRule="auto"/>
        <w:jc w:val="both"/>
        <w:rPr>
          <w:rFonts w:ascii="Times New Roman" w:hAnsi="Times New Roman"/>
          <w:sz w:val="20"/>
          <w:szCs w:val="20"/>
        </w:rPr>
      </w:pPr>
    </w:p>
    <w:p w14:paraId="2A73BA0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 </w:t>
      </w:r>
      <w:r>
        <w:rPr>
          <w:rFonts w:ascii="Helvetica" w:eastAsia="Helvetica" w:hAnsi="Helvetica" w:cs="Helvetica"/>
          <w:sz w:val="18"/>
          <w:szCs w:val="18"/>
        </w:rPr>
        <w:t>reconciliation of the Company’s segment operating income to the Consolidated Statements of Operations for 2019, 2018 and 2017 is as follows (in millions):</w:t>
      </w:r>
    </w:p>
    <w:tbl>
      <w:tblPr>
        <w:tblW w:w="5000" w:type="pct"/>
        <w:tblCellMar>
          <w:left w:w="0" w:type="dxa"/>
          <w:right w:w="0" w:type="dxa"/>
        </w:tblCellMar>
        <w:tblLook w:val="04A0" w:firstRow="1" w:lastRow="0" w:firstColumn="1" w:lastColumn="0" w:noHBand="0" w:noVBand="1"/>
      </w:tblPr>
      <w:tblGrid>
        <w:gridCol w:w="4821"/>
        <w:gridCol w:w="141"/>
        <w:gridCol w:w="834"/>
        <w:gridCol w:w="100"/>
        <w:gridCol w:w="130"/>
        <w:gridCol w:w="141"/>
        <w:gridCol w:w="834"/>
        <w:gridCol w:w="100"/>
        <w:gridCol w:w="130"/>
        <w:gridCol w:w="141"/>
        <w:gridCol w:w="834"/>
        <w:gridCol w:w="100"/>
      </w:tblGrid>
      <w:tr w:rsidR="00FA5565" w14:paraId="2A73BA0C" w14:textId="77777777">
        <w:tc>
          <w:tcPr>
            <w:tcW w:w="0" w:type="auto"/>
            <w:gridSpan w:val="12"/>
            <w:shd w:val="clear" w:color="auto" w:fill="auto"/>
            <w:vAlign w:val="center"/>
          </w:tcPr>
          <w:p w14:paraId="2A73BA0B" w14:textId="77777777" w:rsidR="00FA5565" w:rsidRDefault="00FA5565">
            <w:pPr>
              <w:rPr>
                <w:rFonts w:ascii="Times New Roman" w:hAnsi="Times New Roman"/>
                <w:sz w:val="20"/>
                <w:szCs w:val="20"/>
              </w:rPr>
            </w:pPr>
          </w:p>
        </w:tc>
      </w:tr>
      <w:tr w:rsidR="00FA5565" w14:paraId="2A73BA19" w14:textId="77777777">
        <w:tc>
          <w:tcPr>
            <w:tcW w:w="2950" w:type="pct"/>
            <w:shd w:val="clear" w:color="auto" w:fill="auto"/>
            <w:vAlign w:val="center"/>
          </w:tcPr>
          <w:p w14:paraId="2A73BA0D" w14:textId="77777777" w:rsidR="00FA5565" w:rsidRDefault="00FA5565">
            <w:pPr>
              <w:rPr>
                <w:rFonts w:ascii="Times New Roman" w:hAnsi="Times New Roman"/>
                <w:sz w:val="20"/>
                <w:szCs w:val="20"/>
              </w:rPr>
            </w:pPr>
          </w:p>
        </w:tc>
        <w:tc>
          <w:tcPr>
            <w:tcW w:w="50" w:type="pct"/>
            <w:shd w:val="clear" w:color="auto" w:fill="auto"/>
            <w:vAlign w:val="center"/>
          </w:tcPr>
          <w:p w14:paraId="2A73BA0E" w14:textId="77777777" w:rsidR="00FA5565" w:rsidRDefault="00FA5565">
            <w:pPr>
              <w:rPr>
                <w:rFonts w:ascii="Times New Roman" w:hAnsi="Times New Roman"/>
                <w:sz w:val="20"/>
                <w:szCs w:val="20"/>
              </w:rPr>
            </w:pPr>
          </w:p>
        </w:tc>
        <w:tc>
          <w:tcPr>
            <w:tcW w:w="550" w:type="pct"/>
            <w:shd w:val="clear" w:color="auto" w:fill="auto"/>
            <w:vAlign w:val="center"/>
          </w:tcPr>
          <w:p w14:paraId="2A73BA0F" w14:textId="77777777" w:rsidR="00FA5565" w:rsidRDefault="00FA5565">
            <w:pPr>
              <w:rPr>
                <w:rFonts w:ascii="Times New Roman" w:hAnsi="Times New Roman"/>
                <w:sz w:val="20"/>
                <w:szCs w:val="20"/>
              </w:rPr>
            </w:pPr>
          </w:p>
        </w:tc>
        <w:tc>
          <w:tcPr>
            <w:tcW w:w="50" w:type="pct"/>
            <w:shd w:val="clear" w:color="auto" w:fill="auto"/>
            <w:vAlign w:val="center"/>
          </w:tcPr>
          <w:p w14:paraId="2A73BA10" w14:textId="77777777" w:rsidR="00FA5565" w:rsidRDefault="00FA5565">
            <w:pPr>
              <w:rPr>
                <w:rFonts w:ascii="Times New Roman" w:hAnsi="Times New Roman"/>
                <w:sz w:val="20"/>
                <w:szCs w:val="20"/>
              </w:rPr>
            </w:pPr>
          </w:p>
        </w:tc>
        <w:tc>
          <w:tcPr>
            <w:tcW w:w="50" w:type="pct"/>
            <w:shd w:val="clear" w:color="auto" w:fill="auto"/>
            <w:vAlign w:val="center"/>
          </w:tcPr>
          <w:p w14:paraId="2A73BA11" w14:textId="77777777" w:rsidR="00FA5565" w:rsidRDefault="00FA5565">
            <w:pPr>
              <w:rPr>
                <w:rFonts w:ascii="Times New Roman" w:hAnsi="Times New Roman"/>
                <w:sz w:val="20"/>
                <w:szCs w:val="20"/>
              </w:rPr>
            </w:pPr>
          </w:p>
        </w:tc>
        <w:tc>
          <w:tcPr>
            <w:tcW w:w="50" w:type="pct"/>
            <w:shd w:val="clear" w:color="auto" w:fill="auto"/>
            <w:vAlign w:val="center"/>
          </w:tcPr>
          <w:p w14:paraId="2A73BA12" w14:textId="77777777" w:rsidR="00FA5565" w:rsidRDefault="00FA5565">
            <w:pPr>
              <w:rPr>
                <w:rFonts w:ascii="Times New Roman" w:hAnsi="Times New Roman"/>
                <w:sz w:val="20"/>
                <w:szCs w:val="20"/>
              </w:rPr>
            </w:pPr>
          </w:p>
        </w:tc>
        <w:tc>
          <w:tcPr>
            <w:tcW w:w="550" w:type="pct"/>
            <w:shd w:val="clear" w:color="auto" w:fill="auto"/>
            <w:vAlign w:val="center"/>
          </w:tcPr>
          <w:p w14:paraId="2A73BA13" w14:textId="77777777" w:rsidR="00FA5565" w:rsidRDefault="00FA5565">
            <w:pPr>
              <w:rPr>
                <w:rFonts w:ascii="Times New Roman" w:hAnsi="Times New Roman"/>
                <w:sz w:val="20"/>
                <w:szCs w:val="20"/>
              </w:rPr>
            </w:pPr>
          </w:p>
        </w:tc>
        <w:tc>
          <w:tcPr>
            <w:tcW w:w="50" w:type="pct"/>
            <w:shd w:val="clear" w:color="auto" w:fill="auto"/>
            <w:vAlign w:val="center"/>
          </w:tcPr>
          <w:p w14:paraId="2A73BA14" w14:textId="77777777" w:rsidR="00FA5565" w:rsidRDefault="00FA5565">
            <w:pPr>
              <w:rPr>
                <w:rFonts w:ascii="Times New Roman" w:hAnsi="Times New Roman"/>
                <w:sz w:val="20"/>
                <w:szCs w:val="20"/>
              </w:rPr>
            </w:pPr>
          </w:p>
        </w:tc>
        <w:tc>
          <w:tcPr>
            <w:tcW w:w="50" w:type="pct"/>
            <w:shd w:val="clear" w:color="auto" w:fill="auto"/>
            <w:vAlign w:val="center"/>
          </w:tcPr>
          <w:p w14:paraId="2A73BA15" w14:textId="77777777" w:rsidR="00FA5565" w:rsidRDefault="00FA5565">
            <w:pPr>
              <w:rPr>
                <w:rFonts w:ascii="Times New Roman" w:hAnsi="Times New Roman"/>
                <w:sz w:val="20"/>
                <w:szCs w:val="20"/>
              </w:rPr>
            </w:pPr>
          </w:p>
        </w:tc>
        <w:tc>
          <w:tcPr>
            <w:tcW w:w="50" w:type="pct"/>
            <w:shd w:val="clear" w:color="auto" w:fill="auto"/>
            <w:vAlign w:val="center"/>
          </w:tcPr>
          <w:p w14:paraId="2A73BA16" w14:textId="77777777" w:rsidR="00FA5565" w:rsidRDefault="00FA5565">
            <w:pPr>
              <w:rPr>
                <w:rFonts w:ascii="Times New Roman" w:hAnsi="Times New Roman"/>
                <w:sz w:val="20"/>
                <w:szCs w:val="20"/>
              </w:rPr>
            </w:pPr>
          </w:p>
        </w:tc>
        <w:tc>
          <w:tcPr>
            <w:tcW w:w="550" w:type="pct"/>
            <w:shd w:val="clear" w:color="auto" w:fill="auto"/>
            <w:vAlign w:val="center"/>
          </w:tcPr>
          <w:p w14:paraId="2A73BA17" w14:textId="77777777" w:rsidR="00FA5565" w:rsidRDefault="00FA5565">
            <w:pPr>
              <w:rPr>
                <w:rFonts w:ascii="Times New Roman" w:hAnsi="Times New Roman"/>
                <w:sz w:val="20"/>
                <w:szCs w:val="20"/>
              </w:rPr>
            </w:pPr>
          </w:p>
        </w:tc>
        <w:tc>
          <w:tcPr>
            <w:tcW w:w="50" w:type="pct"/>
            <w:shd w:val="clear" w:color="auto" w:fill="auto"/>
            <w:vAlign w:val="center"/>
          </w:tcPr>
          <w:p w14:paraId="2A73BA18" w14:textId="77777777" w:rsidR="00FA5565" w:rsidRDefault="00FA5565">
            <w:pPr>
              <w:rPr>
                <w:rFonts w:ascii="Times New Roman" w:hAnsi="Times New Roman"/>
                <w:sz w:val="20"/>
                <w:szCs w:val="20"/>
              </w:rPr>
            </w:pPr>
          </w:p>
        </w:tc>
      </w:tr>
      <w:tr w:rsidR="00FA5565" w14:paraId="2A73BA20" w14:textId="77777777">
        <w:tc>
          <w:tcPr>
            <w:tcW w:w="0" w:type="auto"/>
            <w:shd w:val="clear" w:color="auto" w:fill="auto"/>
            <w:tcMar>
              <w:top w:w="40" w:type="dxa"/>
              <w:left w:w="40" w:type="dxa"/>
              <w:bottom w:w="40" w:type="dxa"/>
              <w:right w:w="40" w:type="dxa"/>
            </w:tcMar>
            <w:vAlign w:val="bottom"/>
          </w:tcPr>
          <w:p w14:paraId="2A73BA1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1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A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1D"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A1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1F"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A2D" w14:textId="77777777">
        <w:tc>
          <w:tcPr>
            <w:tcW w:w="0" w:type="auto"/>
            <w:shd w:val="clear" w:color="auto" w:fill="auto"/>
            <w:tcMar>
              <w:top w:w="40" w:type="dxa"/>
              <w:left w:w="40" w:type="dxa"/>
              <w:bottom w:w="40" w:type="dxa"/>
              <w:right w:w="40" w:type="dxa"/>
            </w:tcMar>
          </w:tcPr>
          <w:p w14:paraId="2A73BA2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Segment operating income</w:t>
            </w:r>
          </w:p>
        </w:tc>
        <w:tc>
          <w:tcPr>
            <w:tcW w:w="0" w:type="auto"/>
            <w:tcBorders>
              <w:top w:val="single" w:sz="8" w:space="0" w:color="000000"/>
            </w:tcBorders>
            <w:shd w:val="clear" w:color="auto" w:fill="auto"/>
            <w:tcMar>
              <w:top w:w="40" w:type="dxa"/>
              <w:left w:w="40" w:type="dxa"/>
              <w:bottom w:w="40" w:type="dxa"/>
            </w:tcMar>
            <w:vAlign w:val="bottom"/>
          </w:tcPr>
          <w:p w14:paraId="2A73BA2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A2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85,950</w:t>
            </w:r>
          </w:p>
        </w:tc>
        <w:tc>
          <w:tcPr>
            <w:tcW w:w="0" w:type="auto"/>
            <w:tcBorders>
              <w:top w:val="single" w:sz="8" w:space="0" w:color="000000"/>
            </w:tcBorders>
            <w:shd w:val="clear" w:color="auto" w:fill="auto"/>
            <w:vAlign w:val="bottom"/>
          </w:tcPr>
          <w:p w14:paraId="2A73BA2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A2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A2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A2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90,242</w:t>
            </w:r>
          </w:p>
        </w:tc>
        <w:tc>
          <w:tcPr>
            <w:tcW w:w="0" w:type="auto"/>
            <w:tcBorders>
              <w:top w:val="single" w:sz="8" w:space="0" w:color="000000"/>
            </w:tcBorders>
            <w:shd w:val="clear" w:color="auto" w:fill="auto"/>
            <w:vAlign w:val="bottom"/>
          </w:tcPr>
          <w:p w14:paraId="2A73BA2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A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2A73BA2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top w:val="single" w:sz="8" w:space="0" w:color="000000"/>
            </w:tcBorders>
            <w:shd w:val="clear" w:color="auto" w:fill="auto"/>
            <w:tcMar>
              <w:top w:w="40" w:type="dxa"/>
              <w:bottom w:w="40" w:type="dxa"/>
            </w:tcMar>
            <w:vAlign w:val="bottom"/>
          </w:tcPr>
          <w:p w14:paraId="2A73BA2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77,631</w:t>
            </w:r>
          </w:p>
        </w:tc>
        <w:tc>
          <w:tcPr>
            <w:tcW w:w="0" w:type="auto"/>
            <w:tcBorders>
              <w:top w:val="single" w:sz="8" w:space="0" w:color="000000"/>
            </w:tcBorders>
            <w:shd w:val="clear" w:color="auto" w:fill="auto"/>
            <w:vAlign w:val="bottom"/>
          </w:tcPr>
          <w:p w14:paraId="2A73BA2C" w14:textId="77777777" w:rsidR="00FA5565" w:rsidRDefault="00FA5565">
            <w:pPr>
              <w:textAlignment w:val="bottom"/>
              <w:rPr>
                <w:rFonts w:ascii="Times New Roman" w:hAnsi="Times New Roman"/>
                <w:sz w:val="20"/>
                <w:szCs w:val="20"/>
              </w:rPr>
            </w:pPr>
          </w:p>
        </w:tc>
      </w:tr>
      <w:tr w:rsidR="00FA5565" w14:paraId="2A73BA37" w14:textId="77777777">
        <w:tc>
          <w:tcPr>
            <w:tcW w:w="0" w:type="auto"/>
            <w:shd w:val="clear" w:color="auto" w:fill="EFEFEF"/>
            <w:tcMar>
              <w:top w:w="40" w:type="dxa"/>
              <w:left w:w="40" w:type="dxa"/>
              <w:bottom w:w="40" w:type="dxa"/>
              <w:right w:w="40" w:type="dxa"/>
            </w:tcMar>
          </w:tcPr>
          <w:p w14:paraId="2A73BA2E"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Research and development expense</w:t>
            </w:r>
          </w:p>
        </w:tc>
        <w:tc>
          <w:tcPr>
            <w:tcW w:w="0" w:type="auto"/>
            <w:gridSpan w:val="2"/>
            <w:shd w:val="clear" w:color="auto" w:fill="EFEFEF"/>
            <w:tcMar>
              <w:top w:w="40" w:type="dxa"/>
              <w:left w:w="40" w:type="dxa"/>
              <w:bottom w:w="40" w:type="dxa"/>
            </w:tcMar>
            <w:vAlign w:val="bottom"/>
          </w:tcPr>
          <w:p w14:paraId="2A73BA2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(16,217</w:t>
            </w:r>
          </w:p>
        </w:tc>
        <w:tc>
          <w:tcPr>
            <w:tcW w:w="0" w:type="auto"/>
            <w:shd w:val="clear" w:color="auto" w:fill="EFEFEF"/>
            <w:tcMar>
              <w:top w:w="40" w:type="dxa"/>
              <w:bottom w:w="40" w:type="dxa"/>
              <w:right w:w="40" w:type="dxa"/>
            </w:tcMar>
            <w:vAlign w:val="bottom"/>
          </w:tcPr>
          <w:p w14:paraId="2A73BA3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A3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A3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(14,236</w:t>
            </w:r>
          </w:p>
        </w:tc>
        <w:tc>
          <w:tcPr>
            <w:tcW w:w="0" w:type="auto"/>
            <w:shd w:val="clear" w:color="auto" w:fill="EFEFEF"/>
            <w:tcMar>
              <w:top w:w="40" w:type="dxa"/>
              <w:bottom w:w="40" w:type="dxa"/>
              <w:right w:w="40" w:type="dxa"/>
            </w:tcMar>
            <w:vAlign w:val="bottom"/>
          </w:tcPr>
          <w:p w14:paraId="2A73BA3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left w:w="40" w:type="dxa"/>
              <w:bottom w:w="40" w:type="dxa"/>
              <w:right w:w="40" w:type="dxa"/>
            </w:tcMar>
            <w:vAlign w:val="bottom"/>
          </w:tcPr>
          <w:p w14:paraId="2A73BA3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FEFEF"/>
            <w:tcMar>
              <w:top w:w="40" w:type="dxa"/>
              <w:left w:w="40" w:type="dxa"/>
              <w:bottom w:w="40" w:type="dxa"/>
            </w:tcMar>
            <w:vAlign w:val="bottom"/>
          </w:tcPr>
          <w:p w14:paraId="2A73BA3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(11,581</w:t>
            </w:r>
          </w:p>
        </w:tc>
        <w:tc>
          <w:tcPr>
            <w:tcW w:w="0" w:type="auto"/>
            <w:shd w:val="clear" w:color="auto" w:fill="EFEFEF"/>
            <w:tcMar>
              <w:top w:w="40" w:type="dxa"/>
              <w:bottom w:w="40" w:type="dxa"/>
              <w:right w:w="40" w:type="dxa"/>
            </w:tcMar>
            <w:vAlign w:val="bottom"/>
          </w:tcPr>
          <w:p w14:paraId="2A73BA3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A41" w14:textId="77777777">
        <w:tc>
          <w:tcPr>
            <w:tcW w:w="0" w:type="auto"/>
            <w:shd w:val="clear" w:color="auto" w:fill="auto"/>
            <w:tcMar>
              <w:top w:w="40" w:type="dxa"/>
              <w:left w:w="40" w:type="dxa"/>
              <w:bottom w:w="40" w:type="dxa"/>
              <w:right w:w="40" w:type="dxa"/>
            </w:tcMar>
          </w:tcPr>
          <w:p w14:paraId="2A73BA3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corporate expenses, net</w:t>
            </w:r>
          </w:p>
        </w:tc>
        <w:tc>
          <w:tcPr>
            <w:tcW w:w="0" w:type="auto"/>
            <w:gridSpan w:val="2"/>
            <w:tcBorders>
              <w:bottom w:val="single" w:sz="8" w:space="0" w:color="000000"/>
            </w:tcBorders>
            <w:shd w:val="clear" w:color="auto" w:fill="auto"/>
            <w:tcMar>
              <w:top w:w="40" w:type="dxa"/>
              <w:left w:w="40" w:type="dxa"/>
              <w:bottom w:w="40" w:type="dxa"/>
            </w:tcMar>
            <w:vAlign w:val="bottom"/>
          </w:tcPr>
          <w:p w14:paraId="2A73BA3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(5,803</w:t>
            </w:r>
          </w:p>
        </w:tc>
        <w:tc>
          <w:tcPr>
            <w:tcW w:w="0" w:type="auto"/>
            <w:tcBorders>
              <w:bottom w:val="single" w:sz="8" w:space="0" w:color="000000"/>
            </w:tcBorders>
            <w:shd w:val="clear" w:color="auto" w:fill="auto"/>
            <w:tcMar>
              <w:top w:w="40" w:type="dxa"/>
              <w:bottom w:w="40" w:type="dxa"/>
              <w:right w:w="40" w:type="dxa"/>
            </w:tcMar>
            <w:vAlign w:val="bottom"/>
          </w:tcPr>
          <w:p w14:paraId="2A73BA3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A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A3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(5,108</w:t>
            </w:r>
          </w:p>
        </w:tc>
        <w:tc>
          <w:tcPr>
            <w:tcW w:w="0" w:type="auto"/>
            <w:tcBorders>
              <w:bottom w:val="single" w:sz="8" w:space="0" w:color="000000"/>
            </w:tcBorders>
            <w:shd w:val="clear" w:color="auto" w:fill="auto"/>
            <w:tcMar>
              <w:top w:w="40" w:type="dxa"/>
              <w:bottom w:w="40" w:type="dxa"/>
              <w:right w:w="40" w:type="dxa"/>
            </w:tcMar>
            <w:vAlign w:val="bottom"/>
          </w:tcPr>
          <w:p w14:paraId="2A73BA3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left w:w="40" w:type="dxa"/>
              <w:bottom w:w="40" w:type="dxa"/>
              <w:right w:w="40" w:type="dxa"/>
            </w:tcMar>
            <w:vAlign w:val="bottom"/>
          </w:tcPr>
          <w:p w14:paraId="2A73BA3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2A73BA3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(4,706</w:t>
            </w:r>
          </w:p>
        </w:tc>
        <w:tc>
          <w:tcPr>
            <w:tcW w:w="0" w:type="auto"/>
            <w:tcBorders>
              <w:bottom w:val="single" w:sz="8" w:space="0" w:color="000000"/>
            </w:tcBorders>
            <w:shd w:val="clear" w:color="auto" w:fill="auto"/>
            <w:tcMar>
              <w:top w:w="40" w:type="dxa"/>
              <w:bottom w:w="40" w:type="dxa"/>
              <w:right w:w="40" w:type="dxa"/>
            </w:tcMar>
            <w:vAlign w:val="bottom"/>
          </w:tcPr>
          <w:p w14:paraId="2A73BA4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r>
      <w:tr w:rsidR="00FA5565" w14:paraId="2A73BA4E" w14:textId="77777777">
        <w:tc>
          <w:tcPr>
            <w:tcW w:w="0" w:type="auto"/>
            <w:shd w:val="clear" w:color="auto" w:fill="EFEFEF"/>
            <w:tcMar>
              <w:top w:w="40" w:type="dxa"/>
              <w:left w:w="560" w:type="dxa"/>
              <w:bottom w:w="40" w:type="dxa"/>
              <w:right w:w="40" w:type="dxa"/>
            </w:tcMar>
          </w:tcPr>
          <w:p w14:paraId="2A73BA4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operating income</w:t>
            </w:r>
          </w:p>
        </w:tc>
        <w:tc>
          <w:tcPr>
            <w:tcW w:w="0" w:type="auto"/>
            <w:tcBorders>
              <w:bottom w:val="double" w:sz="6" w:space="0" w:color="000000"/>
            </w:tcBorders>
            <w:shd w:val="clear" w:color="auto" w:fill="EFEFEF"/>
            <w:tcMar>
              <w:top w:w="40" w:type="dxa"/>
              <w:left w:w="40" w:type="dxa"/>
              <w:bottom w:w="40" w:type="dxa"/>
            </w:tcMar>
            <w:vAlign w:val="bottom"/>
          </w:tcPr>
          <w:p w14:paraId="2A73BA4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A4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63,930</w:t>
            </w:r>
          </w:p>
        </w:tc>
        <w:tc>
          <w:tcPr>
            <w:tcW w:w="0" w:type="auto"/>
            <w:tcBorders>
              <w:bottom w:val="double" w:sz="6" w:space="0" w:color="000000"/>
            </w:tcBorders>
            <w:shd w:val="clear" w:color="auto" w:fill="EFEFEF"/>
            <w:vAlign w:val="bottom"/>
          </w:tcPr>
          <w:p w14:paraId="2A73BA4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A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BA4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A4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70,898</w:t>
            </w:r>
          </w:p>
        </w:tc>
        <w:tc>
          <w:tcPr>
            <w:tcW w:w="0" w:type="auto"/>
            <w:tcBorders>
              <w:bottom w:val="double" w:sz="6" w:space="0" w:color="000000"/>
            </w:tcBorders>
            <w:shd w:val="clear" w:color="auto" w:fill="EFEFEF"/>
            <w:vAlign w:val="bottom"/>
          </w:tcPr>
          <w:p w14:paraId="2A73BA4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A4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FEFEF"/>
            <w:tcMar>
              <w:top w:w="40" w:type="dxa"/>
              <w:left w:w="40" w:type="dxa"/>
              <w:bottom w:w="40" w:type="dxa"/>
            </w:tcMar>
            <w:vAlign w:val="bottom"/>
          </w:tcPr>
          <w:p w14:paraId="2A73BA4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EFEFEF"/>
            <w:tcMar>
              <w:top w:w="40" w:type="dxa"/>
              <w:bottom w:w="40" w:type="dxa"/>
            </w:tcMar>
            <w:vAlign w:val="bottom"/>
          </w:tcPr>
          <w:p w14:paraId="2A73BA4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61,344</w:t>
            </w:r>
          </w:p>
        </w:tc>
        <w:tc>
          <w:tcPr>
            <w:tcW w:w="0" w:type="auto"/>
            <w:tcBorders>
              <w:bottom w:val="double" w:sz="6" w:space="0" w:color="000000"/>
            </w:tcBorders>
            <w:shd w:val="clear" w:color="auto" w:fill="EFEFEF"/>
            <w:vAlign w:val="bottom"/>
          </w:tcPr>
          <w:p w14:paraId="2A73BA4D" w14:textId="77777777" w:rsidR="00FA5565" w:rsidRDefault="00FA5565">
            <w:pPr>
              <w:textAlignment w:val="bottom"/>
              <w:rPr>
                <w:rFonts w:ascii="Times New Roman" w:hAnsi="Times New Roman"/>
                <w:sz w:val="20"/>
                <w:szCs w:val="20"/>
              </w:rPr>
            </w:pPr>
          </w:p>
        </w:tc>
      </w:tr>
    </w:tbl>
    <w:p w14:paraId="2A73BA4F" w14:textId="77777777" w:rsidR="00FA5565" w:rsidRDefault="00FA5565">
      <w:pPr>
        <w:spacing w:line="288" w:lineRule="auto"/>
        <w:jc w:val="both"/>
        <w:rPr>
          <w:rFonts w:ascii="Times New Roman" w:hAnsi="Times New Roman"/>
          <w:sz w:val="20"/>
          <w:szCs w:val="20"/>
        </w:rPr>
      </w:pPr>
    </w:p>
    <w:p w14:paraId="2A73BA5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U.S. and China were the only countries that accounted for </w:t>
      </w:r>
      <w:r>
        <w:rPr>
          <w:rFonts w:ascii="Helvetica" w:eastAsia="Helvetica" w:hAnsi="Helvetica" w:cs="Helvetica"/>
          <w:sz w:val="18"/>
          <w:szCs w:val="18"/>
        </w:rPr>
        <w:t>more than 10% of the Company’s net sales in 2019, 2018 and 2017. There was no single customer that accounted for more than 10% of net sales in 2019, 2018 and 2017. Net sales for 2019, 2018 and 2017 and long-lived assets as of September 28, 2019 and Septemb</w:t>
      </w:r>
      <w:r>
        <w:rPr>
          <w:rFonts w:ascii="Helvetica" w:eastAsia="Helvetica" w:hAnsi="Helvetica" w:cs="Helvetica"/>
          <w:sz w:val="18"/>
          <w:szCs w:val="18"/>
        </w:rPr>
        <w:t>er 29, 2018 were as follows (in millions):</w:t>
      </w:r>
    </w:p>
    <w:tbl>
      <w:tblPr>
        <w:tblW w:w="5000" w:type="pct"/>
        <w:tblCellMar>
          <w:left w:w="0" w:type="dxa"/>
          <w:right w:w="0" w:type="dxa"/>
        </w:tblCellMar>
        <w:tblLook w:val="04A0" w:firstRow="1" w:lastRow="0" w:firstColumn="1" w:lastColumn="0" w:noHBand="0" w:noVBand="1"/>
      </w:tblPr>
      <w:tblGrid>
        <w:gridCol w:w="4862"/>
        <w:gridCol w:w="141"/>
        <w:gridCol w:w="875"/>
        <w:gridCol w:w="44"/>
        <w:gridCol w:w="130"/>
        <w:gridCol w:w="141"/>
        <w:gridCol w:w="876"/>
        <w:gridCol w:w="45"/>
        <w:gridCol w:w="130"/>
        <w:gridCol w:w="141"/>
        <w:gridCol w:w="876"/>
        <w:gridCol w:w="45"/>
      </w:tblGrid>
      <w:tr w:rsidR="00FA5565" w14:paraId="2A73BA52" w14:textId="77777777">
        <w:tc>
          <w:tcPr>
            <w:tcW w:w="0" w:type="auto"/>
            <w:gridSpan w:val="12"/>
            <w:shd w:val="clear" w:color="auto" w:fill="auto"/>
            <w:vAlign w:val="center"/>
          </w:tcPr>
          <w:p w14:paraId="2A73BA51" w14:textId="77777777" w:rsidR="00FA5565" w:rsidRDefault="00FA5565">
            <w:pPr>
              <w:rPr>
                <w:rFonts w:ascii="Times New Roman" w:hAnsi="Times New Roman"/>
                <w:sz w:val="20"/>
                <w:szCs w:val="20"/>
              </w:rPr>
            </w:pPr>
          </w:p>
        </w:tc>
      </w:tr>
      <w:tr w:rsidR="00FA5565" w14:paraId="2A73BA5F" w14:textId="77777777">
        <w:tc>
          <w:tcPr>
            <w:tcW w:w="2950" w:type="pct"/>
            <w:shd w:val="clear" w:color="auto" w:fill="auto"/>
            <w:vAlign w:val="center"/>
          </w:tcPr>
          <w:p w14:paraId="2A73BA53" w14:textId="77777777" w:rsidR="00FA5565" w:rsidRDefault="00FA5565">
            <w:pPr>
              <w:rPr>
                <w:rFonts w:ascii="Times New Roman" w:hAnsi="Times New Roman"/>
                <w:sz w:val="20"/>
                <w:szCs w:val="20"/>
              </w:rPr>
            </w:pPr>
          </w:p>
        </w:tc>
        <w:tc>
          <w:tcPr>
            <w:tcW w:w="50" w:type="pct"/>
            <w:shd w:val="clear" w:color="auto" w:fill="auto"/>
            <w:vAlign w:val="center"/>
          </w:tcPr>
          <w:p w14:paraId="2A73BA54" w14:textId="77777777" w:rsidR="00FA5565" w:rsidRDefault="00FA5565">
            <w:pPr>
              <w:rPr>
                <w:rFonts w:ascii="Times New Roman" w:hAnsi="Times New Roman"/>
                <w:sz w:val="20"/>
                <w:szCs w:val="20"/>
              </w:rPr>
            </w:pPr>
          </w:p>
        </w:tc>
        <w:tc>
          <w:tcPr>
            <w:tcW w:w="550" w:type="pct"/>
            <w:shd w:val="clear" w:color="auto" w:fill="auto"/>
            <w:vAlign w:val="center"/>
          </w:tcPr>
          <w:p w14:paraId="2A73BA55" w14:textId="77777777" w:rsidR="00FA5565" w:rsidRDefault="00FA5565">
            <w:pPr>
              <w:rPr>
                <w:rFonts w:ascii="Times New Roman" w:hAnsi="Times New Roman"/>
                <w:sz w:val="20"/>
                <w:szCs w:val="20"/>
              </w:rPr>
            </w:pPr>
          </w:p>
        </w:tc>
        <w:tc>
          <w:tcPr>
            <w:tcW w:w="50" w:type="pct"/>
            <w:shd w:val="clear" w:color="auto" w:fill="auto"/>
            <w:vAlign w:val="center"/>
          </w:tcPr>
          <w:p w14:paraId="2A73BA56" w14:textId="77777777" w:rsidR="00FA5565" w:rsidRDefault="00FA5565">
            <w:pPr>
              <w:rPr>
                <w:rFonts w:ascii="Times New Roman" w:hAnsi="Times New Roman"/>
                <w:sz w:val="20"/>
                <w:szCs w:val="20"/>
              </w:rPr>
            </w:pPr>
          </w:p>
        </w:tc>
        <w:tc>
          <w:tcPr>
            <w:tcW w:w="50" w:type="pct"/>
            <w:shd w:val="clear" w:color="auto" w:fill="auto"/>
            <w:vAlign w:val="center"/>
          </w:tcPr>
          <w:p w14:paraId="2A73BA57" w14:textId="77777777" w:rsidR="00FA5565" w:rsidRDefault="00FA5565">
            <w:pPr>
              <w:rPr>
                <w:rFonts w:ascii="Times New Roman" w:hAnsi="Times New Roman"/>
                <w:sz w:val="20"/>
                <w:szCs w:val="20"/>
              </w:rPr>
            </w:pPr>
          </w:p>
        </w:tc>
        <w:tc>
          <w:tcPr>
            <w:tcW w:w="50" w:type="pct"/>
            <w:shd w:val="clear" w:color="auto" w:fill="auto"/>
            <w:vAlign w:val="center"/>
          </w:tcPr>
          <w:p w14:paraId="2A73BA58" w14:textId="77777777" w:rsidR="00FA5565" w:rsidRDefault="00FA5565">
            <w:pPr>
              <w:rPr>
                <w:rFonts w:ascii="Times New Roman" w:hAnsi="Times New Roman"/>
                <w:sz w:val="20"/>
                <w:szCs w:val="20"/>
              </w:rPr>
            </w:pPr>
          </w:p>
        </w:tc>
        <w:tc>
          <w:tcPr>
            <w:tcW w:w="550" w:type="pct"/>
            <w:shd w:val="clear" w:color="auto" w:fill="auto"/>
            <w:vAlign w:val="center"/>
          </w:tcPr>
          <w:p w14:paraId="2A73BA59" w14:textId="77777777" w:rsidR="00FA5565" w:rsidRDefault="00FA5565">
            <w:pPr>
              <w:rPr>
                <w:rFonts w:ascii="Times New Roman" w:hAnsi="Times New Roman"/>
                <w:sz w:val="20"/>
                <w:szCs w:val="20"/>
              </w:rPr>
            </w:pPr>
          </w:p>
        </w:tc>
        <w:tc>
          <w:tcPr>
            <w:tcW w:w="50" w:type="pct"/>
            <w:shd w:val="clear" w:color="auto" w:fill="auto"/>
            <w:vAlign w:val="center"/>
          </w:tcPr>
          <w:p w14:paraId="2A73BA5A" w14:textId="77777777" w:rsidR="00FA5565" w:rsidRDefault="00FA5565">
            <w:pPr>
              <w:rPr>
                <w:rFonts w:ascii="Times New Roman" w:hAnsi="Times New Roman"/>
                <w:sz w:val="20"/>
                <w:szCs w:val="20"/>
              </w:rPr>
            </w:pPr>
          </w:p>
        </w:tc>
        <w:tc>
          <w:tcPr>
            <w:tcW w:w="50" w:type="pct"/>
            <w:shd w:val="clear" w:color="auto" w:fill="auto"/>
            <w:vAlign w:val="center"/>
          </w:tcPr>
          <w:p w14:paraId="2A73BA5B" w14:textId="77777777" w:rsidR="00FA5565" w:rsidRDefault="00FA5565">
            <w:pPr>
              <w:rPr>
                <w:rFonts w:ascii="Times New Roman" w:hAnsi="Times New Roman"/>
                <w:sz w:val="20"/>
                <w:szCs w:val="20"/>
              </w:rPr>
            </w:pPr>
          </w:p>
        </w:tc>
        <w:tc>
          <w:tcPr>
            <w:tcW w:w="50" w:type="pct"/>
            <w:shd w:val="clear" w:color="auto" w:fill="auto"/>
            <w:vAlign w:val="center"/>
          </w:tcPr>
          <w:p w14:paraId="2A73BA5C" w14:textId="77777777" w:rsidR="00FA5565" w:rsidRDefault="00FA5565">
            <w:pPr>
              <w:rPr>
                <w:rFonts w:ascii="Times New Roman" w:hAnsi="Times New Roman"/>
                <w:sz w:val="20"/>
                <w:szCs w:val="20"/>
              </w:rPr>
            </w:pPr>
          </w:p>
        </w:tc>
        <w:tc>
          <w:tcPr>
            <w:tcW w:w="550" w:type="pct"/>
            <w:shd w:val="clear" w:color="auto" w:fill="auto"/>
            <w:vAlign w:val="center"/>
          </w:tcPr>
          <w:p w14:paraId="2A73BA5D" w14:textId="77777777" w:rsidR="00FA5565" w:rsidRDefault="00FA5565">
            <w:pPr>
              <w:rPr>
                <w:rFonts w:ascii="Times New Roman" w:hAnsi="Times New Roman"/>
                <w:sz w:val="20"/>
                <w:szCs w:val="20"/>
              </w:rPr>
            </w:pPr>
          </w:p>
        </w:tc>
        <w:tc>
          <w:tcPr>
            <w:tcW w:w="50" w:type="pct"/>
            <w:shd w:val="clear" w:color="auto" w:fill="auto"/>
            <w:vAlign w:val="center"/>
          </w:tcPr>
          <w:p w14:paraId="2A73BA5E" w14:textId="77777777" w:rsidR="00FA5565" w:rsidRDefault="00FA5565">
            <w:pPr>
              <w:rPr>
                <w:rFonts w:ascii="Times New Roman" w:hAnsi="Times New Roman"/>
                <w:sz w:val="20"/>
                <w:szCs w:val="20"/>
              </w:rPr>
            </w:pPr>
          </w:p>
        </w:tc>
      </w:tr>
      <w:tr w:rsidR="00FA5565" w14:paraId="2A73BA66" w14:textId="77777777">
        <w:tc>
          <w:tcPr>
            <w:tcW w:w="0" w:type="auto"/>
            <w:shd w:val="clear" w:color="auto" w:fill="auto"/>
            <w:tcMar>
              <w:top w:w="40" w:type="dxa"/>
              <w:left w:w="40" w:type="dxa"/>
              <w:bottom w:w="40" w:type="dxa"/>
              <w:right w:w="40" w:type="dxa"/>
            </w:tcMar>
            <w:vAlign w:val="bottom"/>
          </w:tcPr>
          <w:p w14:paraId="2A73BA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6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A6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6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c>
          <w:tcPr>
            <w:tcW w:w="0" w:type="auto"/>
            <w:shd w:val="clear" w:color="auto" w:fill="auto"/>
            <w:tcMar>
              <w:top w:w="40" w:type="dxa"/>
              <w:left w:w="40" w:type="dxa"/>
              <w:bottom w:w="40" w:type="dxa"/>
              <w:right w:w="40" w:type="dxa"/>
            </w:tcMar>
            <w:vAlign w:val="bottom"/>
          </w:tcPr>
          <w:p w14:paraId="2A73BA6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6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2017</w:t>
            </w:r>
          </w:p>
        </w:tc>
      </w:tr>
      <w:tr w:rsidR="00FA5565" w14:paraId="2A73BA6D" w14:textId="77777777">
        <w:tc>
          <w:tcPr>
            <w:tcW w:w="0" w:type="auto"/>
            <w:shd w:val="clear" w:color="auto" w:fill="auto"/>
            <w:tcMar>
              <w:top w:w="40" w:type="dxa"/>
              <w:left w:w="40" w:type="dxa"/>
              <w:bottom w:w="40" w:type="dxa"/>
              <w:right w:w="40" w:type="dxa"/>
            </w:tcMar>
          </w:tcPr>
          <w:p w14:paraId="2A73BA6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Net sales:</w:t>
            </w:r>
          </w:p>
        </w:tc>
        <w:tc>
          <w:tcPr>
            <w:tcW w:w="0" w:type="auto"/>
            <w:gridSpan w:val="3"/>
            <w:shd w:val="clear" w:color="auto" w:fill="auto"/>
            <w:tcMar>
              <w:top w:w="40" w:type="dxa"/>
              <w:left w:w="40" w:type="dxa"/>
              <w:bottom w:w="40" w:type="dxa"/>
              <w:right w:w="40" w:type="dxa"/>
            </w:tcMar>
            <w:vAlign w:val="bottom"/>
          </w:tcPr>
          <w:p w14:paraId="2A73BA6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A6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A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A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A6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A7A" w14:textId="77777777">
        <w:tc>
          <w:tcPr>
            <w:tcW w:w="0" w:type="auto"/>
            <w:shd w:val="clear" w:color="auto" w:fill="EFEFEF"/>
            <w:tcMar>
              <w:top w:w="40" w:type="dxa"/>
              <w:left w:w="560" w:type="dxa"/>
              <w:bottom w:w="40" w:type="dxa"/>
              <w:right w:w="40" w:type="dxa"/>
            </w:tcMar>
          </w:tcPr>
          <w:p w14:paraId="2A73BA6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U.S.</w:t>
            </w:r>
          </w:p>
        </w:tc>
        <w:tc>
          <w:tcPr>
            <w:tcW w:w="0" w:type="auto"/>
            <w:shd w:val="clear" w:color="auto" w:fill="EFEFEF"/>
            <w:tcMar>
              <w:top w:w="40" w:type="dxa"/>
              <w:left w:w="40" w:type="dxa"/>
              <w:bottom w:w="40" w:type="dxa"/>
            </w:tcMar>
            <w:vAlign w:val="bottom"/>
          </w:tcPr>
          <w:p w14:paraId="2A73BA6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A7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102,266</w:t>
            </w:r>
          </w:p>
        </w:tc>
        <w:tc>
          <w:tcPr>
            <w:tcW w:w="0" w:type="auto"/>
            <w:shd w:val="clear" w:color="auto" w:fill="EFEFEF"/>
            <w:vAlign w:val="bottom"/>
          </w:tcPr>
          <w:p w14:paraId="2A73BA7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A7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A7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A7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98,061</w:t>
            </w:r>
          </w:p>
        </w:tc>
        <w:tc>
          <w:tcPr>
            <w:tcW w:w="0" w:type="auto"/>
            <w:shd w:val="clear" w:color="auto" w:fill="EFEFEF"/>
            <w:vAlign w:val="bottom"/>
          </w:tcPr>
          <w:p w14:paraId="2A73BA7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A7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A7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A7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84,339</w:t>
            </w:r>
          </w:p>
        </w:tc>
        <w:tc>
          <w:tcPr>
            <w:tcW w:w="0" w:type="auto"/>
            <w:shd w:val="clear" w:color="auto" w:fill="EFEFEF"/>
            <w:vAlign w:val="bottom"/>
          </w:tcPr>
          <w:p w14:paraId="2A73BA79" w14:textId="77777777" w:rsidR="00FA5565" w:rsidRDefault="00FA5565">
            <w:pPr>
              <w:textAlignment w:val="bottom"/>
              <w:rPr>
                <w:rFonts w:ascii="Times New Roman" w:hAnsi="Times New Roman"/>
                <w:sz w:val="20"/>
                <w:szCs w:val="20"/>
              </w:rPr>
            </w:pPr>
          </w:p>
        </w:tc>
      </w:tr>
      <w:tr w:rsidR="00FA5565" w14:paraId="2A73BA84" w14:textId="77777777">
        <w:tc>
          <w:tcPr>
            <w:tcW w:w="0" w:type="auto"/>
            <w:shd w:val="clear" w:color="auto" w:fill="auto"/>
            <w:tcMar>
              <w:top w:w="40" w:type="dxa"/>
              <w:left w:w="560" w:type="dxa"/>
              <w:bottom w:w="40" w:type="dxa"/>
              <w:right w:w="40" w:type="dxa"/>
            </w:tcMar>
            <w:vAlign w:val="bottom"/>
          </w:tcPr>
          <w:p w14:paraId="2A73BA7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China (1)</w:t>
            </w:r>
          </w:p>
        </w:tc>
        <w:tc>
          <w:tcPr>
            <w:tcW w:w="0" w:type="auto"/>
            <w:gridSpan w:val="2"/>
            <w:shd w:val="clear" w:color="auto" w:fill="auto"/>
            <w:tcMar>
              <w:top w:w="40" w:type="dxa"/>
              <w:left w:w="40" w:type="dxa"/>
              <w:bottom w:w="40" w:type="dxa"/>
            </w:tcMar>
            <w:vAlign w:val="bottom"/>
          </w:tcPr>
          <w:p w14:paraId="2A73BA7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43,678</w:t>
            </w:r>
          </w:p>
        </w:tc>
        <w:tc>
          <w:tcPr>
            <w:tcW w:w="0" w:type="auto"/>
            <w:shd w:val="clear" w:color="auto" w:fill="auto"/>
            <w:vAlign w:val="bottom"/>
          </w:tcPr>
          <w:p w14:paraId="2A73BA7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A7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A7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51,942</w:t>
            </w:r>
          </w:p>
        </w:tc>
        <w:tc>
          <w:tcPr>
            <w:tcW w:w="0" w:type="auto"/>
            <w:shd w:val="clear" w:color="auto" w:fill="auto"/>
            <w:vAlign w:val="bottom"/>
          </w:tcPr>
          <w:p w14:paraId="2A73BA8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A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A8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44,764</w:t>
            </w:r>
          </w:p>
        </w:tc>
        <w:tc>
          <w:tcPr>
            <w:tcW w:w="0" w:type="auto"/>
            <w:shd w:val="clear" w:color="auto" w:fill="auto"/>
            <w:vAlign w:val="bottom"/>
          </w:tcPr>
          <w:p w14:paraId="2A73BA83" w14:textId="77777777" w:rsidR="00FA5565" w:rsidRDefault="00FA5565">
            <w:pPr>
              <w:textAlignment w:val="bottom"/>
              <w:rPr>
                <w:rFonts w:ascii="Times New Roman" w:hAnsi="Times New Roman"/>
                <w:sz w:val="20"/>
                <w:szCs w:val="20"/>
              </w:rPr>
            </w:pPr>
          </w:p>
        </w:tc>
      </w:tr>
      <w:tr w:rsidR="00FA5565" w14:paraId="2A73BA8E" w14:textId="77777777">
        <w:tc>
          <w:tcPr>
            <w:tcW w:w="0" w:type="auto"/>
            <w:shd w:val="clear" w:color="auto" w:fill="EFEFEF"/>
            <w:tcMar>
              <w:top w:w="40" w:type="dxa"/>
              <w:left w:w="560" w:type="dxa"/>
              <w:bottom w:w="40" w:type="dxa"/>
              <w:right w:w="40" w:type="dxa"/>
            </w:tcMar>
          </w:tcPr>
          <w:p w14:paraId="2A73BA8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countries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A8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114,230</w:t>
            </w:r>
          </w:p>
        </w:tc>
        <w:tc>
          <w:tcPr>
            <w:tcW w:w="0" w:type="auto"/>
            <w:tcBorders>
              <w:bottom w:val="single" w:sz="8" w:space="0" w:color="000000"/>
            </w:tcBorders>
            <w:shd w:val="clear" w:color="auto" w:fill="EFEFEF"/>
            <w:vAlign w:val="bottom"/>
          </w:tcPr>
          <w:p w14:paraId="2A73BA8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A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A8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115,592</w:t>
            </w:r>
          </w:p>
        </w:tc>
        <w:tc>
          <w:tcPr>
            <w:tcW w:w="0" w:type="auto"/>
            <w:tcBorders>
              <w:bottom w:val="single" w:sz="8" w:space="0" w:color="000000"/>
            </w:tcBorders>
            <w:shd w:val="clear" w:color="auto" w:fill="EFEFEF"/>
            <w:vAlign w:val="bottom"/>
          </w:tcPr>
          <w:p w14:paraId="2A73BA8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A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A8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100,131</w:t>
            </w:r>
          </w:p>
        </w:tc>
        <w:tc>
          <w:tcPr>
            <w:tcW w:w="0" w:type="auto"/>
            <w:tcBorders>
              <w:bottom w:val="single" w:sz="8" w:space="0" w:color="000000"/>
            </w:tcBorders>
            <w:shd w:val="clear" w:color="auto" w:fill="EFEFEF"/>
            <w:vAlign w:val="bottom"/>
          </w:tcPr>
          <w:p w14:paraId="2A73BA8D" w14:textId="77777777" w:rsidR="00FA5565" w:rsidRDefault="00FA5565">
            <w:pPr>
              <w:textAlignment w:val="bottom"/>
              <w:rPr>
                <w:rFonts w:ascii="Times New Roman" w:hAnsi="Times New Roman"/>
                <w:sz w:val="20"/>
                <w:szCs w:val="20"/>
              </w:rPr>
            </w:pPr>
          </w:p>
        </w:tc>
      </w:tr>
      <w:tr w:rsidR="00FA5565" w14:paraId="2A73BA9B" w14:textId="77777777">
        <w:tc>
          <w:tcPr>
            <w:tcW w:w="0" w:type="auto"/>
            <w:shd w:val="clear" w:color="auto" w:fill="auto"/>
            <w:tcMar>
              <w:top w:w="40" w:type="dxa"/>
              <w:left w:w="1040" w:type="dxa"/>
              <w:bottom w:w="40" w:type="dxa"/>
              <w:right w:w="40" w:type="dxa"/>
            </w:tcMar>
          </w:tcPr>
          <w:p w14:paraId="2A73BA8F"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net sales</w:t>
            </w:r>
          </w:p>
        </w:tc>
        <w:tc>
          <w:tcPr>
            <w:tcW w:w="0" w:type="auto"/>
            <w:tcBorders>
              <w:bottom w:val="double" w:sz="6" w:space="0" w:color="000000"/>
            </w:tcBorders>
            <w:shd w:val="clear" w:color="auto" w:fill="auto"/>
            <w:tcMar>
              <w:top w:w="40" w:type="dxa"/>
              <w:left w:w="40" w:type="dxa"/>
              <w:bottom w:w="40" w:type="dxa"/>
            </w:tcMar>
            <w:vAlign w:val="bottom"/>
          </w:tcPr>
          <w:p w14:paraId="2A73BA9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A9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260,174</w:t>
            </w:r>
          </w:p>
        </w:tc>
        <w:tc>
          <w:tcPr>
            <w:tcW w:w="0" w:type="auto"/>
            <w:tcBorders>
              <w:bottom w:val="double" w:sz="6" w:space="0" w:color="000000"/>
            </w:tcBorders>
            <w:shd w:val="clear" w:color="auto" w:fill="auto"/>
            <w:vAlign w:val="bottom"/>
          </w:tcPr>
          <w:p w14:paraId="2A73BA92"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A93"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auto"/>
            <w:tcMar>
              <w:top w:w="40" w:type="dxa"/>
              <w:left w:w="40" w:type="dxa"/>
              <w:bottom w:w="40" w:type="dxa"/>
            </w:tcMar>
            <w:vAlign w:val="bottom"/>
          </w:tcPr>
          <w:p w14:paraId="2A73BA9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A9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265,595</w:t>
            </w:r>
          </w:p>
        </w:tc>
        <w:tc>
          <w:tcPr>
            <w:tcW w:w="0" w:type="auto"/>
            <w:tcBorders>
              <w:bottom w:val="double" w:sz="6" w:space="0" w:color="000000"/>
            </w:tcBorders>
            <w:shd w:val="clear" w:color="auto" w:fill="auto"/>
            <w:vAlign w:val="bottom"/>
          </w:tcPr>
          <w:p w14:paraId="2A73BA96"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A97" w14:textId="77777777" w:rsidR="00FA5565" w:rsidRDefault="00FA5565">
            <w:pPr>
              <w:jc w:val="right"/>
              <w:textAlignment w:val="bottom"/>
              <w:rPr>
                <w:rFonts w:ascii="Times New Roman" w:hAnsi="Times New Roman"/>
                <w:sz w:val="18"/>
                <w:szCs w:val="18"/>
              </w:rPr>
            </w:pPr>
          </w:p>
        </w:tc>
        <w:tc>
          <w:tcPr>
            <w:tcW w:w="0" w:type="auto"/>
            <w:tcBorders>
              <w:bottom w:val="double" w:sz="6" w:space="0" w:color="000000"/>
            </w:tcBorders>
            <w:shd w:val="clear" w:color="auto" w:fill="auto"/>
            <w:tcMar>
              <w:top w:w="40" w:type="dxa"/>
              <w:left w:w="40" w:type="dxa"/>
              <w:bottom w:w="40" w:type="dxa"/>
            </w:tcMar>
            <w:vAlign w:val="bottom"/>
          </w:tcPr>
          <w:p w14:paraId="2A73BA9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A9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229,234</w:t>
            </w:r>
          </w:p>
        </w:tc>
        <w:tc>
          <w:tcPr>
            <w:tcW w:w="0" w:type="auto"/>
            <w:tcBorders>
              <w:bottom w:val="double" w:sz="6" w:space="0" w:color="000000"/>
            </w:tcBorders>
            <w:shd w:val="clear" w:color="auto" w:fill="auto"/>
            <w:vAlign w:val="bottom"/>
          </w:tcPr>
          <w:p w14:paraId="2A73BA9A" w14:textId="77777777" w:rsidR="00FA5565" w:rsidRDefault="00FA5565">
            <w:pPr>
              <w:textAlignment w:val="bottom"/>
              <w:rPr>
                <w:rFonts w:ascii="Times New Roman" w:hAnsi="Times New Roman"/>
                <w:sz w:val="20"/>
                <w:szCs w:val="20"/>
              </w:rPr>
            </w:pPr>
          </w:p>
        </w:tc>
      </w:tr>
    </w:tbl>
    <w:p w14:paraId="2A73BA9C" w14:textId="77777777" w:rsidR="00FA5565" w:rsidRDefault="00FA5565">
      <w:pPr>
        <w:spacing w:line="288" w:lineRule="auto"/>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864"/>
        <w:gridCol w:w="141"/>
        <w:gridCol w:w="964"/>
        <w:gridCol w:w="50"/>
        <w:gridCol w:w="130"/>
        <w:gridCol w:w="141"/>
        <w:gridCol w:w="965"/>
        <w:gridCol w:w="51"/>
      </w:tblGrid>
      <w:tr w:rsidR="00FA5565" w14:paraId="2A73BA9E" w14:textId="77777777">
        <w:tc>
          <w:tcPr>
            <w:tcW w:w="0" w:type="auto"/>
            <w:gridSpan w:val="8"/>
            <w:shd w:val="clear" w:color="auto" w:fill="auto"/>
            <w:vAlign w:val="center"/>
          </w:tcPr>
          <w:p w14:paraId="2A73BA9D" w14:textId="77777777" w:rsidR="00FA5565" w:rsidRDefault="00FA5565">
            <w:pPr>
              <w:rPr>
                <w:rFonts w:ascii="Times New Roman" w:hAnsi="Times New Roman"/>
                <w:sz w:val="20"/>
                <w:szCs w:val="20"/>
              </w:rPr>
            </w:pPr>
          </w:p>
        </w:tc>
      </w:tr>
      <w:tr w:rsidR="00FA5565" w14:paraId="2A73BAA7" w14:textId="77777777">
        <w:tc>
          <w:tcPr>
            <w:tcW w:w="3550" w:type="pct"/>
            <w:shd w:val="clear" w:color="auto" w:fill="auto"/>
            <w:vAlign w:val="center"/>
          </w:tcPr>
          <w:p w14:paraId="2A73BA9F" w14:textId="77777777" w:rsidR="00FA5565" w:rsidRDefault="00FA5565">
            <w:pPr>
              <w:rPr>
                <w:rFonts w:ascii="Times New Roman" w:hAnsi="Times New Roman"/>
                <w:sz w:val="20"/>
                <w:szCs w:val="20"/>
              </w:rPr>
            </w:pPr>
          </w:p>
        </w:tc>
        <w:tc>
          <w:tcPr>
            <w:tcW w:w="50" w:type="pct"/>
            <w:shd w:val="clear" w:color="auto" w:fill="auto"/>
            <w:vAlign w:val="center"/>
          </w:tcPr>
          <w:p w14:paraId="2A73BAA0" w14:textId="77777777" w:rsidR="00FA5565" w:rsidRDefault="00FA5565">
            <w:pPr>
              <w:rPr>
                <w:rFonts w:ascii="Times New Roman" w:hAnsi="Times New Roman"/>
                <w:sz w:val="20"/>
                <w:szCs w:val="20"/>
              </w:rPr>
            </w:pPr>
          </w:p>
        </w:tc>
        <w:tc>
          <w:tcPr>
            <w:tcW w:w="600" w:type="pct"/>
            <w:shd w:val="clear" w:color="auto" w:fill="auto"/>
            <w:vAlign w:val="center"/>
          </w:tcPr>
          <w:p w14:paraId="2A73BAA1" w14:textId="77777777" w:rsidR="00FA5565" w:rsidRDefault="00FA5565">
            <w:pPr>
              <w:rPr>
                <w:rFonts w:ascii="Times New Roman" w:hAnsi="Times New Roman"/>
                <w:sz w:val="20"/>
                <w:szCs w:val="20"/>
              </w:rPr>
            </w:pPr>
          </w:p>
        </w:tc>
        <w:tc>
          <w:tcPr>
            <w:tcW w:w="50" w:type="pct"/>
            <w:shd w:val="clear" w:color="auto" w:fill="auto"/>
            <w:vAlign w:val="center"/>
          </w:tcPr>
          <w:p w14:paraId="2A73BAA2" w14:textId="77777777" w:rsidR="00FA5565" w:rsidRDefault="00FA5565">
            <w:pPr>
              <w:rPr>
                <w:rFonts w:ascii="Times New Roman" w:hAnsi="Times New Roman"/>
                <w:sz w:val="20"/>
                <w:szCs w:val="20"/>
              </w:rPr>
            </w:pPr>
          </w:p>
        </w:tc>
        <w:tc>
          <w:tcPr>
            <w:tcW w:w="50" w:type="pct"/>
            <w:shd w:val="clear" w:color="auto" w:fill="auto"/>
            <w:vAlign w:val="center"/>
          </w:tcPr>
          <w:p w14:paraId="2A73BAA3" w14:textId="77777777" w:rsidR="00FA5565" w:rsidRDefault="00FA5565">
            <w:pPr>
              <w:rPr>
                <w:rFonts w:ascii="Times New Roman" w:hAnsi="Times New Roman"/>
                <w:sz w:val="20"/>
                <w:szCs w:val="20"/>
              </w:rPr>
            </w:pPr>
          </w:p>
        </w:tc>
        <w:tc>
          <w:tcPr>
            <w:tcW w:w="50" w:type="pct"/>
            <w:shd w:val="clear" w:color="auto" w:fill="auto"/>
            <w:vAlign w:val="center"/>
          </w:tcPr>
          <w:p w14:paraId="2A73BAA4" w14:textId="77777777" w:rsidR="00FA5565" w:rsidRDefault="00FA5565">
            <w:pPr>
              <w:rPr>
                <w:rFonts w:ascii="Times New Roman" w:hAnsi="Times New Roman"/>
                <w:sz w:val="20"/>
                <w:szCs w:val="20"/>
              </w:rPr>
            </w:pPr>
          </w:p>
        </w:tc>
        <w:tc>
          <w:tcPr>
            <w:tcW w:w="600" w:type="pct"/>
            <w:shd w:val="clear" w:color="auto" w:fill="auto"/>
            <w:vAlign w:val="center"/>
          </w:tcPr>
          <w:p w14:paraId="2A73BAA5" w14:textId="77777777" w:rsidR="00FA5565" w:rsidRDefault="00FA5565">
            <w:pPr>
              <w:rPr>
                <w:rFonts w:ascii="Times New Roman" w:hAnsi="Times New Roman"/>
                <w:sz w:val="20"/>
                <w:szCs w:val="20"/>
              </w:rPr>
            </w:pPr>
          </w:p>
        </w:tc>
        <w:tc>
          <w:tcPr>
            <w:tcW w:w="50" w:type="pct"/>
            <w:shd w:val="clear" w:color="auto" w:fill="auto"/>
            <w:vAlign w:val="center"/>
          </w:tcPr>
          <w:p w14:paraId="2A73BAA6" w14:textId="77777777" w:rsidR="00FA5565" w:rsidRDefault="00FA5565">
            <w:pPr>
              <w:rPr>
                <w:rFonts w:ascii="Times New Roman" w:hAnsi="Times New Roman"/>
                <w:sz w:val="20"/>
                <w:szCs w:val="20"/>
              </w:rPr>
            </w:pPr>
          </w:p>
        </w:tc>
      </w:tr>
      <w:tr w:rsidR="00FA5565" w14:paraId="2A73BAAC" w14:textId="77777777">
        <w:tc>
          <w:tcPr>
            <w:tcW w:w="0" w:type="auto"/>
            <w:shd w:val="clear" w:color="auto" w:fill="auto"/>
            <w:tcMar>
              <w:top w:w="40" w:type="dxa"/>
              <w:left w:w="40" w:type="dxa"/>
              <w:bottom w:w="40" w:type="dxa"/>
              <w:right w:w="40" w:type="dxa"/>
            </w:tcMar>
            <w:vAlign w:val="bottom"/>
          </w:tcPr>
          <w:p w14:paraId="2A73BAA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A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2019</w:t>
            </w:r>
          </w:p>
        </w:tc>
        <w:tc>
          <w:tcPr>
            <w:tcW w:w="0" w:type="auto"/>
            <w:shd w:val="clear" w:color="auto" w:fill="auto"/>
            <w:tcMar>
              <w:top w:w="40" w:type="dxa"/>
              <w:left w:w="40" w:type="dxa"/>
              <w:bottom w:w="40" w:type="dxa"/>
              <w:right w:w="40" w:type="dxa"/>
            </w:tcMar>
            <w:vAlign w:val="bottom"/>
          </w:tcPr>
          <w:p w14:paraId="2A73BA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A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2018</w:t>
            </w:r>
          </w:p>
        </w:tc>
      </w:tr>
      <w:tr w:rsidR="00FA5565" w14:paraId="2A73BAB1" w14:textId="77777777">
        <w:tc>
          <w:tcPr>
            <w:tcW w:w="0" w:type="auto"/>
            <w:shd w:val="clear" w:color="auto" w:fill="auto"/>
            <w:tcMar>
              <w:top w:w="40" w:type="dxa"/>
              <w:left w:w="40" w:type="dxa"/>
              <w:bottom w:w="40" w:type="dxa"/>
              <w:right w:w="40" w:type="dxa"/>
            </w:tcMar>
          </w:tcPr>
          <w:p w14:paraId="2A73BAAD"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Long-lived assets:</w:t>
            </w:r>
          </w:p>
        </w:tc>
        <w:tc>
          <w:tcPr>
            <w:tcW w:w="0" w:type="auto"/>
            <w:gridSpan w:val="3"/>
            <w:shd w:val="clear" w:color="auto" w:fill="auto"/>
            <w:tcMar>
              <w:top w:w="40" w:type="dxa"/>
              <w:left w:w="40" w:type="dxa"/>
              <w:bottom w:w="40" w:type="dxa"/>
              <w:right w:w="40" w:type="dxa"/>
            </w:tcMar>
            <w:vAlign w:val="bottom"/>
          </w:tcPr>
          <w:p w14:paraId="2A73BAA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AA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AB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ABA" w14:textId="77777777">
        <w:tc>
          <w:tcPr>
            <w:tcW w:w="0" w:type="auto"/>
            <w:shd w:val="clear" w:color="auto" w:fill="EFEFEF"/>
            <w:tcMar>
              <w:top w:w="40" w:type="dxa"/>
              <w:left w:w="560" w:type="dxa"/>
              <w:bottom w:w="40" w:type="dxa"/>
              <w:right w:w="40" w:type="dxa"/>
            </w:tcMar>
          </w:tcPr>
          <w:p w14:paraId="2A73BAB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U.S.</w:t>
            </w:r>
          </w:p>
        </w:tc>
        <w:tc>
          <w:tcPr>
            <w:tcW w:w="0" w:type="auto"/>
            <w:shd w:val="clear" w:color="auto" w:fill="EFEFEF"/>
            <w:tcMar>
              <w:top w:w="40" w:type="dxa"/>
              <w:left w:w="40" w:type="dxa"/>
              <w:bottom w:w="40" w:type="dxa"/>
            </w:tcMar>
            <w:vAlign w:val="bottom"/>
          </w:tcPr>
          <w:p w14:paraId="2A73BAB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AB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24,711</w:t>
            </w:r>
          </w:p>
        </w:tc>
        <w:tc>
          <w:tcPr>
            <w:tcW w:w="0" w:type="auto"/>
            <w:shd w:val="clear" w:color="auto" w:fill="EFEFEF"/>
            <w:vAlign w:val="bottom"/>
          </w:tcPr>
          <w:p w14:paraId="2A73BAB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A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AB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AB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23,963</w:t>
            </w:r>
          </w:p>
        </w:tc>
        <w:tc>
          <w:tcPr>
            <w:tcW w:w="0" w:type="auto"/>
            <w:shd w:val="clear" w:color="auto" w:fill="EFEFEF"/>
            <w:vAlign w:val="bottom"/>
          </w:tcPr>
          <w:p w14:paraId="2A73BAB9" w14:textId="77777777" w:rsidR="00FA5565" w:rsidRDefault="00FA5565">
            <w:pPr>
              <w:textAlignment w:val="bottom"/>
              <w:rPr>
                <w:rFonts w:ascii="Times New Roman" w:hAnsi="Times New Roman"/>
                <w:sz w:val="20"/>
                <w:szCs w:val="20"/>
              </w:rPr>
            </w:pPr>
          </w:p>
        </w:tc>
      </w:tr>
      <w:tr w:rsidR="00FA5565" w14:paraId="2A73BAC1" w14:textId="77777777">
        <w:tc>
          <w:tcPr>
            <w:tcW w:w="0" w:type="auto"/>
            <w:shd w:val="clear" w:color="auto" w:fill="auto"/>
            <w:tcMar>
              <w:top w:w="40" w:type="dxa"/>
              <w:left w:w="560" w:type="dxa"/>
              <w:bottom w:w="40" w:type="dxa"/>
              <w:right w:w="40" w:type="dxa"/>
            </w:tcMar>
            <w:vAlign w:val="bottom"/>
          </w:tcPr>
          <w:p w14:paraId="2A73BAB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China (1)</w:t>
            </w:r>
          </w:p>
        </w:tc>
        <w:tc>
          <w:tcPr>
            <w:tcW w:w="0" w:type="auto"/>
            <w:gridSpan w:val="2"/>
            <w:shd w:val="clear" w:color="auto" w:fill="auto"/>
            <w:tcMar>
              <w:top w:w="40" w:type="dxa"/>
              <w:left w:w="40" w:type="dxa"/>
              <w:bottom w:w="40" w:type="dxa"/>
            </w:tcMar>
            <w:vAlign w:val="bottom"/>
          </w:tcPr>
          <w:p w14:paraId="2A73BAB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9,064</w:t>
            </w:r>
          </w:p>
        </w:tc>
        <w:tc>
          <w:tcPr>
            <w:tcW w:w="0" w:type="auto"/>
            <w:shd w:val="clear" w:color="auto" w:fill="auto"/>
            <w:vAlign w:val="bottom"/>
          </w:tcPr>
          <w:p w14:paraId="2A73BAB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A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2A73BAB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13,268</w:t>
            </w:r>
          </w:p>
        </w:tc>
        <w:tc>
          <w:tcPr>
            <w:tcW w:w="0" w:type="auto"/>
            <w:shd w:val="clear" w:color="auto" w:fill="auto"/>
            <w:vAlign w:val="bottom"/>
          </w:tcPr>
          <w:p w14:paraId="2A73BAC0" w14:textId="77777777" w:rsidR="00FA5565" w:rsidRDefault="00FA5565">
            <w:pPr>
              <w:textAlignment w:val="bottom"/>
              <w:rPr>
                <w:rFonts w:ascii="Times New Roman" w:hAnsi="Times New Roman"/>
                <w:sz w:val="20"/>
                <w:szCs w:val="20"/>
              </w:rPr>
            </w:pPr>
          </w:p>
        </w:tc>
      </w:tr>
      <w:tr w:rsidR="00FA5565" w14:paraId="2A73BAC8" w14:textId="77777777">
        <w:tc>
          <w:tcPr>
            <w:tcW w:w="0" w:type="auto"/>
            <w:shd w:val="clear" w:color="auto" w:fill="EFEFEF"/>
            <w:tcMar>
              <w:top w:w="40" w:type="dxa"/>
              <w:left w:w="560" w:type="dxa"/>
              <w:bottom w:w="40" w:type="dxa"/>
              <w:right w:w="40" w:type="dxa"/>
            </w:tcMar>
          </w:tcPr>
          <w:p w14:paraId="2A73BAC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Other countries</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AC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3,603</w:t>
            </w:r>
          </w:p>
        </w:tc>
        <w:tc>
          <w:tcPr>
            <w:tcW w:w="0" w:type="auto"/>
            <w:tcBorders>
              <w:bottom w:val="single" w:sz="8" w:space="0" w:color="000000"/>
            </w:tcBorders>
            <w:shd w:val="clear" w:color="auto" w:fill="EFEFEF"/>
            <w:vAlign w:val="bottom"/>
          </w:tcPr>
          <w:p w14:paraId="2A73BAC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A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FEFEF"/>
            <w:tcMar>
              <w:top w:w="40" w:type="dxa"/>
              <w:left w:w="40" w:type="dxa"/>
              <w:bottom w:w="40" w:type="dxa"/>
            </w:tcMar>
            <w:vAlign w:val="bottom"/>
          </w:tcPr>
          <w:p w14:paraId="2A73BAC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4,073</w:t>
            </w:r>
          </w:p>
        </w:tc>
        <w:tc>
          <w:tcPr>
            <w:tcW w:w="0" w:type="auto"/>
            <w:tcBorders>
              <w:bottom w:val="single" w:sz="8" w:space="0" w:color="000000"/>
            </w:tcBorders>
            <w:shd w:val="clear" w:color="auto" w:fill="EFEFEF"/>
            <w:vAlign w:val="bottom"/>
          </w:tcPr>
          <w:p w14:paraId="2A73BAC7" w14:textId="77777777" w:rsidR="00FA5565" w:rsidRDefault="00FA5565">
            <w:pPr>
              <w:textAlignment w:val="bottom"/>
              <w:rPr>
                <w:rFonts w:ascii="Times New Roman" w:hAnsi="Times New Roman"/>
                <w:sz w:val="20"/>
                <w:szCs w:val="20"/>
              </w:rPr>
            </w:pPr>
          </w:p>
        </w:tc>
      </w:tr>
      <w:tr w:rsidR="00FA5565" w14:paraId="2A73BAD1" w14:textId="77777777">
        <w:tc>
          <w:tcPr>
            <w:tcW w:w="0" w:type="auto"/>
            <w:shd w:val="clear" w:color="auto" w:fill="auto"/>
            <w:tcMar>
              <w:top w:w="40" w:type="dxa"/>
              <w:left w:w="1040" w:type="dxa"/>
              <w:bottom w:w="40" w:type="dxa"/>
              <w:right w:w="40" w:type="dxa"/>
            </w:tcMar>
          </w:tcPr>
          <w:p w14:paraId="2A73BAC9"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long-lived assets</w:t>
            </w:r>
          </w:p>
        </w:tc>
        <w:tc>
          <w:tcPr>
            <w:tcW w:w="0" w:type="auto"/>
            <w:tcBorders>
              <w:bottom w:val="double" w:sz="6" w:space="0" w:color="000000"/>
            </w:tcBorders>
            <w:shd w:val="clear" w:color="auto" w:fill="auto"/>
            <w:tcMar>
              <w:top w:w="40" w:type="dxa"/>
              <w:left w:w="40" w:type="dxa"/>
              <w:bottom w:w="40" w:type="dxa"/>
            </w:tcMar>
            <w:vAlign w:val="bottom"/>
          </w:tcPr>
          <w:p w14:paraId="2A73BAC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AC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37,378</w:t>
            </w:r>
          </w:p>
        </w:tc>
        <w:tc>
          <w:tcPr>
            <w:tcW w:w="0" w:type="auto"/>
            <w:tcBorders>
              <w:bottom w:val="double" w:sz="6" w:space="0" w:color="000000"/>
            </w:tcBorders>
            <w:shd w:val="clear" w:color="auto" w:fill="auto"/>
            <w:vAlign w:val="bottom"/>
          </w:tcPr>
          <w:p w14:paraId="2A73BAC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AC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2A73BAC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tcBorders>
              <w:bottom w:val="double" w:sz="6" w:space="0" w:color="000000"/>
            </w:tcBorders>
            <w:shd w:val="clear" w:color="auto" w:fill="auto"/>
            <w:tcMar>
              <w:top w:w="40" w:type="dxa"/>
              <w:bottom w:w="40" w:type="dxa"/>
            </w:tcMar>
            <w:vAlign w:val="bottom"/>
          </w:tcPr>
          <w:p w14:paraId="2A73BAC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41,304</w:t>
            </w:r>
          </w:p>
        </w:tc>
        <w:tc>
          <w:tcPr>
            <w:tcW w:w="0" w:type="auto"/>
            <w:tcBorders>
              <w:bottom w:val="double" w:sz="6" w:space="0" w:color="000000"/>
            </w:tcBorders>
            <w:shd w:val="clear" w:color="auto" w:fill="auto"/>
            <w:vAlign w:val="bottom"/>
          </w:tcPr>
          <w:p w14:paraId="2A73BAD0" w14:textId="77777777" w:rsidR="00FA5565" w:rsidRDefault="00FA5565">
            <w:pPr>
              <w:textAlignment w:val="bottom"/>
              <w:rPr>
                <w:rFonts w:ascii="Times New Roman" w:hAnsi="Times New Roman"/>
                <w:sz w:val="20"/>
                <w:szCs w:val="20"/>
              </w:rPr>
            </w:pPr>
          </w:p>
        </w:tc>
      </w:tr>
    </w:tbl>
    <w:p w14:paraId="2A73BAD2"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BAD5" w14:textId="77777777">
        <w:trPr>
          <w:tblCellSpacing w:w="0" w:type="dxa"/>
        </w:trPr>
        <w:tc>
          <w:tcPr>
            <w:tcW w:w="960" w:type="dxa"/>
            <w:shd w:val="clear" w:color="auto" w:fill="auto"/>
            <w:vAlign w:val="center"/>
          </w:tcPr>
          <w:p w14:paraId="2A73BAD3" w14:textId="77777777" w:rsidR="00FA5565" w:rsidRDefault="00FA5565">
            <w:pPr>
              <w:rPr>
                <w:rFonts w:ascii="Times New Roman" w:hAnsi="Times New Roman"/>
                <w:sz w:val="20"/>
                <w:szCs w:val="20"/>
              </w:rPr>
            </w:pPr>
          </w:p>
        </w:tc>
        <w:tc>
          <w:tcPr>
            <w:tcW w:w="0" w:type="auto"/>
            <w:shd w:val="clear" w:color="auto" w:fill="auto"/>
            <w:vAlign w:val="center"/>
          </w:tcPr>
          <w:p w14:paraId="2A73BAD4" w14:textId="77777777" w:rsidR="00FA5565" w:rsidRDefault="00FA5565">
            <w:pPr>
              <w:rPr>
                <w:rFonts w:ascii="Times New Roman" w:hAnsi="Times New Roman"/>
                <w:sz w:val="20"/>
                <w:szCs w:val="20"/>
              </w:rPr>
            </w:pPr>
          </w:p>
        </w:tc>
      </w:tr>
      <w:tr w:rsidR="00FA5565" w14:paraId="2A73BAD8" w14:textId="77777777">
        <w:trPr>
          <w:tblCellSpacing w:w="0" w:type="dxa"/>
        </w:trPr>
        <w:tc>
          <w:tcPr>
            <w:tcW w:w="0" w:type="auto"/>
            <w:shd w:val="clear" w:color="auto" w:fill="auto"/>
          </w:tcPr>
          <w:p w14:paraId="2A73BAD6"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BAD7"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China includes Hong </w:t>
            </w:r>
            <w:r>
              <w:rPr>
                <w:rFonts w:ascii="Helvetica" w:eastAsia="Helvetica" w:hAnsi="Helvetica" w:cs="Helvetica"/>
                <w:sz w:val="16"/>
                <w:szCs w:val="16"/>
              </w:rPr>
              <w:t>Kong and Taiwan. Long-lived assets located in China consist primarily of product tooling and manufacturing process equipment and assets related to retail stores and related infrastructure.</w:t>
            </w:r>
          </w:p>
        </w:tc>
      </w:tr>
    </w:tbl>
    <w:p w14:paraId="2A73BAD9" w14:textId="77777777" w:rsidR="00FA5565" w:rsidRDefault="00FA5565">
      <w:pPr>
        <w:rPr>
          <w:rFonts w:ascii="Times New Roman" w:hAnsi="Times New Roman"/>
          <w:sz w:val="20"/>
          <w:szCs w:val="20"/>
        </w:rPr>
      </w:pPr>
    </w:p>
    <w:p w14:paraId="2A73BADA"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54</w:t>
      </w:r>
    </w:p>
    <w:p w14:paraId="2A73BADB" w14:textId="77777777" w:rsidR="00FA5565" w:rsidRDefault="00D804D1">
      <w:r>
        <w:rPr>
          <w:rFonts w:ascii="Times New Roman" w:hAnsi="Times New Roman"/>
          <w:sz w:val="16"/>
          <w:szCs w:val="16"/>
        </w:rPr>
        <w:pict w14:anchorId="2A73C0D2">
          <v:rect id="_x0000_i1080" style="width:415.3pt;height:1.5pt" o:hralign="center" o:hrstd="t" o:hr="t" fillcolor="#a0a0a0" stroked="f"/>
        </w:pict>
      </w:r>
    </w:p>
    <w:p w14:paraId="2A73BADC" w14:textId="77777777" w:rsidR="00FA5565" w:rsidRDefault="00FA5565">
      <w:pPr>
        <w:rPr>
          <w:rFonts w:ascii="Times New Roman" w:hAnsi="Times New Roman"/>
          <w:sz w:val="20"/>
          <w:szCs w:val="20"/>
        </w:rPr>
      </w:pPr>
    </w:p>
    <w:p w14:paraId="2A73BADD"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 xml:space="preserve">Note 12 – Selected </w:t>
      </w:r>
      <w:r>
        <w:rPr>
          <w:rFonts w:ascii="Helvetica" w:eastAsia="Helvetica" w:hAnsi="Helvetica" w:cs="Helvetica"/>
          <w:b/>
          <w:bCs/>
          <w:sz w:val="18"/>
          <w:szCs w:val="18"/>
        </w:rPr>
        <w:t>Quarterly Financial Information (Unaudited)</w:t>
      </w:r>
    </w:p>
    <w:p w14:paraId="2A73BAD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following tables show a summary of the Company’s quarterly financial information for each of the four quarters of 2019 and 2018 (in millions, except per share amounts):</w:t>
      </w:r>
    </w:p>
    <w:tbl>
      <w:tblPr>
        <w:tblW w:w="5000" w:type="pct"/>
        <w:tblCellMar>
          <w:left w:w="0" w:type="dxa"/>
          <w:right w:w="0" w:type="dxa"/>
        </w:tblCellMar>
        <w:tblLook w:val="04A0" w:firstRow="1" w:lastRow="0" w:firstColumn="1" w:lastColumn="0" w:noHBand="0" w:noVBand="1"/>
      </w:tblPr>
      <w:tblGrid>
        <w:gridCol w:w="3363"/>
        <w:gridCol w:w="141"/>
        <w:gridCol w:w="955"/>
        <w:gridCol w:w="41"/>
        <w:gridCol w:w="130"/>
        <w:gridCol w:w="141"/>
        <w:gridCol w:w="955"/>
        <w:gridCol w:w="42"/>
        <w:gridCol w:w="130"/>
        <w:gridCol w:w="141"/>
        <w:gridCol w:w="956"/>
        <w:gridCol w:w="42"/>
        <w:gridCol w:w="130"/>
        <w:gridCol w:w="141"/>
        <w:gridCol w:w="956"/>
        <w:gridCol w:w="42"/>
      </w:tblGrid>
      <w:tr w:rsidR="00FA5565" w14:paraId="2A73BAE0" w14:textId="77777777">
        <w:tc>
          <w:tcPr>
            <w:tcW w:w="0" w:type="auto"/>
            <w:gridSpan w:val="16"/>
            <w:shd w:val="clear" w:color="auto" w:fill="auto"/>
            <w:vAlign w:val="center"/>
          </w:tcPr>
          <w:p w14:paraId="2A73BADF" w14:textId="77777777" w:rsidR="00FA5565" w:rsidRDefault="00FA5565">
            <w:pPr>
              <w:rPr>
                <w:rFonts w:ascii="Times New Roman" w:hAnsi="Times New Roman"/>
                <w:sz w:val="20"/>
                <w:szCs w:val="20"/>
              </w:rPr>
            </w:pPr>
          </w:p>
        </w:tc>
      </w:tr>
      <w:tr w:rsidR="00FA5565" w14:paraId="2A73BAF1" w14:textId="77777777">
        <w:tc>
          <w:tcPr>
            <w:tcW w:w="2050" w:type="pct"/>
            <w:shd w:val="clear" w:color="auto" w:fill="auto"/>
            <w:vAlign w:val="center"/>
          </w:tcPr>
          <w:p w14:paraId="2A73BAE1" w14:textId="77777777" w:rsidR="00FA5565" w:rsidRDefault="00FA5565">
            <w:pPr>
              <w:rPr>
                <w:rFonts w:ascii="Times New Roman" w:hAnsi="Times New Roman"/>
                <w:sz w:val="20"/>
                <w:szCs w:val="20"/>
              </w:rPr>
            </w:pPr>
          </w:p>
        </w:tc>
        <w:tc>
          <w:tcPr>
            <w:tcW w:w="50" w:type="pct"/>
            <w:shd w:val="clear" w:color="auto" w:fill="auto"/>
            <w:vAlign w:val="center"/>
          </w:tcPr>
          <w:p w14:paraId="2A73BAE2" w14:textId="77777777" w:rsidR="00FA5565" w:rsidRDefault="00FA5565">
            <w:pPr>
              <w:rPr>
                <w:rFonts w:ascii="Times New Roman" w:hAnsi="Times New Roman"/>
                <w:sz w:val="20"/>
                <w:szCs w:val="20"/>
              </w:rPr>
            </w:pPr>
          </w:p>
        </w:tc>
        <w:tc>
          <w:tcPr>
            <w:tcW w:w="600" w:type="pct"/>
            <w:shd w:val="clear" w:color="auto" w:fill="auto"/>
            <w:vAlign w:val="center"/>
          </w:tcPr>
          <w:p w14:paraId="2A73BAE3" w14:textId="77777777" w:rsidR="00FA5565" w:rsidRDefault="00FA5565">
            <w:pPr>
              <w:rPr>
                <w:rFonts w:ascii="Times New Roman" w:hAnsi="Times New Roman"/>
                <w:sz w:val="20"/>
                <w:szCs w:val="20"/>
              </w:rPr>
            </w:pPr>
          </w:p>
        </w:tc>
        <w:tc>
          <w:tcPr>
            <w:tcW w:w="50" w:type="pct"/>
            <w:shd w:val="clear" w:color="auto" w:fill="auto"/>
            <w:vAlign w:val="center"/>
          </w:tcPr>
          <w:p w14:paraId="2A73BAE4" w14:textId="77777777" w:rsidR="00FA5565" w:rsidRDefault="00FA5565">
            <w:pPr>
              <w:rPr>
                <w:rFonts w:ascii="Times New Roman" w:hAnsi="Times New Roman"/>
                <w:sz w:val="20"/>
                <w:szCs w:val="20"/>
              </w:rPr>
            </w:pPr>
          </w:p>
        </w:tc>
        <w:tc>
          <w:tcPr>
            <w:tcW w:w="50" w:type="pct"/>
            <w:shd w:val="clear" w:color="auto" w:fill="auto"/>
            <w:vAlign w:val="center"/>
          </w:tcPr>
          <w:p w14:paraId="2A73BAE5" w14:textId="77777777" w:rsidR="00FA5565" w:rsidRDefault="00FA5565">
            <w:pPr>
              <w:rPr>
                <w:rFonts w:ascii="Times New Roman" w:hAnsi="Times New Roman"/>
                <w:sz w:val="20"/>
                <w:szCs w:val="20"/>
              </w:rPr>
            </w:pPr>
          </w:p>
        </w:tc>
        <w:tc>
          <w:tcPr>
            <w:tcW w:w="50" w:type="pct"/>
            <w:shd w:val="clear" w:color="auto" w:fill="auto"/>
            <w:vAlign w:val="center"/>
          </w:tcPr>
          <w:p w14:paraId="2A73BAE6" w14:textId="77777777" w:rsidR="00FA5565" w:rsidRDefault="00FA5565">
            <w:pPr>
              <w:rPr>
                <w:rFonts w:ascii="Times New Roman" w:hAnsi="Times New Roman"/>
                <w:sz w:val="20"/>
                <w:szCs w:val="20"/>
              </w:rPr>
            </w:pPr>
          </w:p>
        </w:tc>
        <w:tc>
          <w:tcPr>
            <w:tcW w:w="600" w:type="pct"/>
            <w:shd w:val="clear" w:color="auto" w:fill="auto"/>
            <w:vAlign w:val="center"/>
          </w:tcPr>
          <w:p w14:paraId="2A73BAE7" w14:textId="77777777" w:rsidR="00FA5565" w:rsidRDefault="00FA5565">
            <w:pPr>
              <w:rPr>
                <w:rFonts w:ascii="Times New Roman" w:hAnsi="Times New Roman"/>
                <w:sz w:val="20"/>
                <w:szCs w:val="20"/>
              </w:rPr>
            </w:pPr>
          </w:p>
        </w:tc>
        <w:tc>
          <w:tcPr>
            <w:tcW w:w="50" w:type="pct"/>
            <w:shd w:val="clear" w:color="auto" w:fill="auto"/>
            <w:vAlign w:val="center"/>
          </w:tcPr>
          <w:p w14:paraId="2A73BAE8" w14:textId="77777777" w:rsidR="00FA5565" w:rsidRDefault="00FA5565">
            <w:pPr>
              <w:rPr>
                <w:rFonts w:ascii="Times New Roman" w:hAnsi="Times New Roman"/>
                <w:sz w:val="20"/>
                <w:szCs w:val="20"/>
              </w:rPr>
            </w:pPr>
          </w:p>
        </w:tc>
        <w:tc>
          <w:tcPr>
            <w:tcW w:w="50" w:type="pct"/>
            <w:shd w:val="clear" w:color="auto" w:fill="auto"/>
            <w:vAlign w:val="center"/>
          </w:tcPr>
          <w:p w14:paraId="2A73BAE9" w14:textId="77777777" w:rsidR="00FA5565" w:rsidRDefault="00FA5565">
            <w:pPr>
              <w:rPr>
                <w:rFonts w:ascii="Times New Roman" w:hAnsi="Times New Roman"/>
                <w:sz w:val="20"/>
                <w:szCs w:val="20"/>
              </w:rPr>
            </w:pPr>
          </w:p>
        </w:tc>
        <w:tc>
          <w:tcPr>
            <w:tcW w:w="50" w:type="pct"/>
            <w:shd w:val="clear" w:color="auto" w:fill="auto"/>
            <w:vAlign w:val="center"/>
          </w:tcPr>
          <w:p w14:paraId="2A73BAEA" w14:textId="77777777" w:rsidR="00FA5565" w:rsidRDefault="00FA5565">
            <w:pPr>
              <w:rPr>
                <w:rFonts w:ascii="Times New Roman" w:hAnsi="Times New Roman"/>
                <w:sz w:val="20"/>
                <w:szCs w:val="20"/>
              </w:rPr>
            </w:pPr>
          </w:p>
        </w:tc>
        <w:tc>
          <w:tcPr>
            <w:tcW w:w="600" w:type="pct"/>
            <w:shd w:val="clear" w:color="auto" w:fill="auto"/>
            <w:vAlign w:val="center"/>
          </w:tcPr>
          <w:p w14:paraId="2A73BAEB" w14:textId="77777777" w:rsidR="00FA5565" w:rsidRDefault="00FA5565">
            <w:pPr>
              <w:rPr>
                <w:rFonts w:ascii="Times New Roman" w:hAnsi="Times New Roman"/>
                <w:sz w:val="20"/>
                <w:szCs w:val="20"/>
              </w:rPr>
            </w:pPr>
          </w:p>
        </w:tc>
        <w:tc>
          <w:tcPr>
            <w:tcW w:w="50" w:type="pct"/>
            <w:shd w:val="clear" w:color="auto" w:fill="auto"/>
            <w:vAlign w:val="center"/>
          </w:tcPr>
          <w:p w14:paraId="2A73BAEC" w14:textId="77777777" w:rsidR="00FA5565" w:rsidRDefault="00FA5565">
            <w:pPr>
              <w:rPr>
                <w:rFonts w:ascii="Times New Roman" w:hAnsi="Times New Roman"/>
                <w:sz w:val="20"/>
                <w:szCs w:val="20"/>
              </w:rPr>
            </w:pPr>
          </w:p>
        </w:tc>
        <w:tc>
          <w:tcPr>
            <w:tcW w:w="50" w:type="pct"/>
            <w:shd w:val="clear" w:color="auto" w:fill="auto"/>
            <w:vAlign w:val="center"/>
          </w:tcPr>
          <w:p w14:paraId="2A73BAED" w14:textId="77777777" w:rsidR="00FA5565" w:rsidRDefault="00FA5565">
            <w:pPr>
              <w:rPr>
                <w:rFonts w:ascii="Times New Roman" w:hAnsi="Times New Roman"/>
                <w:sz w:val="20"/>
                <w:szCs w:val="20"/>
              </w:rPr>
            </w:pPr>
          </w:p>
        </w:tc>
        <w:tc>
          <w:tcPr>
            <w:tcW w:w="50" w:type="pct"/>
            <w:shd w:val="clear" w:color="auto" w:fill="auto"/>
            <w:vAlign w:val="center"/>
          </w:tcPr>
          <w:p w14:paraId="2A73BAEE" w14:textId="77777777" w:rsidR="00FA5565" w:rsidRDefault="00FA5565">
            <w:pPr>
              <w:rPr>
                <w:rFonts w:ascii="Times New Roman" w:hAnsi="Times New Roman"/>
                <w:sz w:val="20"/>
                <w:szCs w:val="20"/>
              </w:rPr>
            </w:pPr>
          </w:p>
        </w:tc>
        <w:tc>
          <w:tcPr>
            <w:tcW w:w="600" w:type="pct"/>
            <w:shd w:val="clear" w:color="auto" w:fill="auto"/>
            <w:vAlign w:val="center"/>
          </w:tcPr>
          <w:p w14:paraId="2A73BAEF" w14:textId="77777777" w:rsidR="00FA5565" w:rsidRDefault="00FA5565">
            <w:pPr>
              <w:rPr>
                <w:rFonts w:ascii="Times New Roman" w:hAnsi="Times New Roman"/>
                <w:sz w:val="20"/>
                <w:szCs w:val="20"/>
              </w:rPr>
            </w:pPr>
          </w:p>
        </w:tc>
        <w:tc>
          <w:tcPr>
            <w:tcW w:w="50" w:type="pct"/>
            <w:shd w:val="clear" w:color="auto" w:fill="auto"/>
            <w:vAlign w:val="center"/>
          </w:tcPr>
          <w:p w14:paraId="2A73BAF0" w14:textId="77777777" w:rsidR="00FA5565" w:rsidRDefault="00FA5565">
            <w:pPr>
              <w:rPr>
                <w:rFonts w:ascii="Times New Roman" w:hAnsi="Times New Roman"/>
                <w:sz w:val="20"/>
                <w:szCs w:val="20"/>
              </w:rPr>
            </w:pPr>
          </w:p>
        </w:tc>
      </w:tr>
      <w:tr w:rsidR="00FA5565" w14:paraId="2A73BAFA" w14:textId="77777777">
        <w:tc>
          <w:tcPr>
            <w:tcW w:w="0" w:type="auto"/>
            <w:shd w:val="clear" w:color="auto" w:fill="auto"/>
            <w:tcMar>
              <w:top w:w="40" w:type="dxa"/>
              <w:left w:w="40" w:type="dxa"/>
              <w:bottom w:w="40" w:type="dxa"/>
              <w:right w:w="40" w:type="dxa"/>
            </w:tcMar>
            <w:vAlign w:val="bottom"/>
          </w:tcPr>
          <w:p w14:paraId="2A73BAF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F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 xml:space="preserve">Fourth </w:t>
            </w:r>
            <w:r>
              <w:rPr>
                <w:rFonts w:ascii="Helvetica" w:eastAsia="Helvetica" w:hAnsi="Helvetica" w:cs="Helvetica"/>
                <w:b/>
                <w:bCs/>
                <w:sz w:val="16"/>
                <w:szCs w:val="16"/>
              </w:rPr>
              <w:t>Quarter</w:t>
            </w:r>
          </w:p>
        </w:tc>
        <w:tc>
          <w:tcPr>
            <w:tcW w:w="0" w:type="auto"/>
            <w:shd w:val="clear" w:color="auto" w:fill="auto"/>
            <w:tcMar>
              <w:top w:w="40" w:type="dxa"/>
              <w:left w:w="40" w:type="dxa"/>
              <w:bottom w:w="40" w:type="dxa"/>
              <w:right w:w="40" w:type="dxa"/>
            </w:tcMar>
            <w:vAlign w:val="bottom"/>
          </w:tcPr>
          <w:p w14:paraId="2A73BAF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F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Third Quarter</w:t>
            </w:r>
          </w:p>
        </w:tc>
        <w:tc>
          <w:tcPr>
            <w:tcW w:w="0" w:type="auto"/>
            <w:shd w:val="clear" w:color="auto" w:fill="auto"/>
            <w:tcMar>
              <w:top w:w="40" w:type="dxa"/>
              <w:left w:w="40" w:type="dxa"/>
              <w:bottom w:w="40" w:type="dxa"/>
              <w:right w:w="40" w:type="dxa"/>
            </w:tcMar>
            <w:vAlign w:val="bottom"/>
          </w:tcPr>
          <w:p w14:paraId="2A73BAF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F7"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Second Quarter</w:t>
            </w:r>
          </w:p>
        </w:tc>
        <w:tc>
          <w:tcPr>
            <w:tcW w:w="0" w:type="auto"/>
            <w:shd w:val="clear" w:color="auto" w:fill="auto"/>
            <w:tcMar>
              <w:top w:w="40" w:type="dxa"/>
              <w:left w:w="40" w:type="dxa"/>
              <w:bottom w:w="40" w:type="dxa"/>
              <w:right w:w="40" w:type="dxa"/>
            </w:tcMar>
            <w:vAlign w:val="bottom"/>
          </w:tcPr>
          <w:p w14:paraId="2A73BAF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AF9"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First Quarter</w:t>
            </w:r>
          </w:p>
        </w:tc>
      </w:tr>
      <w:tr w:rsidR="00FA5565" w14:paraId="2A73BB03" w14:textId="77777777">
        <w:tc>
          <w:tcPr>
            <w:tcW w:w="0" w:type="auto"/>
            <w:shd w:val="clear" w:color="auto" w:fill="auto"/>
            <w:tcMar>
              <w:top w:w="40" w:type="dxa"/>
              <w:left w:w="40" w:type="dxa"/>
              <w:bottom w:w="40" w:type="dxa"/>
              <w:right w:w="40" w:type="dxa"/>
            </w:tcMar>
          </w:tcPr>
          <w:p w14:paraId="2A73BAF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2019:</w:t>
            </w:r>
          </w:p>
        </w:tc>
        <w:tc>
          <w:tcPr>
            <w:tcW w:w="0" w:type="auto"/>
            <w:gridSpan w:val="3"/>
            <w:shd w:val="clear" w:color="auto" w:fill="auto"/>
            <w:tcMar>
              <w:top w:w="40" w:type="dxa"/>
              <w:left w:w="40" w:type="dxa"/>
              <w:bottom w:w="40" w:type="dxa"/>
              <w:right w:w="40" w:type="dxa"/>
            </w:tcMar>
            <w:vAlign w:val="bottom"/>
          </w:tcPr>
          <w:p w14:paraId="2A73BAF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A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AF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AF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0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B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0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B14" w14:textId="77777777">
        <w:tc>
          <w:tcPr>
            <w:tcW w:w="0" w:type="auto"/>
            <w:shd w:val="clear" w:color="auto" w:fill="EFEFEF"/>
            <w:tcMar>
              <w:top w:w="40" w:type="dxa"/>
              <w:left w:w="560" w:type="dxa"/>
              <w:bottom w:w="40" w:type="dxa"/>
              <w:right w:w="40" w:type="dxa"/>
            </w:tcMar>
          </w:tcPr>
          <w:p w14:paraId="2A73BB04"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net sales</w:t>
            </w:r>
          </w:p>
        </w:tc>
        <w:tc>
          <w:tcPr>
            <w:tcW w:w="0" w:type="auto"/>
            <w:shd w:val="clear" w:color="auto" w:fill="EFEFEF"/>
            <w:tcMar>
              <w:top w:w="40" w:type="dxa"/>
              <w:left w:w="40" w:type="dxa"/>
              <w:bottom w:w="40" w:type="dxa"/>
            </w:tcMar>
            <w:vAlign w:val="bottom"/>
          </w:tcPr>
          <w:p w14:paraId="2A73BB0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06"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64,040</w:t>
            </w:r>
          </w:p>
        </w:tc>
        <w:tc>
          <w:tcPr>
            <w:tcW w:w="0" w:type="auto"/>
            <w:shd w:val="clear" w:color="auto" w:fill="EFEFEF"/>
            <w:vAlign w:val="bottom"/>
          </w:tcPr>
          <w:p w14:paraId="2A73BB07"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0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0A"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53,809</w:t>
            </w:r>
          </w:p>
        </w:tc>
        <w:tc>
          <w:tcPr>
            <w:tcW w:w="0" w:type="auto"/>
            <w:shd w:val="clear" w:color="auto" w:fill="EFEFEF"/>
            <w:vAlign w:val="bottom"/>
          </w:tcPr>
          <w:p w14:paraId="2A73BB0B"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0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0E"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58,015</w:t>
            </w:r>
          </w:p>
        </w:tc>
        <w:tc>
          <w:tcPr>
            <w:tcW w:w="0" w:type="auto"/>
            <w:shd w:val="clear" w:color="auto" w:fill="EFEFEF"/>
            <w:vAlign w:val="bottom"/>
          </w:tcPr>
          <w:p w14:paraId="2A73BB0F"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11"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12"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84,310</w:t>
            </w:r>
          </w:p>
        </w:tc>
        <w:tc>
          <w:tcPr>
            <w:tcW w:w="0" w:type="auto"/>
            <w:shd w:val="clear" w:color="auto" w:fill="EFEFEF"/>
            <w:vAlign w:val="bottom"/>
          </w:tcPr>
          <w:p w14:paraId="2A73BB13" w14:textId="77777777" w:rsidR="00FA5565" w:rsidRDefault="00FA5565">
            <w:pPr>
              <w:textAlignment w:val="bottom"/>
              <w:rPr>
                <w:rFonts w:ascii="Times New Roman" w:hAnsi="Times New Roman"/>
                <w:sz w:val="20"/>
                <w:szCs w:val="20"/>
              </w:rPr>
            </w:pPr>
          </w:p>
        </w:tc>
      </w:tr>
      <w:tr w:rsidR="00FA5565" w14:paraId="2A73BB25" w14:textId="77777777">
        <w:tc>
          <w:tcPr>
            <w:tcW w:w="0" w:type="auto"/>
            <w:shd w:val="clear" w:color="auto" w:fill="auto"/>
            <w:tcMar>
              <w:top w:w="40" w:type="dxa"/>
              <w:left w:w="560" w:type="dxa"/>
              <w:bottom w:w="40" w:type="dxa"/>
              <w:right w:w="40" w:type="dxa"/>
            </w:tcMar>
          </w:tcPr>
          <w:p w14:paraId="2A73BB15"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Gross margin</w:t>
            </w:r>
          </w:p>
        </w:tc>
        <w:tc>
          <w:tcPr>
            <w:tcW w:w="0" w:type="auto"/>
            <w:shd w:val="clear" w:color="auto" w:fill="auto"/>
            <w:tcMar>
              <w:top w:w="40" w:type="dxa"/>
              <w:left w:w="40" w:type="dxa"/>
              <w:bottom w:w="40" w:type="dxa"/>
            </w:tcMar>
            <w:vAlign w:val="bottom"/>
          </w:tcPr>
          <w:p w14:paraId="2A73BB1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1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24,313</w:t>
            </w:r>
          </w:p>
        </w:tc>
        <w:tc>
          <w:tcPr>
            <w:tcW w:w="0" w:type="auto"/>
            <w:shd w:val="clear" w:color="auto" w:fill="auto"/>
            <w:vAlign w:val="bottom"/>
          </w:tcPr>
          <w:p w14:paraId="2A73BB18"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1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1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20,227</w:t>
            </w:r>
          </w:p>
        </w:tc>
        <w:tc>
          <w:tcPr>
            <w:tcW w:w="0" w:type="auto"/>
            <w:shd w:val="clear" w:color="auto" w:fill="auto"/>
            <w:vAlign w:val="bottom"/>
          </w:tcPr>
          <w:p w14:paraId="2A73BB1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1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1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1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21,821</w:t>
            </w:r>
          </w:p>
        </w:tc>
        <w:tc>
          <w:tcPr>
            <w:tcW w:w="0" w:type="auto"/>
            <w:shd w:val="clear" w:color="auto" w:fill="auto"/>
            <w:vAlign w:val="bottom"/>
          </w:tcPr>
          <w:p w14:paraId="2A73BB2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2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2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32,031</w:t>
            </w:r>
          </w:p>
        </w:tc>
        <w:tc>
          <w:tcPr>
            <w:tcW w:w="0" w:type="auto"/>
            <w:shd w:val="clear" w:color="auto" w:fill="auto"/>
            <w:vAlign w:val="bottom"/>
          </w:tcPr>
          <w:p w14:paraId="2A73BB24" w14:textId="77777777" w:rsidR="00FA5565" w:rsidRDefault="00FA5565">
            <w:pPr>
              <w:textAlignment w:val="bottom"/>
              <w:rPr>
                <w:rFonts w:ascii="Times New Roman" w:hAnsi="Times New Roman"/>
                <w:sz w:val="20"/>
                <w:szCs w:val="20"/>
              </w:rPr>
            </w:pPr>
          </w:p>
        </w:tc>
      </w:tr>
      <w:tr w:rsidR="00FA5565" w14:paraId="2A73BB36" w14:textId="77777777">
        <w:tc>
          <w:tcPr>
            <w:tcW w:w="0" w:type="auto"/>
            <w:shd w:val="clear" w:color="auto" w:fill="EFEFEF"/>
            <w:tcMar>
              <w:top w:w="40" w:type="dxa"/>
              <w:left w:w="560" w:type="dxa"/>
              <w:bottom w:w="40" w:type="dxa"/>
              <w:right w:w="40" w:type="dxa"/>
            </w:tcMar>
          </w:tcPr>
          <w:p w14:paraId="2A73BB2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income</w:t>
            </w:r>
          </w:p>
        </w:tc>
        <w:tc>
          <w:tcPr>
            <w:tcW w:w="0" w:type="auto"/>
            <w:shd w:val="clear" w:color="auto" w:fill="EFEFEF"/>
            <w:tcMar>
              <w:top w:w="40" w:type="dxa"/>
              <w:left w:w="40" w:type="dxa"/>
              <w:bottom w:w="40" w:type="dxa"/>
            </w:tcMar>
            <w:vAlign w:val="bottom"/>
          </w:tcPr>
          <w:p w14:paraId="2A73BB2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2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13,686</w:t>
            </w:r>
          </w:p>
        </w:tc>
        <w:tc>
          <w:tcPr>
            <w:tcW w:w="0" w:type="auto"/>
            <w:shd w:val="clear" w:color="auto" w:fill="EFEFEF"/>
            <w:vAlign w:val="bottom"/>
          </w:tcPr>
          <w:p w14:paraId="2A73BB29"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2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2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10,044</w:t>
            </w:r>
          </w:p>
        </w:tc>
        <w:tc>
          <w:tcPr>
            <w:tcW w:w="0" w:type="auto"/>
            <w:shd w:val="clear" w:color="auto" w:fill="EFEFEF"/>
            <w:vAlign w:val="bottom"/>
          </w:tcPr>
          <w:p w14:paraId="2A73BB2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2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3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11,561</w:t>
            </w:r>
          </w:p>
        </w:tc>
        <w:tc>
          <w:tcPr>
            <w:tcW w:w="0" w:type="auto"/>
            <w:shd w:val="clear" w:color="auto" w:fill="EFEFEF"/>
            <w:vAlign w:val="bottom"/>
          </w:tcPr>
          <w:p w14:paraId="2A73BB3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3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3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19,965</w:t>
            </w:r>
          </w:p>
        </w:tc>
        <w:tc>
          <w:tcPr>
            <w:tcW w:w="0" w:type="auto"/>
            <w:shd w:val="clear" w:color="auto" w:fill="EFEFEF"/>
            <w:vAlign w:val="bottom"/>
          </w:tcPr>
          <w:p w14:paraId="2A73BB35" w14:textId="77777777" w:rsidR="00FA5565" w:rsidRDefault="00FA5565">
            <w:pPr>
              <w:textAlignment w:val="bottom"/>
              <w:rPr>
                <w:rFonts w:ascii="Times New Roman" w:hAnsi="Times New Roman"/>
                <w:sz w:val="20"/>
                <w:szCs w:val="20"/>
              </w:rPr>
            </w:pPr>
          </w:p>
        </w:tc>
      </w:tr>
      <w:tr w:rsidR="00FA5565" w14:paraId="2A73BB3F" w14:textId="77777777">
        <w:tc>
          <w:tcPr>
            <w:tcW w:w="0" w:type="auto"/>
            <w:shd w:val="clear" w:color="auto" w:fill="auto"/>
            <w:tcMar>
              <w:top w:w="40" w:type="dxa"/>
              <w:left w:w="40" w:type="dxa"/>
              <w:bottom w:w="40" w:type="dxa"/>
              <w:right w:w="40" w:type="dxa"/>
            </w:tcMar>
            <w:vAlign w:val="bottom"/>
          </w:tcPr>
          <w:p w14:paraId="2A73BB3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B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B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B3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3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B48" w14:textId="77777777">
        <w:tc>
          <w:tcPr>
            <w:tcW w:w="0" w:type="auto"/>
            <w:shd w:val="clear" w:color="auto" w:fill="EFEFEF"/>
            <w:tcMar>
              <w:top w:w="40" w:type="dxa"/>
              <w:left w:w="40" w:type="dxa"/>
              <w:bottom w:w="40" w:type="dxa"/>
              <w:right w:w="40" w:type="dxa"/>
            </w:tcMar>
            <w:vAlign w:val="bottom"/>
          </w:tcPr>
          <w:p w14:paraId="2A73BB40"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Earnings per share (1):</w:t>
            </w:r>
          </w:p>
        </w:tc>
        <w:tc>
          <w:tcPr>
            <w:tcW w:w="0" w:type="auto"/>
            <w:gridSpan w:val="3"/>
            <w:shd w:val="clear" w:color="auto" w:fill="EFEFEF"/>
            <w:tcMar>
              <w:top w:w="40" w:type="dxa"/>
              <w:left w:w="40" w:type="dxa"/>
              <w:bottom w:w="40" w:type="dxa"/>
              <w:right w:w="40" w:type="dxa"/>
            </w:tcMar>
            <w:vAlign w:val="bottom"/>
          </w:tcPr>
          <w:p w14:paraId="2A73BB4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B4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B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B4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B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B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B4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B59" w14:textId="77777777">
        <w:tc>
          <w:tcPr>
            <w:tcW w:w="0" w:type="auto"/>
            <w:shd w:val="clear" w:color="auto" w:fill="auto"/>
            <w:tcMar>
              <w:top w:w="40" w:type="dxa"/>
              <w:left w:w="560" w:type="dxa"/>
              <w:bottom w:w="40" w:type="dxa"/>
              <w:right w:w="40" w:type="dxa"/>
            </w:tcMar>
          </w:tcPr>
          <w:p w14:paraId="2A73BB4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Basic</w:t>
            </w:r>
          </w:p>
        </w:tc>
        <w:tc>
          <w:tcPr>
            <w:tcW w:w="0" w:type="auto"/>
            <w:shd w:val="clear" w:color="auto" w:fill="auto"/>
            <w:tcMar>
              <w:top w:w="40" w:type="dxa"/>
              <w:left w:w="40" w:type="dxa"/>
              <w:bottom w:w="40" w:type="dxa"/>
            </w:tcMar>
            <w:vAlign w:val="bottom"/>
          </w:tcPr>
          <w:p w14:paraId="2A73BB4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4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3.05</w:t>
            </w:r>
          </w:p>
        </w:tc>
        <w:tc>
          <w:tcPr>
            <w:tcW w:w="0" w:type="auto"/>
            <w:shd w:val="clear" w:color="auto" w:fill="auto"/>
            <w:vAlign w:val="bottom"/>
          </w:tcPr>
          <w:p w14:paraId="2A73BB4C"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4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4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2.20</w:t>
            </w:r>
          </w:p>
        </w:tc>
        <w:tc>
          <w:tcPr>
            <w:tcW w:w="0" w:type="auto"/>
            <w:shd w:val="clear" w:color="auto" w:fill="auto"/>
            <w:vAlign w:val="bottom"/>
          </w:tcPr>
          <w:p w14:paraId="2A73BB50"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5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5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5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2.47</w:t>
            </w:r>
          </w:p>
        </w:tc>
        <w:tc>
          <w:tcPr>
            <w:tcW w:w="0" w:type="auto"/>
            <w:shd w:val="clear" w:color="auto" w:fill="auto"/>
            <w:vAlign w:val="bottom"/>
          </w:tcPr>
          <w:p w14:paraId="2A73BB54"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5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5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5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4.22</w:t>
            </w:r>
          </w:p>
        </w:tc>
        <w:tc>
          <w:tcPr>
            <w:tcW w:w="0" w:type="auto"/>
            <w:shd w:val="clear" w:color="auto" w:fill="auto"/>
            <w:vAlign w:val="bottom"/>
          </w:tcPr>
          <w:p w14:paraId="2A73BB58" w14:textId="77777777" w:rsidR="00FA5565" w:rsidRDefault="00FA5565">
            <w:pPr>
              <w:textAlignment w:val="bottom"/>
              <w:rPr>
                <w:rFonts w:ascii="Times New Roman" w:hAnsi="Times New Roman"/>
                <w:sz w:val="20"/>
                <w:szCs w:val="20"/>
              </w:rPr>
            </w:pPr>
          </w:p>
        </w:tc>
      </w:tr>
      <w:tr w:rsidR="00FA5565" w14:paraId="2A73BB6A" w14:textId="77777777">
        <w:tc>
          <w:tcPr>
            <w:tcW w:w="0" w:type="auto"/>
            <w:shd w:val="clear" w:color="auto" w:fill="EFEFEF"/>
            <w:tcMar>
              <w:top w:w="40" w:type="dxa"/>
              <w:left w:w="560" w:type="dxa"/>
              <w:bottom w:w="40" w:type="dxa"/>
              <w:right w:w="40" w:type="dxa"/>
            </w:tcMar>
          </w:tcPr>
          <w:p w14:paraId="2A73BB5A"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Diluted</w:t>
            </w:r>
          </w:p>
        </w:tc>
        <w:tc>
          <w:tcPr>
            <w:tcW w:w="0" w:type="auto"/>
            <w:shd w:val="clear" w:color="auto" w:fill="EFEFEF"/>
            <w:tcMar>
              <w:top w:w="40" w:type="dxa"/>
              <w:left w:w="40" w:type="dxa"/>
              <w:bottom w:w="40" w:type="dxa"/>
            </w:tcMar>
            <w:vAlign w:val="bottom"/>
          </w:tcPr>
          <w:p w14:paraId="2A73BB5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5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3.03</w:t>
            </w:r>
          </w:p>
        </w:tc>
        <w:tc>
          <w:tcPr>
            <w:tcW w:w="0" w:type="auto"/>
            <w:shd w:val="clear" w:color="auto" w:fill="EFEFEF"/>
            <w:vAlign w:val="bottom"/>
          </w:tcPr>
          <w:p w14:paraId="2A73BB5D"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5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6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2.18</w:t>
            </w:r>
          </w:p>
        </w:tc>
        <w:tc>
          <w:tcPr>
            <w:tcW w:w="0" w:type="auto"/>
            <w:shd w:val="clear" w:color="auto" w:fill="EFEFEF"/>
            <w:vAlign w:val="bottom"/>
          </w:tcPr>
          <w:p w14:paraId="2A73BB61"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6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6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6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2.46</w:t>
            </w:r>
          </w:p>
        </w:tc>
        <w:tc>
          <w:tcPr>
            <w:tcW w:w="0" w:type="auto"/>
            <w:shd w:val="clear" w:color="auto" w:fill="EFEFEF"/>
            <w:vAlign w:val="bottom"/>
          </w:tcPr>
          <w:p w14:paraId="2A73BB65"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6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6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6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4.18</w:t>
            </w:r>
          </w:p>
        </w:tc>
        <w:tc>
          <w:tcPr>
            <w:tcW w:w="0" w:type="auto"/>
            <w:shd w:val="clear" w:color="auto" w:fill="EFEFEF"/>
            <w:vAlign w:val="bottom"/>
          </w:tcPr>
          <w:p w14:paraId="2A73BB69" w14:textId="77777777" w:rsidR="00FA5565" w:rsidRDefault="00FA5565">
            <w:pPr>
              <w:textAlignment w:val="bottom"/>
              <w:rPr>
                <w:rFonts w:ascii="Times New Roman" w:hAnsi="Times New Roman"/>
                <w:sz w:val="20"/>
                <w:szCs w:val="20"/>
              </w:rPr>
            </w:pPr>
          </w:p>
        </w:tc>
      </w:tr>
    </w:tbl>
    <w:p w14:paraId="2A73BB6B" w14:textId="77777777" w:rsidR="00FA5565" w:rsidRDefault="00FA5565">
      <w:pPr>
        <w:rPr>
          <w:vanish/>
        </w:rPr>
      </w:pPr>
    </w:p>
    <w:tbl>
      <w:tblPr>
        <w:tblW w:w="5000" w:type="pct"/>
        <w:tblCellMar>
          <w:left w:w="0" w:type="dxa"/>
          <w:right w:w="0" w:type="dxa"/>
        </w:tblCellMar>
        <w:tblLook w:val="04A0" w:firstRow="1" w:lastRow="0" w:firstColumn="1" w:lastColumn="0" w:noHBand="0" w:noVBand="1"/>
      </w:tblPr>
      <w:tblGrid>
        <w:gridCol w:w="3363"/>
        <w:gridCol w:w="141"/>
        <w:gridCol w:w="955"/>
        <w:gridCol w:w="41"/>
        <w:gridCol w:w="130"/>
        <w:gridCol w:w="141"/>
        <w:gridCol w:w="955"/>
        <w:gridCol w:w="42"/>
        <w:gridCol w:w="130"/>
        <w:gridCol w:w="141"/>
        <w:gridCol w:w="956"/>
        <w:gridCol w:w="42"/>
        <w:gridCol w:w="130"/>
        <w:gridCol w:w="141"/>
        <w:gridCol w:w="956"/>
        <w:gridCol w:w="42"/>
      </w:tblGrid>
      <w:tr w:rsidR="00FA5565" w14:paraId="2A73BB6D" w14:textId="77777777">
        <w:tc>
          <w:tcPr>
            <w:tcW w:w="0" w:type="auto"/>
            <w:gridSpan w:val="16"/>
            <w:shd w:val="clear" w:color="auto" w:fill="auto"/>
            <w:vAlign w:val="center"/>
          </w:tcPr>
          <w:p w14:paraId="2A73BB6C" w14:textId="77777777" w:rsidR="00FA5565" w:rsidRDefault="00FA5565">
            <w:pPr>
              <w:rPr>
                <w:rFonts w:ascii="Times New Roman" w:hAnsi="Times New Roman"/>
                <w:sz w:val="20"/>
                <w:szCs w:val="20"/>
              </w:rPr>
            </w:pPr>
          </w:p>
        </w:tc>
      </w:tr>
      <w:tr w:rsidR="00FA5565" w14:paraId="2A73BB7E" w14:textId="77777777">
        <w:tc>
          <w:tcPr>
            <w:tcW w:w="2050" w:type="pct"/>
            <w:shd w:val="clear" w:color="auto" w:fill="auto"/>
            <w:vAlign w:val="center"/>
          </w:tcPr>
          <w:p w14:paraId="2A73BB6E" w14:textId="77777777" w:rsidR="00FA5565" w:rsidRDefault="00FA5565">
            <w:pPr>
              <w:rPr>
                <w:rFonts w:ascii="Times New Roman" w:hAnsi="Times New Roman"/>
                <w:sz w:val="20"/>
                <w:szCs w:val="20"/>
              </w:rPr>
            </w:pPr>
          </w:p>
        </w:tc>
        <w:tc>
          <w:tcPr>
            <w:tcW w:w="50" w:type="pct"/>
            <w:shd w:val="clear" w:color="auto" w:fill="auto"/>
            <w:vAlign w:val="center"/>
          </w:tcPr>
          <w:p w14:paraId="2A73BB6F" w14:textId="77777777" w:rsidR="00FA5565" w:rsidRDefault="00FA5565">
            <w:pPr>
              <w:rPr>
                <w:rFonts w:ascii="Times New Roman" w:hAnsi="Times New Roman"/>
                <w:sz w:val="20"/>
                <w:szCs w:val="20"/>
              </w:rPr>
            </w:pPr>
          </w:p>
        </w:tc>
        <w:tc>
          <w:tcPr>
            <w:tcW w:w="600" w:type="pct"/>
            <w:shd w:val="clear" w:color="auto" w:fill="auto"/>
            <w:vAlign w:val="center"/>
          </w:tcPr>
          <w:p w14:paraId="2A73BB70" w14:textId="77777777" w:rsidR="00FA5565" w:rsidRDefault="00FA5565">
            <w:pPr>
              <w:rPr>
                <w:rFonts w:ascii="Times New Roman" w:hAnsi="Times New Roman"/>
                <w:sz w:val="20"/>
                <w:szCs w:val="20"/>
              </w:rPr>
            </w:pPr>
          </w:p>
        </w:tc>
        <w:tc>
          <w:tcPr>
            <w:tcW w:w="50" w:type="pct"/>
            <w:shd w:val="clear" w:color="auto" w:fill="auto"/>
            <w:vAlign w:val="center"/>
          </w:tcPr>
          <w:p w14:paraId="2A73BB71" w14:textId="77777777" w:rsidR="00FA5565" w:rsidRDefault="00FA5565">
            <w:pPr>
              <w:rPr>
                <w:rFonts w:ascii="Times New Roman" w:hAnsi="Times New Roman"/>
                <w:sz w:val="20"/>
                <w:szCs w:val="20"/>
              </w:rPr>
            </w:pPr>
          </w:p>
        </w:tc>
        <w:tc>
          <w:tcPr>
            <w:tcW w:w="50" w:type="pct"/>
            <w:shd w:val="clear" w:color="auto" w:fill="auto"/>
            <w:vAlign w:val="center"/>
          </w:tcPr>
          <w:p w14:paraId="2A73BB72" w14:textId="77777777" w:rsidR="00FA5565" w:rsidRDefault="00FA5565">
            <w:pPr>
              <w:rPr>
                <w:rFonts w:ascii="Times New Roman" w:hAnsi="Times New Roman"/>
                <w:sz w:val="20"/>
                <w:szCs w:val="20"/>
              </w:rPr>
            </w:pPr>
          </w:p>
        </w:tc>
        <w:tc>
          <w:tcPr>
            <w:tcW w:w="50" w:type="pct"/>
            <w:shd w:val="clear" w:color="auto" w:fill="auto"/>
            <w:vAlign w:val="center"/>
          </w:tcPr>
          <w:p w14:paraId="2A73BB73" w14:textId="77777777" w:rsidR="00FA5565" w:rsidRDefault="00FA5565">
            <w:pPr>
              <w:rPr>
                <w:rFonts w:ascii="Times New Roman" w:hAnsi="Times New Roman"/>
                <w:sz w:val="20"/>
                <w:szCs w:val="20"/>
              </w:rPr>
            </w:pPr>
          </w:p>
        </w:tc>
        <w:tc>
          <w:tcPr>
            <w:tcW w:w="600" w:type="pct"/>
            <w:shd w:val="clear" w:color="auto" w:fill="auto"/>
            <w:vAlign w:val="center"/>
          </w:tcPr>
          <w:p w14:paraId="2A73BB74" w14:textId="77777777" w:rsidR="00FA5565" w:rsidRDefault="00FA5565">
            <w:pPr>
              <w:rPr>
                <w:rFonts w:ascii="Times New Roman" w:hAnsi="Times New Roman"/>
                <w:sz w:val="20"/>
                <w:szCs w:val="20"/>
              </w:rPr>
            </w:pPr>
          </w:p>
        </w:tc>
        <w:tc>
          <w:tcPr>
            <w:tcW w:w="50" w:type="pct"/>
            <w:shd w:val="clear" w:color="auto" w:fill="auto"/>
            <w:vAlign w:val="center"/>
          </w:tcPr>
          <w:p w14:paraId="2A73BB75" w14:textId="77777777" w:rsidR="00FA5565" w:rsidRDefault="00FA5565">
            <w:pPr>
              <w:rPr>
                <w:rFonts w:ascii="Times New Roman" w:hAnsi="Times New Roman"/>
                <w:sz w:val="20"/>
                <w:szCs w:val="20"/>
              </w:rPr>
            </w:pPr>
          </w:p>
        </w:tc>
        <w:tc>
          <w:tcPr>
            <w:tcW w:w="50" w:type="pct"/>
            <w:shd w:val="clear" w:color="auto" w:fill="auto"/>
            <w:vAlign w:val="center"/>
          </w:tcPr>
          <w:p w14:paraId="2A73BB76" w14:textId="77777777" w:rsidR="00FA5565" w:rsidRDefault="00FA5565">
            <w:pPr>
              <w:rPr>
                <w:rFonts w:ascii="Times New Roman" w:hAnsi="Times New Roman"/>
                <w:sz w:val="20"/>
                <w:szCs w:val="20"/>
              </w:rPr>
            </w:pPr>
          </w:p>
        </w:tc>
        <w:tc>
          <w:tcPr>
            <w:tcW w:w="50" w:type="pct"/>
            <w:shd w:val="clear" w:color="auto" w:fill="auto"/>
            <w:vAlign w:val="center"/>
          </w:tcPr>
          <w:p w14:paraId="2A73BB77" w14:textId="77777777" w:rsidR="00FA5565" w:rsidRDefault="00FA5565">
            <w:pPr>
              <w:rPr>
                <w:rFonts w:ascii="Times New Roman" w:hAnsi="Times New Roman"/>
                <w:sz w:val="20"/>
                <w:szCs w:val="20"/>
              </w:rPr>
            </w:pPr>
          </w:p>
        </w:tc>
        <w:tc>
          <w:tcPr>
            <w:tcW w:w="600" w:type="pct"/>
            <w:shd w:val="clear" w:color="auto" w:fill="auto"/>
            <w:vAlign w:val="center"/>
          </w:tcPr>
          <w:p w14:paraId="2A73BB78" w14:textId="77777777" w:rsidR="00FA5565" w:rsidRDefault="00FA5565">
            <w:pPr>
              <w:rPr>
                <w:rFonts w:ascii="Times New Roman" w:hAnsi="Times New Roman"/>
                <w:sz w:val="20"/>
                <w:szCs w:val="20"/>
              </w:rPr>
            </w:pPr>
          </w:p>
        </w:tc>
        <w:tc>
          <w:tcPr>
            <w:tcW w:w="50" w:type="pct"/>
            <w:shd w:val="clear" w:color="auto" w:fill="auto"/>
            <w:vAlign w:val="center"/>
          </w:tcPr>
          <w:p w14:paraId="2A73BB79" w14:textId="77777777" w:rsidR="00FA5565" w:rsidRDefault="00FA5565">
            <w:pPr>
              <w:rPr>
                <w:rFonts w:ascii="Times New Roman" w:hAnsi="Times New Roman"/>
                <w:sz w:val="20"/>
                <w:szCs w:val="20"/>
              </w:rPr>
            </w:pPr>
          </w:p>
        </w:tc>
        <w:tc>
          <w:tcPr>
            <w:tcW w:w="50" w:type="pct"/>
            <w:shd w:val="clear" w:color="auto" w:fill="auto"/>
            <w:vAlign w:val="center"/>
          </w:tcPr>
          <w:p w14:paraId="2A73BB7A" w14:textId="77777777" w:rsidR="00FA5565" w:rsidRDefault="00FA5565">
            <w:pPr>
              <w:rPr>
                <w:rFonts w:ascii="Times New Roman" w:hAnsi="Times New Roman"/>
                <w:sz w:val="20"/>
                <w:szCs w:val="20"/>
              </w:rPr>
            </w:pPr>
          </w:p>
        </w:tc>
        <w:tc>
          <w:tcPr>
            <w:tcW w:w="50" w:type="pct"/>
            <w:shd w:val="clear" w:color="auto" w:fill="auto"/>
            <w:vAlign w:val="center"/>
          </w:tcPr>
          <w:p w14:paraId="2A73BB7B" w14:textId="77777777" w:rsidR="00FA5565" w:rsidRDefault="00FA5565">
            <w:pPr>
              <w:rPr>
                <w:rFonts w:ascii="Times New Roman" w:hAnsi="Times New Roman"/>
                <w:sz w:val="20"/>
                <w:szCs w:val="20"/>
              </w:rPr>
            </w:pPr>
          </w:p>
        </w:tc>
        <w:tc>
          <w:tcPr>
            <w:tcW w:w="600" w:type="pct"/>
            <w:shd w:val="clear" w:color="auto" w:fill="auto"/>
            <w:vAlign w:val="center"/>
          </w:tcPr>
          <w:p w14:paraId="2A73BB7C" w14:textId="77777777" w:rsidR="00FA5565" w:rsidRDefault="00FA5565">
            <w:pPr>
              <w:rPr>
                <w:rFonts w:ascii="Times New Roman" w:hAnsi="Times New Roman"/>
                <w:sz w:val="20"/>
                <w:szCs w:val="20"/>
              </w:rPr>
            </w:pPr>
          </w:p>
        </w:tc>
        <w:tc>
          <w:tcPr>
            <w:tcW w:w="50" w:type="pct"/>
            <w:shd w:val="clear" w:color="auto" w:fill="auto"/>
            <w:vAlign w:val="center"/>
          </w:tcPr>
          <w:p w14:paraId="2A73BB7D" w14:textId="77777777" w:rsidR="00FA5565" w:rsidRDefault="00FA5565">
            <w:pPr>
              <w:rPr>
                <w:rFonts w:ascii="Times New Roman" w:hAnsi="Times New Roman"/>
                <w:sz w:val="20"/>
                <w:szCs w:val="20"/>
              </w:rPr>
            </w:pPr>
          </w:p>
        </w:tc>
      </w:tr>
      <w:tr w:rsidR="00FA5565" w14:paraId="2A73BB87" w14:textId="77777777">
        <w:tc>
          <w:tcPr>
            <w:tcW w:w="0" w:type="auto"/>
            <w:shd w:val="clear" w:color="auto" w:fill="auto"/>
            <w:tcMar>
              <w:top w:w="40" w:type="dxa"/>
              <w:left w:w="40" w:type="dxa"/>
              <w:bottom w:w="40" w:type="dxa"/>
              <w:right w:w="40" w:type="dxa"/>
            </w:tcMar>
            <w:vAlign w:val="bottom"/>
          </w:tcPr>
          <w:p w14:paraId="2A73BB7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B80"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Fourth Quarter</w:t>
            </w:r>
          </w:p>
        </w:tc>
        <w:tc>
          <w:tcPr>
            <w:tcW w:w="0" w:type="auto"/>
            <w:shd w:val="clear" w:color="auto" w:fill="auto"/>
            <w:tcMar>
              <w:top w:w="40" w:type="dxa"/>
              <w:left w:w="40" w:type="dxa"/>
              <w:bottom w:w="40" w:type="dxa"/>
              <w:right w:w="40" w:type="dxa"/>
            </w:tcMar>
            <w:vAlign w:val="bottom"/>
          </w:tcPr>
          <w:p w14:paraId="2A73BB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B82"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Third Quarter</w:t>
            </w:r>
          </w:p>
        </w:tc>
        <w:tc>
          <w:tcPr>
            <w:tcW w:w="0" w:type="auto"/>
            <w:shd w:val="clear" w:color="auto" w:fill="auto"/>
            <w:tcMar>
              <w:top w:w="40" w:type="dxa"/>
              <w:left w:w="40" w:type="dxa"/>
              <w:bottom w:w="40" w:type="dxa"/>
              <w:right w:w="40" w:type="dxa"/>
            </w:tcMar>
            <w:vAlign w:val="bottom"/>
          </w:tcPr>
          <w:p w14:paraId="2A73BB8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B8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Second Quarter</w:t>
            </w:r>
          </w:p>
        </w:tc>
        <w:tc>
          <w:tcPr>
            <w:tcW w:w="0" w:type="auto"/>
            <w:shd w:val="clear" w:color="auto" w:fill="auto"/>
            <w:tcMar>
              <w:top w:w="40" w:type="dxa"/>
              <w:left w:w="40" w:type="dxa"/>
              <w:bottom w:w="40" w:type="dxa"/>
              <w:right w:w="40" w:type="dxa"/>
            </w:tcMar>
            <w:vAlign w:val="bottom"/>
          </w:tcPr>
          <w:p w14:paraId="2A73BB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2A73BB8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First Quarter</w:t>
            </w:r>
          </w:p>
        </w:tc>
      </w:tr>
      <w:tr w:rsidR="00FA5565" w14:paraId="2A73BB90" w14:textId="77777777">
        <w:tc>
          <w:tcPr>
            <w:tcW w:w="0" w:type="auto"/>
            <w:shd w:val="clear" w:color="auto" w:fill="auto"/>
            <w:tcMar>
              <w:top w:w="40" w:type="dxa"/>
              <w:left w:w="40" w:type="dxa"/>
              <w:bottom w:w="40" w:type="dxa"/>
              <w:right w:w="40" w:type="dxa"/>
            </w:tcMar>
          </w:tcPr>
          <w:p w14:paraId="2A73BB88"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2018:</w:t>
            </w:r>
          </w:p>
        </w:tc>
        <w:tc>
          <w:tcPr>
            <w:tcW w:w="0" w:type="auto"/>
            <w:gridSpan w:val="3"/>
            <w:shd w:val="clear" w:color="auto" w:fill="auto"/>
            <w:tcMar>
              <w:top w:w="40" w:type="dxa"/>
              <w:left w:w="40" w:type="dxa"/>
              <w:bottom w:w="40" w:type="dxa"/>
              <w:right w:w="40" w:type="dxa"/>
            </w:tcMar>
            <w:vAlign w:val="bottom"/>
          </w:tcPr>
          <w:p w14:paraId="2A73BB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B8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B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B8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BA1" w14:textId="77777777">
        <w:tc>
          <w:tcPr>
            <w:tcW w:w="0" w:type="auto"/>
            <w:shd w:val="clear" w:color="auto" w:fill="EFEFEF"/>
            <w:tcMar>
              <w:top w:w="40" w:type="dxa"/>
              <w:left w:w="560" w:type="dxa"/>
              <w:bottom w:w="40" w:type="dxa"/>
              <w:right w:w="40" w:type="dxa"/>
            </w:tcMar>
          </w:tcPr>
          <w:p w14:paraId="2A73BB91"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Total net sales</w:t>
            </w:r>
          </w:p>
        </w:tc>
        <w:tc>
          <w:tcPr>
            <w:tcW w:w="0" w:type="auto"/>
            <w:shd w:val="clear" w:color="auto" w:fill="EFEFEF"/>
            <w:tcMar>
              <w:top w:w="40" w:type="dxa"/>
              <w:left w:w="40" w:type="dxa"/>
              <w:bottom w:w="40" w:type="dxa"/>
            </w:tcMar>
            <w:vAlign w:val="bottom"/>
          </w:tcPr>
          <w:p w14:paraId="2A73BB9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93"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62,900</w:t>
            </w:r>
          </w:p>
        </w:tc>
        <w:tc>
          <w:tcPr>
            <w:tcW w:w="0" w:type="auto"/>
            <w:shd w:val="clear" w:color="auto" w:fill="EFEFEF"/>
            <w:vAlign w:val="bottom"/>
          </w:tcPr>
          <w:p w14:paraId="2A73BB94"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9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9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97"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53,265</w:t>
            </w:r>
          </w:p>
        </w:tc>
        <w:tc>
          <w:tcPr>
            <w:tcW w:w="0" w:type="auto"/>
            <w:shd w:val="clear" w:color="auto" w:fill="EFEFEF"/>
            <w:vAlign w:val="bottom"/>
          </w:tcPr>
          <w:p w14:paraId="2A73BB98"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9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9B"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61,137</w:t>
            </w:r>
          </w:p>
        </w:tc>
        <w:tc>
          <w:tcPr>
            <w:tcW w:w="0" w:type="auto"/>
            <w:shd w:val="clear" w:color="auto" w:fill="EFEFEF"/>
            <w:vAlign w:val="bottom"/>
          </w:tcPr>
          <w:p w14:paraId="2A73BB9C"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9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9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9F"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88,293</w:t>
            </w:r>
          </w:p>
        </w:tc>
        <w:tc>
          <w:tcPr>
            <w:tcW w:w="0" w:type="auto"/>
            <w:shd w:val="clear" w:color="auto" w:fill="EFEFEF"/>
            <w:vAlign w:val="bottom"/>
          </w:tcPr>
          <w:p w14:paraId="2A73BBA0" w14:textId="77777777" w:rsidR="00FA5565" w:rsidRDefault="00FA5565">
            <w:pPr>
              <w:textAlignment w:val="bottom"/>
              <w:rPr>
                <w:rFonts w:ascii="Times New Roman" w:hAnsi="Times New Roman"/>
                <w:sz w:val="20"/>
                <w:szCs w:val="20"/>
              </w:rPr>
            </w:pPr>
          </w:p>
        </w:tc>
      </w:tr>
      <w:tr w:rsidR="00FA5565" w14:paraId="2A73BBB2" w14:textId="77777777">
        <w:tc>
          <w:tcPr>
            <w:tcW w:w="0" w:type="auto"/>
            <w:shd w:val="clear" w:color="auto" w:fill="auto"/>
            <w:tcMar>
              <w:top w:w="40" w:type="dxa"/>
              <w:left w:w="560" w:type="dxa"/>
              <w:bottom w:w="40" w:type="dxa"/>
              <w:right w:w="40" w:type="dxa"/>
            </w:tcMar>
          </w:tcPr>
          <w:p w14:paraId="2A73BBA2"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Gross margin</w:t>
            </w:r>
          </w:p>
        </w:tc>
        <w:tc>
          <w:tcPr>
            <w:tcW w:w="0" w:type="auto"/>
            <w:shd w:val="clear" w:color="auto" w:fill="auto"/>
            <w:tcMar>
              <w:top w:w="40" w:type="dxa"/>
              <w:left w:w="40" w:type="dxa"/>
              <w:bottom w:w="40" w:type="dxa"/>
            </w:tcMar>
            <w:vAlign w:val="bottom"/>
          </w:tcPr>
          <w:p w14:paraId="2A73BBA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A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24,084</w:t>
            </w:r>
          </w:p>
        </w:tc>
        <w:tc>
          <w:tcPr>
            <w:tcW w:w="0" w:type="auto"/>
            <w:shd w:val="clear" w:color="auto" w:fill="auto"/>
            <w:vAlign w:val="bottom"/>
          </w:tcPr>
          <w:p w14:paraId="2A73BBA5"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A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A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A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20,421</w:t>
            </w:r>
          </w:p>
        </w:tc>
        <w:tc>
          <w:tcPr>
            <w:tcW w:w="0" w:type="auto"/>
            <w:shd w:val="clear" w:color="auto" w:fill="auto"/>
            <w:vAlign w:val="bottom"/>
          </w:tcPr>
          <w:p w14:paraId="2A73BBA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A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A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23,422</w:t>
            </w:r>
          </w:p>
        </w:tc>
        <w:tc>
          <w:tcPr>
            <w:tcW w:w="0" w:type="auto"/>
            <w:shd w:val="clear" w:color="auto" w:fill="auto"/>
            <w:vAlign w:val="bottom"/>
          </w:tcPr>
          <w:p w14:paraId="2A73BBA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A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A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B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33,912</w:t>
            </w:r>
          </w:p>
        </w:tc>
        <w:tc>
          <w:tcPr>
            <w:tcW w:w="0" w:type="auto"/>
            <w:shd w:val="clear" w:color="auto" w:fill="auto"/>
            <w:vAlign w:val="bottom"/>
          </w:tcPr>
          <w:p w14:paraId="2A73BBB1" w14:textId="77777777" w:rsidR="00FA5565" w:rsidRDefault="00FA5565">
            <w:pPr>
              <w:textAlignment w:val="bottom"/>
              <w:rPr>
                <w:rFonts w:ascii="Times New Roman" w:hAnsi="Times New Roman"/>
                <w:sz w:val="20"/>
                <w:szCs w:val="20"/>
              </w:rPr>
            </w:pPr>
          </w:p>
        </w:tc>
      </w:tr>
      <w:tr w:rsidR="00FA5565" w14:paraId="2A73BBC3" w14:textId="77777777">
        <w:tc>
          <w:tcPr>
            <w:tcW w:w="0" w:type="auto"/>
            <w:shd w:val="clear" w:color="auto" w:fill="EFEFEF"/>
            <w:tcMar>
              <w:top w:w="40" w:type="dxa"/>
              <w:left w:w="560" w:type="dxa"/>
              <w:bottom w:w="40" w:type="dxa"/>
              <w:right w:w="40" w:type="dxa"/>
            </w:tcMar>
          </w:tcPr>
          <w:p w14:paraId="2A73BBB3"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Net income</w:t>
            </w:r>
          </w:p>
        </w:tc>
        <w:tc>
          <w:tcPr>
            <w:tcW w:w="0" w:type="auto"/>
            <w:shd w:val="clear" w:color="auto" w:fill="EFEFEF"/>
            <w:tcMar>
              <w:top w:w="40" w:type="dxa"/>
              <w:left w:w="40" w:type="dxa"/>
              <w:bottom w:w="40" w:type="dxa"/>
            </w:tcMar>
            <w:vAlign w:val="bottom"/>
          </w:tcPr>
          <w:p w14:paraId="2A73BBB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B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14,125</w:t>
            </w:r>
          </w:p>
        </w:tc>
        <w:tc>
          <w:tcPr>
            <w:tcW w:w="0" w:type="auto"/>
            <w:shd w:val="clear" w:color="auto" w:fill="EFEFEF"/>
            <w:vAlign w:val="bottom"/>
          </w:tcPr>
          <w:p w14:paraId="2A73BBB6"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B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B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B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11,519</w:t>
            </w:r>
          </w:p>
        </w:tc>
        <w:tc>
          <w:tcPr>
            <w:tcW w:w="0" w:type="auto"/>
            <w:shd w:val="clear" w:color="auto" w:fill="EFEFEF"/>
            <w:vAlign w:val="bottom"/>
          </w:tcPr>
          <w:p w14:paraId="2A73BBB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B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B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B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13,822</w:t>
            </w:r>
          </w:p>
        </w:tc>
        <w:tc>
          <w:tcPr>
            <w:tcW w:w="0" w:type="auto"/>
            <w:shd w:val="clear" w:color="auto" w:fill="EFEFEF"/>
            <w:vAlign w:val="bottom"/>
          </w:tcPr>
          <w:p w14:paraId="2A73BBB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B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C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C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20,065</w:t>
            </w:r>
          </w:p>
        </w:tc>
        <w:tc>
          <w:tcPr>
            <w:tcW w:w="0" w:type="auto"/>
            <w:shd w:val="clear" w:color="auto" w:fill="EFEFEF"/>
            <w:vAlign w:val="bottom"/>
          </w:tcPr>
          <w:p w14:paraId="2A73BBC2" w14:textId="77777777" w:rsidR="00FA5565" w:rsidRDefault="00FA5565">
            <w:pPr>
              <w:textAlignment w:val="bottom"/>
              <w:rPr>
                <w:rFonts w:ascii="Times New Roman" w:hAnsi="Times New Roman"/>
                <w:sz w:val="20"/>
                <w:szCs w:val="20"/>
              </w:rPr>
            </w:pPr>
          </w:p>
        </w:tc>
      </w:tr>
      <w:tr w:rsidR="00FA5565" w14:paraId="2A73BBCC" w14:textId="77777777">
        <w:tc>
          <w:tcPr>
            <w:tcW w:w="0" w:type="auto"/>
            <w:shd w:val="clear" w:color="auto" w:fill="auto"/>
            <w:tcMar>
              <w:top w:w="40" w:type="dxa"/>
              <w:left w:w="40" w:type="dxa"/>
              <w:bottom w:w="40" w:type="dxa"/>
              <w:right w:w="40" w:type="dxa"/>
            </w:tcMar>
            <w:vAlign w:val="bottom"/>
          </w:tcPr>
          <w:p w14:paraId="2A73BBC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BC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C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B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C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BC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2A73BB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BD5" w14:textId="77777777">
        <w:tc>
          <w:tcPr>
            <w:tcW w:w="0" w:type="auto"/>
            <w:shd w:val="clear" w:color="auto" w:fill="EFEFEF"/>
            <w:tcMar>
              <w:top w:w="40" w:type="dxa"/>
              <w:left w:w="40" w:type="dxa"/>
              <w:bottom w:w="40" w:type="dxa"/>
              <w:right w:w="40" w:type="dxa"/>
            </w:tcMar>
            <w:vAlign w:val="bottom"/>
          </w:tcPr>
          <w:p w14:paraId="2A73BBCD" w14:textId="77777777" w:rsidR="00FA5565" w:rsidRDefault="00D804D1">
            <w:pPr>
              <w:ind w:hanging="240"/>
              <w:textAlignment w:val="bottom"/>
              <w:rPr>
                <w:rFonts w:ascii="Times New Roman" w:hAnsi="Times New Roman"/>
                <w:sz w:val="18"/>
                <w:szCs w:val="18"/>
              </w:rPr>
            </w:pPr>
            <w:r>
              <w:rPr>
                <w:rFonts w:ascii="Helvetica" w:eastAsia="Helvetica" w:hAnsi="Helvetica" w:cs="Helvetica"/>
                <w:sz w:val="18"/>
                <w:szCs w:val="18"/>
              </w:rPr>
              <w:t>Earnings per share (1):</w:t>
            </w:r>
          </w:p>
        </w:tc>
        <w:tc>
          <w:tcPr>
            <w:tcW w:w="0" w:type="auto"/>
            <w:gridSpan w:val="3"/>
            <w:shd w:val="clear" w:color="auto" w:fill="EFEFEF"/>
            <w:tcMar>
              <w:top w:w="40" w:type="dxa"/>
              <w:left w:w="40" w:type="dxa"/>
              <w:bottom w:w="40" w:type="dxa"/>
              <w:right w:w="40" w:type="dxa"/>
            </w:tcMar>
            <w:vAlign w:val="bottom"/>
          </w:tcPr>
          <w:p w14:paraId="2A73BBC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B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BD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B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BD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BD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FEFEF"/>
            <w:tcMar>
              <w:top w:w="40" w:type="dxa"/>
              <w:left w:w="40" w:type="dxa"/>
              <w:bottom w:w="40" w:type="dxa"/>
              <w:right w:w="40" w:type="dxa"/>
            </w:tcMar>
            <w:vAlign w:val="bottom"/>
          </w:tcPr>
          <w:p w14:paraId="2A73BB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BE6" w14:textId="77777777">
        <w:tc>
          <w:tcPr>
            <w:tcW w:w="0" w:type="auto"/>
            <w:shd w:val="clear" w:color="auto" w:fill="auto"/>
            <w:tcMar>
              <w:top w:w="40" w:type="dxa"/>
              <w:left w:w="560" w:type="dxa"/>
              <w:bottom w:w="40" w:type="dxa"/>
              <w:right w:w="40" w:type="dxa"/>
            </w:tcMar>
          </w:tcPr>
          <w:p w14:paraId="2A73BBD6"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Basic</w:t>
            </w:r>
          </w:p>
        </w:tc>
        <w:tc>
          <w:tcPr>
            <w:tcW w:w="0" w:type="auto"/>
            <w:shd w:val="clear" w:color="auto" w:fill="auto"/>
            <w:tcMar>
              <w:top w:w="40" w:type="dxa"/>
              <w:left w:w="40" w:type="dxa"/>
              <w:bottom w:w="40" w:type="dxa"/>
            </w:tcMar>
            <w:vAlign w:val="bottom"/>
          </w:tcPr>
          <w:p w14:paraId="2A73BBD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D8"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2.94</w:t>
            </w:r>
          </w:p>
        </w:tc>
        <w:tc>
          <w:tcPr>
            <w:tcW w:w="0" w:type="auto"/>
            <w:shd w:val="clear" w:color="auto" w:fill="auto"/>
            <w:vAlign w:val="bottom"/>
          </w:tcPr>
          <w:p w14:paraId="2A73BBD9"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D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DB"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DC"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2.36</w:t>
            </w:r>
          </w:p>
        </w:tc>
        <w:tc>
          <w:tcPr>
            <w:tcW w:w="0" w:type="auto"/>
            <w:shd w:val="clear" w:color="auto" w:fill="auto"/>
            <w:vAlign w:val="bottom"/>
          </w:tcPr>
          <w:p w14:paraId="2A73BBDD"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D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D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E0"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2.75</w:t>
            </w:r>
          </w:p>
        </w:tc>
        <w:tc>
          <w:tcPr>
            <w:tcW w:w="0" w:type="auto"/>
            <w:shd w:val="clear" w:color="auto" w:fill="auto"/>
            <w:vAlign w:val="bottom"/>
          </w:tcPr>
          <w:p w14:paraId="2A73BBE1" w14:textId="77777777" w:rsidR="00FA5565" w:rsidRDefault="00FA556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2A73BBE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2A73BBE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auto"/>
            <w:tcMar>
              <w:top w:w="40" w:type="dxa"/>
              <w:bottom w:w="40" w:type="dxa"/>
            </w:tcMar>
            <w:vAlign w:val="bottom"/>
          </w:tcPr>
          <w:p w14:paraId="2A73BBE4"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3.92</w:t>
            </w:r>
          </w:p>
        </w:tc>
        <w:tc>
          <w:tcPr>
            <w:tcW w:w="0" w:type="auto"/>
            <w:shd w:val="clear" w:color="auto" w:fill="auto"/>
            <w:vAlign w:val="bottom"/>
          </w:tcPr>
          <w:p w14:paraId="2A73BBE5" w14:textId="77777777" w:rsidR="00FA5565" w:rsidRDefault="00FA5565">
            <w:pPr>
              <w:textAlignment w:val="bottom"/>
              <w:rPr>
                <w:rFonts w:ascii="Times New Roman" w:hAnsi="Times New Roman"/>
                <w:sz w:val="20"/>
                <w:szCs w:val="20"/>
              </w:rPr>
            </w:pPr>
          </w:p>
        </w:tc>
      </w:tr>
      <w:tr w:rsidR="00FA5565" w14:paraId="2A73BBF7" w14:textId="77777777">
        <w:tc>
          <w:tcPr>
            <w:tcW w:w="0" w:type="auto"/>
            <w:shd w:val="clear" w:color="auto" w:fill="EFEFEF"/>
            <w:tcMar>
              <w:top w:w="40" w:type="dxa"/>
              <w:left w:w="560" w:type="dxa"/>
              <w:bottom w:w="40" w:type="dxa"/>
              <w:right w:w="40" w:type="dxa"/>
            </w:tcMar>
          </w:tcPr>
          <w:p w14:paraId="2A73BBE7" w14:textId="77777777" w:rsidR="00FA5565" w:rsidRDefault="00D804D1">
            <w:pPr>
              <w:ind w:hanging="240"/>
              <w:textAlignment w:val="top"/>
              <w:rPr>
                <w:rFonts w:ascii="Times New Roman" w:hAnsi="Times New Roman"/>
                <w:sz w:val="18"/>
                <w:szCs w:val="18"/>
              </w:rPr>
            </w:pPr>
            <w:r>
              <w:rPr>
                <w:rFonts w:ascii="Helvetica" w:eastAsia="Helvetica" w:hAnsi="Helvetica" w:cs="Helvetica"/>
                <w:sz w:val="18"/>
                <w:szCs w:val="18"/>
              </w:rPr>
              <w:t>Diluted</w:t>
            </w:r>
          </w:p>
        </w:tc>
        <w:tc>
          <w:tcPr>
            <w:tcW w:w="0" w:type="auto"/>
            <w:shd w:val="clear" w:color="auto" w:fill="EFEFEF"/>
            <w:tcMar>
              <w:top w:w="40" w:type="dxa"/>
              <w:left w:w="40" w:type="dxa"/>
              <w:bottom w:w="40" w:type="dxa"/>
            </w:tcMar>
            <w:vAlign w:val="bottom"/>
          </w:tcPr>
          <w:p w14:paraId="2A73BBE8"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E9"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2.91</w:t>
            </w:r>
          </w:p>
        </w:tc>
        <w:tc>
          <w:tcPr>
            <w:tcW w:w="0" w:type="auto"/>
            <w:shd w:val="clear" w:color="auto" w:fill="EFEFEF"/>
            <w:vAlign w:val="bottom"/>
          </w:tcPr>
          <w:p w14:paraId="2A73BBEA"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E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E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ED"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2.34</w:t>
            </w:r>
          </w:p>
        </w:tc>
        <w:tc>
          <w:tcPr>
            <w:tcW w:w="0" w:type="auto"/>
            <w:shd w:val="clear" w:color="auto" w:fill="EFEFEF"/>
            <w:vAlign w:val="bottom"/>
          </w:tcPr>
          <w:p w14:paraId="2A73BBEE"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E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F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F1"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2.73</w:t>
            </w:r>
          </w:p>
        </w:tc>
        <w:tc>
          <w:tcPr>
            <w:tcW w:w="0" w:type="auto"/>
            <w:shd w:val="clear" w:color="auto" w:fill="EFEFEF"/>
            <w:vAlign w:val="bottom"/>
          </w:tcPr>
          <w:p w14:paraId="2A73BBF2" w14:textId="77777777" w:rsidR="00FA5565" w:rsidRDefault="00FA5565">
            <w:pPr>
              <w:textAlignment w:val="bottom"/>
              <w:rPr>
                <w:rFonts w:ascii="Times New Roman" w:hAnsi="Times New Roman"/>
                <w:sz w:val="20"/>
                <w:szCs w:val="20"/>
              </w:rPr>
            </w:pPr>
          </w:p>
        </w:tc>
        <w:tc>
          <w:tcPr>
            <w:tcW w:w="0" w:type="auto"/>
            <w:shd w:val="clear" w:color="auto" w:fill="EFEFEF"/>
            <w:tcMar>
              <w:top w:w="40" w:type="dxa"/>
              <w:left w:w="40" w:type="dxa"/>
              <w:bottom w:w="40" w:type="dxa"/>
              <w:right w:w="40" w:type="dxa"/>
            </w:tcMar>
            <w:vAlign w:val="bottom"/>
          </w:tcPr>
          <w:p w14:paraId="2A73BBF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tcMar>
            <w:vAlign w:val="bottom"/>
          </w:tcPr>
          <w:p w14:paraId="2A73BBF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w:t>
            </w:r>
          </w:p>
        </w:tc>
        <w:tc>
          <w:tcPr>
            <w:tcW w:w="0" w:type="auto"/>
            <w:shd w:val="clear" w:color="auto" w:fill="EFEFEF"/>
            <w:tcMar>
              <w:top w:w="40" w:type="dxa"/>
              <w:bottom w:w="40" w:type="dxa"/>
            </w:tcMar>
            <w:vAlign w:val="bottom"/>
          </w:tcPr>
          <w:p w14:paraId="2A73BBF5" w14:textId="77777777" w:rsidR="00FA5565" w:rsidRDefault="00D804D1">
            <w:pPr>
              <w:jc w:val="right"/>
              <w:textAlignment w:val="bottom"/>
              <w:rPr>
                <w:rFonts w:ascii="Times New Roman" w:hAnsi="Times New Roman"/>
                <w:sz w:val="18"/>
                <w:szCs w:val="18"/>
              </w:rPr>
            </w:pPr>
            <w:r>
              <w:rPr>
                <w:rFonts w:ascii="Helvetica" w:eastAsia="Helvetica" w:hAnsi="Helvetica" w:cs="Helvetica"/>
                <w:sz w:val="18"/>
                <w:szCs w:val="18"/>
              </w:rPr>
              <w:t>3.89</w:t>
            </w:r>
          </w:p>
        </w:tc>
        <w:tc>
          <w:tcPr>
            <w:tcW w:w="0" w:type="auto"/>
            <w:shd w:val="clear" w:color="auto" w:fill="EFEFEF"/>
            <w:vAlign w:val="bottom"/>
          </w:tcPr>
          <w:p w14:paraId="2A73BBF6" w14:textId="77777777" w:rsidR="00FA5565" w:rsidRDefault="00FA5565">
            <w:pPr>
              <w:textAlignment w:val="bottom"/>
              <w:rPr>
                <w:rFonts w:ascii="Times New Roman" w:hAnsi="Times New Roman"/>
                <w:sz w:val="20"/>
                <w:szCs w:val="20"/>
              </w:rPr>
            </w:pPr>
          </w:p>
        </w:tc>
      </w:tr>
    </w:tbl>
    <w:p w14:paraId="2A73BBF8" w14:textId="77777777" w:rsidR="00FA5565" w:rsidRDefault="00D804D1">
      <w:pPr>
        <w:spacing w:line="288" w:lineRule="auto"/>
        <w:jc w:val="both"/>
        <w:rPr>
          <w:rFonts w:ascii="Times New Roman" w:hAnsi="Times New Roman"/>
          <w:sz w:val="20"/>
          <w:szCs w:val="20"/>
        </w:rPr>
      </w:pPr>
      <w:r>
        <w:rPr>
          <w:rFonts w:ascii="Helvetica" w:eastAsia="Helvetica" w:hAnsi="Helvetica" w:cs="Helvetica"/>
          <w:sz w:val="12"/>
          <w:szCs w:val="12"/>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BBFB" w14:textId="77777777">
        <w:trPr>
          <w:tblCellSpacing w:w="0" w:type="dxa"/>
        </w:trPr>
        <w:tc>
          <w:tcPr>
            <w:tcW w:w="960" w:type="dxa"/>
            <w:shd w:val="clear" w:color="auto" w:fill="auto"/>
            <w:vAlign w:val="center"/>
          </w:tcPr>
          <w:p w14:paraId="2A73BBF9" w14:textId="77777777" w:rsidR="00FA5565" w:rsidRDefault="00FA5565">
            <w:pPr>
              <w:rPr>
                <w:rFonts w:ascii="Times New Roman" w:hAnsi="Times New Roman"/>
                <w:sz w:val="20"/>
                <w:szCs w:val="20"/>
              </w:rPr>
            </w:pPr>
          </w:p>
        </w:tc>
        <w:tc>
          <w:tcPr>
            <w:tcW w:w="0" w:type="auto"/>
            <w:shd w:val="clear" w:color="auto" w:fill="auto"/>
            <w:vAlign w:val="center"/>
          </w:tcPr>
          <w:p w14:paraId="2A73BBFA" w14:textId="77777777" w:rsidR="00FA5565" w:rsidRDefault="00FA5565">
            <w:pPr>
              <w:rPr>
                <w:rFonts w:ascii="Times New Roman" w:hAnsi="Times New Roman"/>
                <w:sz w:val="20"/>
                <w:szCs w:val="20"/>
              </w:rPr>
            </w:pPr>
          </w:p>
        </w:tc>
      </w:tr>
      <w:tr w:rsidR="00FA5565" w14:paraId="2A73BBFE" w14:textId="77777777">
        <w:trPr>
          <w:tblCellSpacing w:w="0" w:type="dxa"/>
        </w:trPr>
        <w:tc>
          <w:tcPr>
            <w:tcW w:w="0" w:type="auto"/>
            <w:shd w:val="clear" w:color="auto" w:fill="auto"/>
          </w:tcPr>
          <w:p w14:paraId="2A73BBFC"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BBFD"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Basic and diluted earnings per share are computed independently for each of the quarters presented. Therefore, the sum of quarterly basic and </w:t>
            </w:r>
            <w:r>
              <w:rPr>
                <w:rFonts w:ascii="Helvetica" w:eastAsia="Helvetica" w:hAnsi="Helvetica" w:cs="Helvetica"/>
                <w:sz w:val="16"/>
                <w:szCs w:val="16"/>
              </w:rPr>
              <w:t>diluted per share information may not equal annual basic and diluted earnings per share.</w:t>
            </w:r>
          </w:p>
        </w:tc>
      </w:tr>
    </w:tbl>
    <w:p w14:paraId="2A73BBFF" w14:textId="77777777" w:rsidR="00FA5565" w:rsidRDefault="00FA5565">
      <w:pPr>
        <w:rPr>
          <w:rFonts w:ascii="Times New Roman" w:hAnsi="Times New Roman"/>
          <w:sz w:val="20"/>
          <w:szCs w:val="20"/>
        </w:rPr>
      </w:pPr>
    </w:p>
    <w:p w14:paraId="2A73BC00"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55</w:t>
      </w:r>
    </w:p>
    <w:p w14:paraId="2A73BC01" w14:textId="77777777" w:rsidR="00FA5565" w:rsidRDefault="00D804D1">
      <w:r>
        <w:rPr>
          <w:rFonts w:ascii="Times New Roman" w:hAnsi="Times New Roman"/>
          <w:sz w:val="16"/>
          <w:szCs w:val="16"/>
        </w:rPr>
        <w:pict w14:anchorId="2A73C0D3">
          <v:rect id="_x0000_i1081" style="width:415.3pt;height:1.5pt" o:hralign="center" o:hrstd="t" o:hr="t" fillcolor="#a0a0a0" stroked="f"/>
        </w:pict>
      </w:r>
    </w:p>
    <w:p w14:paraId="2A73BC02" w14:textId="77777777" w:rsidR="00FA5565" w:rsidRDefault="00FA5565">
      <w:pPr>
        <w:rPr>
          <w:rFonts w:ascii="Times New Roman" w:hAnsi="Times New Roman"/>
          <w:sz w:val="20"/>
          <w:szCs w:val="20"/>
        </w:rPr>
      </w:pPr>
    </w:p>
    <w:p w14:paraId="2A73BC03" w14:textId="77777777" w:rsidR="00FA5565" w:rsidRDefault="00FA5565">
      <w:pPr>
        <w:spacing w:line="288" w:lineRule="auto"/>
        <w:jc w:val="center"/>
        <w:rPr>
          <w:rFonts w:ascii="Times New Roman" w:hAnsi="Times New Roman"/>
          <w:sz w:val="18"/>
          <w:szCs w:val="18"/>
        </w:rPr>
      </w:pPr>
    </w:p>
    <w:p w14:paraId="2A73BC04"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Report of Independent Registered Public Accounting Firm</w:t>
      </w:r>
    </w:p>
    <w:p w14:paraId="2A73BC0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To the Shareholders and the Board of Directors of Apple Inc.</w:t>
      </w:r>
    </w:p>
    <w:p w14:paraId="2A73BC06"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Opinion on the Financial Statements</w:t>
      </w:r>
    </w:p>
    <w:p w14:paraId="2A73BC0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We have audited the accompanying consolidated balance sheets of Apple Inc. as of September 28, 2019 and September 29, 2018, the related consolidated statements of operations, comprehensive income, shareholders’ equity an</w:t>
      </w:r>
      <w:r>
        <w:rPr>
          <w:rFonts w:ascii="Helvetica" w:eastAsia="Helvetica" w:hAnsi="Helvetica" w:cs="Helvetica"/>
          <w:sz w:val="18"/>
          <w:szCs w:val="18"/>
        </w:rPr>
        <w:t>d cash flows for each of the three years in the period ended September 28, 2019, and the related notes (collectively referred to as the “financial statements”). In our opinion, the financial statements present fairly, in all material respects, the financia</w:t>
      </w:r>
      <w:r>
        <w:rPr>
          <w:rFonts w:ascii="Helvetica" w:eastAsia="Helvetica" w:hAnsi="Helvetica" w:cs="Helvetica"/>
          <w:sz w:val="18"/>
          <w:szCs w:val="18"/>
        </w:rPr>
        <w:t>l position of Apple Inc. at September 28, 2019 and September 29, 2018, and the results of its operations and its cash flows for each of the three years in the period ended September 28, 2019, in conformity with U.S. generally accepted accounting principles</w:t>
      </w:r>
      <w:r>
        <w:rPr>
          <w:rFonts w:ascii="Helvetica" w:eastAsia="Helvetica" w:hAnsi="Helvetica" w:cs="Helvetica"/>
          <w:sz w:val="18"/>
          <w:szCs w:val="18"/>
        </w:rPr>
        <w:t>.</w:t>
      </w:r>
    </w:p>
    <w:p w14:paraId="2A73BC0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We also have audited, in accordance with the standards of the Public Company Accounting Oversight Board (United States) (the “PCAOB”), Apple Inc.’s internal control over financial reporting as of September 28, 2019, based on criteria established in</w:t>
      </w:r>
      <w:r>
        <w:rPr>
          <w:rFonts w:ascii="Helvetica" w:eastAsia="Helvetica" w:hAnsi="Helvetica" w:cs="Helvetica"/>
          <w:i/>
          <w:iCs/>
          <w:sz w:val="18"/>
          <w:szCs w:val="18"/>
        </w:rPr>
        <w:t xml:space="preserve"> Inter</w:t>
      </w:r>
      <w:r>
        <w:rPr>
          <w:rFonts w:ascii="Helvetica" w:eastAsia="Helvetica" w:hAnsi="Helvetica" w:cs="Helvetica"/>
          <w:i/>
          <w:iCs/>
          <w:sz w:val="18"/>
          <w:szCs w:val="18"/>
        </w:rPr>
        <w:t>nal Control – Integrated Framework</w:t>
      </w:r>
      <w:r>
        <w:rPr>
          <w:rFonts w:ascii="Helvetica" w:eastAsia="Helvetica" w:hAnsi="Helvetica" w:cs="Helvetica"/>
          <w:sz w:val="18"/>
          <w:szCs w:val="18"/>
        </w:rPr>
        <w:t xml:space="preserve"> issued by the Committee of Sponsoring Organizations of the Treadway Commission (2013 framework) and our report dated October 30, 2019 expressed an unqualified opinion thereon.</w:t>
      </w:r>
    </w:p>
    <w:p w14:paraId="2A73BC09"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Basis for Opinion</w:t>
      </w:r>
    </w:p>
    <w:p w14:paraId="2A73BC0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These financial </w:t>
      </w:r>
      <w:r>
        <w:rPr>
          <w:rFonts w:ascii="Helvetica" w:eastAsia="Helvetica" w:hAnsi="Helvetica" w:cs="Helvetica"/>
          <w:sz w:val="18"/>
          <w:szCs w:val="18"/>
        </w:rPr>
        <w:t>statements are the responsibility of Apple Inc.’s management. Our responsibility is to express an opinion on Apple Inc.’s financial statements based on our audits. We are a public accounting firm registered with the PCAOB and are required to be independent</w:t>
      </w:r>
      <w:r>
        <w:rPr>
          <w:rFonts w:ascii="Helvetica" w:eastAsia="Helvetica" w:hAnsi="Helvetica" w:cs="Helvetica"/>
          <w:sz w:val="18"/>
          <w:szCs w:val="18"/>
        </w:rPr>
        <w:t xml:space="preserve"> with respect to Apple Inc. in accordance with the U.S. federal securities laws and the applicable rules and regulations of the U.S. Securities and Exchange Commission and the PCAOB.</w:t>
      </w:r>
    </w:p>
    <w:p w14:paraId="2A73BC0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We conducted our audits in accordance with the standards of the PCAOB. Th</w:t>
      </w:r>
      <w:r>
        <w:rPr>
          <w:rFonts w:ascii="Helvetica" w:eastAsia="Helvetica" w:hAnsi="Helvetica" w:cs="Helvetica"/>
          <w:sz w:val="18"/>
          <w:szCs w:val="18"/>
        </w:rPr>
        <w:t>ose standards require that we plan and perform the audit to obtain reasonable assurance about whether the financial statements are free of material misstatement, whether due to error or fraud. Our audits included performing procedures to assess the risks o</w:t>
      </w:r>
      <w:r>
        <w:rPr>
          <w:rFonts w:ascii="Helvetica" w:eastAsia="Helvetica" w:hAnsi="Helvetica" w:cs="Helvetica"/>
          <w:sz w:val="18"/>
          <w:szCs w:val="18"/>
        </w:rPr>
        <w:t xml:space="preserve">f material misstatement of the financial statements, whether due to error or fraud, and performing procedures that respond to those risks. Such procedures included examining, on a test basis, evidence regarding the amounts and disclosures in the financial </w:t>
      </w:r>
      <w:r>
        <w:rPr>
          <w:rFonts w:ascii="Helvetica" w:eastAsia="Helvetica" w:hAnsi="Helvetica" w:cs="Helvetica"/>
          <w:sz w:val="18"/>
          <w:szCs w:val="18"/>
        </w:rPr>
        <w:t>statements. Our audits also included evaluating the accounting principles used and significant estimates made by management, as well as evaluating the overall presentation of the financial statements. We believe that our audits provide a reasonable basis f</w:t>
      </w:r>
      <w:r>
        <w:rPr>
          <w:rFonts w:ascii="Helvetica" w:eastAsia="Helvetica" w:hAnsi="Helvetica" w:cs="Helvetica"/>
          <w:sz w:val="18"/>
          <w:szCs w:val="18"/>
        </w:rPr>
        <w:t>or our opinion.</w:t>
      </w:r>
    </w:p>
    <w:p w14:paraId="2A73BC0C"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Critical Audit Matter</w:t>
      </w:r>
    </w:p>
    <w:p w14:paraId="2A73BC0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critical audit matter communicated below is a matter arising from the current period audit of the financial statements that was communicated or required to be communicated to the audit committee and that: (1) relat</w:t>
      </w:r>
      <w:r>
        <w:rPr>
          <w:rFonts w:ascii="Helvetica" w:eastAsia="Helvetica" w:hAnsi="Helvetica" w:cs="Helvetica"/>
          <w:sz w:val="18"/>
          <w:szCs w:val="18"/>
        </w:rPr>
        <w:t>es to accounts or disclosures that are material to the financial statements and (2) involved our especially challenging, subjective, or complex judgments. The communication of the critical audit matter does not alter in any way our opinion on the financial</w:t>
      </w:r>
      <w:r>
        <w:rPr>
          <w:rFonts w:ascii="Helvetica" w:eastAsia="Helvetica" w:hAnsi="Helvetica" w:cs="Helvetica"/>
          <w:sz w:val="18"/>
          <w:szCs w:val="18"/>
        </w:rPr>
        <w:t xml:space="preserve"> statements, taken as a whole, and we are not, by communicating the critical audit matter below, providing a separate opinion on the critical audit matter or on the account or disclosure to which it relates.</w:t>
      </w:r>
    </w:p>
    <w:tbl>
      <w:tblPr>
        <w:tblW w:w="5000" w:type="pct"/>
        <w:tblCellMar>
          <w:left w:w="0" w:type="dxa"/>
          <w:right w:w="0" w:type="dxa"/>
        </w:tblCellMar>
        <w:tblLook w:val="04A0" w:firstRow="1" w:lastRow="0" w:firstColumn="1" w:lastColumn="0" w:noHBand="0" w:noVBand="1"/>
      </w:tblPr>
      <w:tblGrid>
        <w:gridCol w:w="2326"/>
        <w:gridCol w:w="5980"/>
      </w:tblGrid>
      <w:tr w:rsidR="00FA5565" w14:paraId="2A73BC0F" w14:textId="77777777">
        <w:tc>
          <w:tcPr>
            <w:tcW w:w="0" w:type="auto"/>
            <w:gridSpan w:val="2"/>
            <w:shd w:val="clear" w:color="auto" w:fill="auto"/>
            <w:vAlign w:val="center"/>
          </w:tcPr>
          <w:p w14:paraId="2A73BC0E" w14:textId="77777777" w:rsidR="00FA5565" w:rsidRDefault="00FA5565">
            <w:pPr>
              <w:rPr>
                <w:rFonts w:ascii="Times New Roman" w:hAnsi="Times New Roman"/>
                <w:sz w:val="20"/>
                <w:szCs w:val="20"/>
              </w:rPr>
            </w:pPr>
          </w:p>
        </w:tc>
      </w:tr>
      <w:tr w:rsidR="00FA5565" w14:paraId="2A73BC12" w14:textId="77777777">
        <w:tc>
          <w:tcPr>
            <w:tcW w:w="1400" w:type="pct"/>
            <w:shd w:val="clear" w:color="auto" w:fill="auto"/>
            <w:vAlign w:val="center"/>
          </w:tcPr>
          <w:p w14:paraId="2A73BC10" w14:textId="77777777" w:rsidR="00FA5565" w:rsidRDefault="00FA5565">
            <w:pPr>
              <w:rPr>
                <w:rFonts w:ascii="Times New Roman" w:hAnsi="Times New Roman"/>
                <w:sz w:val="20"/>
                <w:szCs w:val="20"/>
              </w:rPr>
            </w:pPr>
          </w:p>
        </w:tc>
        <w:tc>
          <w:tcPr>
            <w:tcW w:w="3600" w:type="pct"/>
            <w:shd w:val="clear" w:color="auto" w:fill="auto"/>
            <w:vAlign w:val="center"/>
          </w:tcPr>
          <w:p w14:paraId="2A73BC11" w14:textId="77777777" w:rsidR="00FA5565" w:rsidRDefault="00FA5565">
            <w:pPr>
              <w:rPr>
                <w:rFonts w:ascii="Times New Roman" w:hAnsi="Times New Roman"/>
                <w:sz w:val="20"/>
                <w:szCs w:val="20"/>
              </w:rPr>
            </w:pPr>
          </w:p>
        </w:tc>
      </w:tr>
      <w:tr w:rsidR="00FA5565" w14:paraId="2A73BC15" w14:textId="77777777">
        <w:tc>
          <w:tcPr>
            <w:tcW w:w="0" w:type="auto"/>
            <w:shd w:val="clear" w:color="auto" w:fill="auto"/>
            <w:tcMar>
              <w:top w:w="40" w:type="dxa"/>
              <w:left w:w="40" w:type="dxa"/>
              <w:bottom w:w="40" w:type="dxa"/>
              <w:right w:w="40" w:type="dxa"/>
            </w:tcMar>
            <w:vAlign w:val="bottom"/>
          </w:tcPr>
          <w:p w14:paraId="2A73BC1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C14" w14:textId="77777777" w:rsidR="00FA5565" w:rsidRDefault="00D804D1">
            <w:pPr>
              <w:textAlignment w:val="top"/>
              <w:rPr>
                <w:rFonts w:ascii="Times New Roman" w:hAnsi="Times New Roman"/>
                <w:sz w:val="18"/>
                <w:szCs w:val="18"/>
              </w:rPr>
            </w:pPr>
            <w:r>
              <w:rPr>
                <w:rFonts w:ascii="Helvetica" w:eastAsia="Helvetica" w:hAnsi="Helvetica" w:cs="Helvetica"/>
                <w:b/>
                <w:bCs/>
                <w:sz w:val="18"/>
                <w:szCs w:val="18"/>
              </w:rPr>
              <w:t xml:space="preserve">European Commission State Aid </w:t>
            </w:r>
            <w:r>
              <w:rPr>
                <w:rFonts w:ascii="Helvetica" w:eastAsia="Helvetica" w:hAnsi="Helvetica" w:cs="Helvetica"/>
                <w:b/>
                <w:bCs/>
                <w:sz w:val="18"/>
                <w:szCs w:val="18"/>
              </w:rPr>
              <w:t>Matter Uncertain Tax Position</w:t>
            </w:r>
          </w:p>
        </w:tc>
      </w:tr>
      <w:tr w:rsidR="00FA5565" w14:paraId="2A73BC19" w14:textId="77777777">
        <w:tc>
          <w:tcPr>
            <w:tcW w:w="0" w:type="auto"/>
            <w:shd w:val="clear" w:color="auto" w:fill="auto"/>
            <w:tcMar>
              <w:top w:w="40" w:type="dxa"/>
              <w:left w:w="40" w:type="dxa"/>
              <w:bottom w:w="40" w:type="dxa"/>
              <w:right w:w="40" w:type="dxa"/>
            </w:tcMar>
          </w:tcPr>
          <w:p w14:paraId="2A73BC1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Description of the Matter</w:t>
            </w:r>
          </w:p>
        </w:tc>
        <w:tc>
          <w:tcPr>
            <w:tcW w:w="0" w:type="auto"/>
            <w:shd w:val="clear" w:color="auto" w:fill="auto"/>
            <w:tcMar>
              <w:top w:w="40" w:type="dxa"/>
              <w:left w:w="40" w:type="dxa"/>
              <w:bottom w:w="40" w:type="dxa"/>
              <w:right w:w="40" w:type="dxa"/>
            </w:tcMar>
          </w:tcPr>
          <w:p w14:paraId="2A73BC17" w14:textId="77777777" w:rsidR="00FA5565" w:rsidRDefault="00D804D1">
            <w:pPr>
              <w:jc w:val="both"/>
              <w:textAlignment w:val="top"/>
              <w:rPr>
                <w:rFonts w:ascii="Times New Roman" w:hAnsi="Times New Roman"/>
                <w:sz w:val="18"/>
                <w:szCs w:val="18"/>
              </w:rPr>
            </w:pPr>
            <w:r>
              <w:rPr>
                <w:rFonts w:ascii="Helvetica" w:eastAsia="Helvetica" w:hAnsi="Helvetica" w:cs="Helvetica"/>
                <w:sz w:val="18"/>
                <w:szCs w:val="18"/>
              </w:rPr>
              <w:t>As discussed in Note 5 of the financial statements, the European Commission (“EC”) has announced its decision that Ireland granted state aid to Apple Inc. by providing tax opinions in 1991 and 2007 c</w:t>
            </w:r>
            <w:r>
              <w:rPr>
                <w:rFonts w:ascii="Helvetica" w:eastAsia="Helvetica" w:hAnsi="Helvetica" w:cs="Helvetica"/>
                <w:sz w:val="18"/>
                <w:szCs w:val="18"/>
              </w:rPr>
              <w:t xml:space="preserve">oncerning the tax allocation of profits of the Irish branches of two subsidiaries of Apple Inc. The decision ordered Ireland to calculate and recover additional taxes from Apple Inc. for the period from June 2003 through December 2014. The adjusted amount </w:t>
            </w:r>
            <w:r>
              <w:rPr>
                <w:rFonts w:ascii="Helvetica" w:eastAsia="Helvetica" w:hAnsi="Helvetica" w:cs="Helvetica"/>
                <w:sz w:val="18"/>
                <w:szCs w:val="18"/>
              </w:rPr>
              <w:t>indicated by the EC to be recovered is up to €12.9 billion, plus interest.</w:t>
            </w:r>
          </w:p>
          <w:p w14:paraId="2A73BC18" w14:textId="77777777" w:rsidR="00FA5565" w:rsidRDefault="00D804D1">
            <w:pPr>
              <w:jc w:val="both"/>
              <w:textAlignment w:val="top"/>
              <w:rPr>
                <w:rFonts w:ascii="Times New Roman" w:hAnsi="Times New Roman"/>
                <w:sz w:val="18"/>
                <w:szCs w:val="18"/>
              </w:rPr>
            </w:pPr>
            <w:r>
              <w:rPr>
                <w:rFonts w:ascii="Helvetica" w:eastAsia="Helvetica" w:hAnsi="Helvetica" w:cs="Helvetica"/>
                <w:sz w:val="18"/>
                <w:szCs w:val="18"/>
              </w:rPr>
              <w:t>Auditing management’s evaluation of the uncertain tax position stemming from the effects of the EC decision is complex and highly judgmental due to the inherent uncertainty in predi</w:t>
            </w:r>
            <w:r>
              <w:rPr>
                <w:rFonts w:ascii="Helvetica" w:eastAsia="Helvetica" w:hAnsi="Helvetica" w:cs="Helvetica"/>
                <w:sz w:val="18"/>
                <w:szCs w:val="18"/>
              </w:rPr>
              <w:t>cting the ultimate resolution of the matter.</w:t>
            </w:r>
          </w:p>
        </w:tc>
      </w:tr>
    </w:tbl>
    <w:p w14:paraId="2A73BC1A" w14:textId="77777777" w:rsidR="00FA5565" w:rsidRDefault="00FA5565">
      <w:pPr>
        <w:rPr>
          <w:rFonts w:ascii="Times New Roman" w:hAnsi="Times New Roman"/>
          <w:sz w:val="20"/>
          <w:szCs w:val="20"/>
        </w:rPr>
      </w:pPr>
    </w:p>
    <w:p w14:paraId="2A73BC1B"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56</w:t>
      </w:r>
    </w:p>
    <w:p w14:paraId="2A73BC1C" w14:textId="77777777" w:rsidR="00FA5565" w:rsidRDefault="00D804D1">
      <w:r>
        <w:rPr>
          <w:rFonts w:ascii="Times New Roman" w:hAnsi="Times New Roman"/>
          <w:sz w:val="16"/>
          <w:szCs w:val="16"/>
        </w:rPr>
        <w:pict w14:anchorId="2A73C0D4">
          <v:rect id="_x0000_i1082" style="width:415.3pt;height:1.5pt" o:hralign="center" o:hrstd="t" o:hr="t" fillcolor="#a0a0a0" stroked="f"/>
        </w:pict>
      </w:r>
    </w:p>
    <w:p w14:paraId="2A73BC1D" w14:textId="77777777" w:rsidR="00FA5565" w:rsidRDefault="00FA5565">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326"/>
        <w:gridCol w:w="5980"/>
      </w:tblGrid>
      <w:tr w:rsidR="00FA5565" w14:paraId="2A73BC1F" w14:textId="77777777">
        <w:tc>
          <w:tcPr>
            <w:tcW w:w="0" w:type="auto"/>
            <w:gridSpan w:val="2"/>
            <w:shd w:val="clear" w:color="auto" w:fill="auto"/>
            <w:vAlign w:val="center"/>
          </w:tcPr>
          <w:p w14:paraId="2A73BC1E" w14:textId="77777777" w:rsidR="00FA5565" w:rsidRDefault="00FA5565">
            <w:pPr>
              <w:rPr>
                <w:rFonts w:ascii="Times New Roman" w:hAnsi="Times New Roman"/>
                <w:sz w:val="20"/>
                <w:szCs w:val="20"/>
              </w:rPr>
            </w:pPr>
          </w:p>
        </w:tc>
      </w:tr>
      <w:tr w:rsidR="00FA5565" w14:paraId="2A73BC22" w14:textId="77777777">
        <w:tc>
          <w:tcPr>
            <w:tcW w:w="1400" w:type="pct"/>
            <w:shd w:val="clear" w:color="auto" w:fill="auto"/>
            <w:vAlign w:val="center"/>
          </w:tcPr>
          <w:p w14:paraId="2A73BC20" w14:textId="77777777" w:rsidR="00FA5565" w:rsidRDefault="00FA5565">
            <w:pPr>
              <w:rPr>
                <w:rFonts w:ascii="Times New Roman" w:hAnsi="Times New Roman"/>
                <w:sz w:val="20"/>
                <w:szCs w:val="20"/>
              </w:rPr>
            </w:pPr>
          </w:p>
        </w:tc>
        <w:tc>
          <w:tcPr>
            <w:tcW w:w="3600" w:type="pct"/>
            <w:shd w:val="clear" w:color="auto" w:fill="auto"/>
            <w:vAlign w:val="center"/>
          </w:tcPr>
          <w:p w14:paraId="2A73BC21" w14:textId="77777777" w:rsidR="00FA5565" w:rsidRDefault="00FA5565">
            <w:pPr>
              <w:rPr>
                <w:rFonts w:ascii="Times New Roman" w:hAnsi="Times New Roman"/>
                <w:sz w:val="20"/>
                <w:szCs w:val="20"/>
              </w:rPr>
            </w:pPr>
          </w:p>
        </w:tc>
      </w:tr>
      <w:tr w:rsidR="00FA5565" w14:paraId="2A73BC27" w14:textId="77777777">
        <w:tc>
          <w:tcPr>
            <w:tcW w:w="0" w:type="auto"/>
            <w:shd w:val="clear" w:color="auto" w:fill="auto"/>
            <w:tcMar>
              <w:top w:w="40" w:type="dxa"/>
              <w:left w:w="40" w:type="dxa"/>
              <w:bottom w:w="40" w:type="dxa"/>
              <w:right w:w="40" w:type="dxa"/>
            </w:tcMar>
          </w:tcPr>
          <w:p w14:paraId="2A73BC2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How We Addressed the</w:t>
            </w:r>
          </w:p>
          <w:p w14:paraId="2A73BC2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Matter in Our Audit</w:t>
            </w:r>
          </w:p>
        </w:tc>
        <w:tc>
          <w:tcPr>
            <w:tcW w:w="0" w:type="auto"/>
            <w:shd w:val="clear" w:color="auto" w:fill="auto"/>
            <w:tcMar>
              <w:top w:w="40" w:type="dxa"/>
              <w:left w:w="40" w:type="dxa"/>
              <w:bottom w:w="40" w:type="dxa"/>
              <w:right w:w="40" w:type="dxa"/>
            </w:tcMar>
          </w:tcPr>
          <w:p w14:paraId="2A73BC25" w14:textId="77777777" w:rsidR="00FA5565" w:rsidRDefault="00D804D1">
            <w:pPr>
              <w:jc w:val="both"/>
              <w:textAlignment w:val="top"/>
              <w:rPr>
                <w:rFonts w:ascii="Times New Roman" w:hAnsi="Times New Roman"/>
                <w:sz w:val="18"/>
                <w:szCs w:val="18"/>
              </w:rPr>
            </w:pPr>
            <w:r>
              <w:rPr>
                <w:rFonts w:ascii="Helvetica" w:eastAsia="Helvetica" w:hAnsi="Helvetica" w:cs="Helvetica"/>
                <w:sz w:val="18"/>
                <w:szCs w:val="18"/>
              </w:rPr>
              <w:t xml:space="preserve">We tested controls over the risk of material misstatement relating to the evaluation of the EC state aid matter, </w:t>
            </w:r>
            <w:r>
              <w:rPr>
                <w:rFonts w:ascii="Helvetica" w:eastAsia="Helvetica" w:hAnsi="Helvetica" w:cs="Helvetica"/>
                <w:sz w:val="18"/>
                <w:szCs w:val="18"/>
              </w:rPr>
              <w:t>including management’s evaluation of the advice of legal counsel, the assessment as to whether Apple Inc.’s position is more likely than not to be sustained and the development of the related disclosure.</w:t>
            </w:r>
          </w:p>
          <w:p w14:paraId="2A73BC26" w14:textId="77777777" w:rsidR="00FA5565" w:rsidRDefault="00D804D1">
            <w:pPr>
              <w:jc w:val="both"/>
              <w:textAlignment w:val="top"/>
              <w:rPr>
                <w:rFonts w:ascii="Times New Roman" w:hAnsi="Times New Roman"/>
                <w:sz w:val="18"/>
                <w:szCs w:val="18"/>
              </w:rPr>
            </w:pPr>
            <w:r>
              <w:rPr>
                <w:rFonts w:ascii="Helvetica" w:eastAsia="Helvetica" w:hAnsi="Helvetica" w:cs="Helvetica"/>
                <w:sz w:val="18"/>
                <w:szCs w:val="18"/>
              </w:rPr>
              <w:t>To evaluate Apple Inc.’s assessment of whether susta</w:t>
            </w:r>
            <w:r>
              <w:rPr>
                <w:rFonts w:ascii="Helvetica" w:eastAsia="Helvetica" w:hAnsi="Helvetica" w:cs="Helvetica"/>
                <w:sz w:val="18"/>
                <w:szCs w:val="18"/>
              </w:rPr>
              <w:t>inment of its position is a more likely than not outcome, including underlying assumptions, our audit procedures included, among others, reading the EC August 2016 ruling and available correspondence between Apple Inc. and the EC, and the EC and Ireland. W</w:t>
            </w:r>
            <w:r>
              <w:rPr>
                <w:rFonts w:ascii="Helvetica" w:eastAsia="Helvetica" w:hAnsi="Helvetica" w:cs="Helvetica"/>
                <w:sz w:val="18"/>
                <w:szCs w:val="18"/>
              </w:rPr>
              <w:t xml:space="preserve">e also requested and received internal and external legal counsel confirmation letters, discussed the allegations with internal and external legal counsel and Apple Inc. tax personnel and obtained a representation letter from Apple Inc. We involved our EC </w:t>
            </w:r>
            <w:r>
              <w:rPr>
                <w:rFonts w:ascii="Helvetica" w:eastAsia="Helvetica" w:hAnsi="Helvetica" w:cs="Helvetica"/>
                <w:sz w:val="18"/>
                <w:szCs w:val="18"/>
              </w:rPr>
              <w:t>and tax subject matter resources in considering the applicable tax laws, the pending appeal, the current status of legal precedent relevant to that appeal and the proceedings at the court hearing in September 2019. In addition, we evaluated Apple Inc.’s di</w:t>
            </w:r>
            <w:r>
              <w:rPr>
                <w:rFonts w:ascii="Helvetica" w:eastAsia="Helvetica" w:hAnsi="Helvetica" w:cs="Helvetica"/>
                <w:sz w:val="18"/>
                <w:szCs w:val="18"/>
              </w:rPr>
              <w:t>sclosure included in Note 5 in relation to this matter.</w:t>
            </w:r>
          </w:p>
        </w:tc>
      </w:tr>
    </w:tbl>
    <w:p w14:paraId="2A73BC28" w14:textId="77777777" w:rsidR="00FA5565" w:rsidRDefault="00FA5565">
      <w:pPr>
        <w:spacing w:line="288" w:lineRule="auto"/>
        <w:jc w:val="both"/>
        <w:rPr>
          <w:rFonts w:ascii="Times New Roman" w:hAnsi="Times New Roman"/>
          <w:sz w:val="18"/>
          <w:szCs w:val="18"/>
        </w:rPr>
      </w:pPr>
    </w:p>
    <w:p w14:paraId="2A73BC2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 Ernst &amp; Young LLP</w:t>
      </w:r>
    </w:p>
    <w:p w14:paraId="2A73BC2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We have served as Apple Inc.’s auditor since 2009.</w:t>
      </w:r>
    </w:p>
    <w:p w14:paraId="2A73BC2B" w14:textId="77777777" w:rsidR="00FA5565" w:rsidRDefault="00FA5565">
      <w:pPr>
        <w:spacing w:line="288" w:lineRule="auto"/>
        <w:jc w:val="both"/>
        <w:rPr>
          <w:rFonts w:ascii="Times New Roman" w:hAnsi="Times New Roman"/>
          <w:sz w:val="18"/>
          <w:szCs w:val="18"/>
        </w:rPr>
      </w:pPr>
    </w:p>
    <w:p w14:paraId="2A73BC2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San Jose, California</w:t>
      </w:r>
    </w:p>
    <w:p w14:paraId="2A73BC2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October 30, 2019</w:t>
      </w:r>
    </w:p>
    <w:p w14:paraId="2A73BC2E" w14:textId="77777777" w:rsidR="00FA5565" w:rsidRDefault="00FA5565">
      <w:pPr>
        <w:rPr>
          <w:rFonts w:ascii="Times New Roman" w:hAnsi="Times New Roman"/>
          <w:sz w:val="20"/>
          <w:szCs w:val="20"/>
        </w:rPr>
      </w:pPr>
    </w:p>
    <w:p w14:paraId="2A73BC2F"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57</w:t>
      </w:r>
    </w:p>
    <w:p w14:paraId="2A73BC30" w14:textId="77777777" w:rsidR="00FA5565" w:rsidRDefault="00D804D1">
      <w:r>
        <w:rPr>
          <w:rFonts w:ascii="Times New Roman" w:hAnsi="Times New Roman"/>
          <w:sz w:val="16"/>
          <w:szCs w:val="16"/>
        </w:rPr>
        <w:pict w14:anchorId="2A73C0D5">
          <v:rect id="_x0000_i1083" style="width:415.3pt;height:1.5pt" o:hralign="center" o:hrstd="t" o:hr="t" fillcolor="#a0a0a0" stroked="f"/>
        </w:pict>
      </w:r>
    </w:p>
    <w:p w14:paraId="2A73BC31" w14:textId="77777777" w:rsidR="00FA5565" w:rsidRDefault="00FA5565">
      <w:pPr>
        <w:rPr>
          <w:rFonts w:ascii="Times New Roman" w:hAnsi="Times New Roman"/>
          <w:sz w:val="20"/>
          <w:szCs w:val="20"/>
        </w:rPr>
      </w:pPr>
    </w:p>
    <w:p w14:paraId="2A73BC32" w14:textId="77777777" w:rsidR="00FA5565" w:rsidRDefault="00FA5565">
      <w:pPr>
        <w:spacing w:line="288" w:lineRule="auto"/>
        <w:jc w:val="center"/>
        <w:rPr>
          <w:rFonts w:ascii="Times New Roman" w:hAnsi="Times New Roman"/>
          <w:sz w:val="18"/>
          <w:szCs w:val="18"/>
        </w:rPr>
      </w:pPr>
    </w:p>
    <w:p w14:paraId="2A73BC33"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Report of Independent Registered Public Accounti</w:t>
      </w:r>
      <w:r>
        <w:rPr>
          <w:rFonts w:ascii="Helvetica" w:eastAsia="Helvetica" w:hAnsi="Helvetica" w:cs="Helvetica"/>
          <w:b/>
          <w:bCs/>
          <w:sz w:val="18"/>
          <w:szCs w:val="18"/>
        </w:rPr>
        <w:t>ng Firm</w:t>
      </w:r>
    </w:p>
    <w:p w14:paraId="2A73BC3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To the Shareholders and the Board of Directors of Apple Inc.</w:t>
      </w:r>
    </w:p>
    <w:p w14:paraId="2A73BC35"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Opinion on Internal Control Over Financial Reporting</w:t>
      </w:r>
    </w:p>
    <w:p w14:paraId="2A73BC3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We have audited Apple Inc.’s internal control over financial reporting as of September 28, 2019, based on criteria established in </w:t>
      </w:r>
      <w:r>
        <w:rPr>
          <w:rFonts w:ascii="Helvetica" w:eastAsia="Helvetica" w:hAnsi="Helvetica" w:cs="Helvetica"/>
          <w:i/>
          <w:iCs/>
          <w:sz w:val="18"/>
          <w:szCs w:val="18"/>
        </w:rPr>
        <w:t>Internal Control – Integrated Framework</w:t>
      </w:r>
      <w:r>
        <w:rPr>
          <w:rFonts w:ascii="Helvetica" w:eastAsia="Helvetica" w:hAnsi="Helvetica" w:cs="Helvetica"/>
          <w:sz w:val="18"/>
          <w:szCs w:val="18"/>
        </w:rPr>
        <w:t xml:space="preserve"> issued by the Committee of Sponsoring Organizations of the Treadway Commission (2013 f</w:t>
      </w:r>
      <w:r>
        <w:rPr>
          <w:rFonts w:ascii="Helvetica" w:eastAsia="Helvetica" w:hAnsi="Helvetica" w:cs="Helvetica"/>
          <w:sz w:val="18"/>
          <w:szCs w:val="18"/>
        </w:rPr>
        <w:t>ramework) (the “COSO criteria”). In our opinion, Apple Inc. maintained, in all material respects, effective internal control over financial reporting as of September 28, 2019, based on the COSO criteria.</w:t>
      </w:r>
    </w:p>
    <w:p w14:paraId="2A73BC3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We also have audited, in accordance with the standar</w:t>
      </w:r>
      <w:r>
        <w:rPr>
          <w:rFonts w:ascii="Helvetica" w:eastAsia="Helvetica" w:hAnsi="Helvetica" w:cs="Helvetica"/>
          <w:sz w:val="18"/>
          <w:szCs w:val="18"/>
        </w:rPr>
        <w:t>ds of the Public Company Accounting Oversight Board (United States) (the “PCAOB”), the consolidated balance sheets of Apple Inc. as of September 28, 2019 and September 29, 2018, the related consolidated statements of operations, comprehensive income, share</w:t>
      </w:r>
      <w:r>
        <w:rPr>
          <w:rFonts w:ascii="Helvetica" w:eastAsia="Helvetica" w:hAnsi="Helvetica" w:cs="Helvetica"/>
          <w:sz w:val="18"/>
          <w:szCs w:val="18"/>
        </w:rPr>
        <w:t>holders’ equity and cash flows for each of the three years in the period ended September 28, 2019, and the related notes and our report dated October 30, 2019 expressed an unqualified opinion thereon.</w:t>
      </w:r>
    </w:p>
    <w:p w14:paraId="2A73BC38"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Basis for Opinion</w:t>
      </w:r>
    </w:p>
    <w:p w14:paraId="2A73BC3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Apple Inc.’s management is responsibl</w:t>
      </w:r>
      <w:r>
        <w:rPr>
          <w:rFonts w:ascii="Helvetica" w:eastAsia="Helvetica" w:hAnsi="Helvetica" w:cs="Helvetica"/>
          <w:sz w:val="18"/>
          <w:szCs w:val="18"/>
        </w:rPr>
        <w:t>e for maintaining effective internal control over financial reporting, and for its assessment of the effectiveness of internal control over financial reporting included in the accompanying Management’s Annual Report on Internal Control over Financial Repor</w:t>
      </w:r>
      <w:r>
        <w:rPr>
          <w:rFonts w:ascii="Helvetica" w:eastAsia="Helvetica" w:hAnsi="Helvetica" w:cs="Helvetica"/>
          <w:sz w:val="18"/>
          <w:szCs w:val="18"/>
        </w:rPr>
        <w:t>ting. Our responsibility is to express an opinion on Apple Inc.’s internal control over financial reporting based on our audit. We are a public accounting firm registered with the PCAOB and are required to be independent with respect to Apple Inc. in accor</w:t>
      </w:r>
      <w:r>
        <w:rPr>
          <w:rFonts w:ascii="Helvetica" w:eastAsia="Helvetica" w:hAnsi="Helvetica" w:cs="Helvetica"/>
          <w:sz w:val="18"/>
          <w:szCs w:val="18"/>
        </w:rPr>
        <w:t>dance with the U.S. federal securities laws and the applicable rules and regulations of the U.S. Securities and Exchange Commission and the PCAOB.</w:t>
      </w:r>
    </w:p>
    <w:p w14:paraId="2A73BC3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We conducted our audit in accordance with the standards of the PCAOB. Those standards require that we plan an</w:t>
      </w:r>
      <w:r>
        <w:rPr>
          <w:rFonts w:ascii="Helvetica" w:eastAsia="Helvetica" w:hAnsi="Helvetica" w:cs="Helvetica"/>
          <w:sz w:val="18"/>
          <w:szCs w:val="18"/>
        </w:rPr>
        <w:t>d perform the audit to obtain reasonable assurance about whether effective internal control over financial reporting was maintained in all material respects.</w:t>
      </w:r>
    </w:p>
    <w:p w14:paraId="2A73BC3B"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Our audit included obtaining an understanding of internal control over financial reporting, assess</w:t>
      </w:r>
      <w:r>
        <w:rPr>
          <w:rFonts w:ascii="Helvetica" w:eastAsia="Helvetica" w:hAnsi="Helvetica" w:cs="Helvetica"/>
          <w:sz w:val="18"/>
          <w:szCs w:val="18"/>
        </w:rPr>
        <w:t>ing the risk that a material weakness exists, testing and evaluating the design and operating effectiveness of internal control based on the assessed risk, and performing such other procedures as we considered necessary in the circumstances. We believe tha</w:t>
      </w:r>
      <w:r>
        <w:rPr>
          <w:rFonts w:ascii="Helvetica" w:eastAsia="Helvetica" w:hAnsi="Helvetica" w:cs="Helvetica"/>
          <w:sz w:val="18"/>
          <w:szCs w:val="18"/>
        </w:rPr>
        <w:t>t our audit provides a reasonable basis for our opinion.</w:t>
      </w:r>
    </w:p>
    <w:p w14:paraId="2A73BC3C"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Definition and Limitations of Internal Control Over Financial Reporting</w:t>
      </w:r>
    </w:p>
    <w:p w14:paraId="2A73BC3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A company’s internal control over financial reporting is a process designed to provide reasonable assurance regarding the relia</w:t>
      </w:r>
      <w:r>
        <w:rPr>
          <w:rFonts w:ascii="Helvetica" w:eastAsia="Helvetica" w:hAnsi="Helvetica" w:cs="Helvetica"/>
          <w:sz w:val="18"/>
          <w:szCs w:val="18"/>
        </w:rPr>
        <w:t>bility of financial reporting and the preparation of financial statements for external purposes in accordance with U.S. generally accepted accounting principles. A company’s internal control over financial reporting includes those policies and procedures t</w:t>
      </w:r>
      <w:r>
        <w:rPr>
          <w:rFonts w:ascii="Helvetica" w:eastAsia="Helvetica" w:hAnsi="Helvetica" w:cs="Helvetica"/>
          <w:sz w:val="18"/>
          <w:szCs w:val="18"/>
        </w:rPr>
        <w:t>hat (1) pertain to the maintenance of records that, in reasonable detail, accurately and fairly reflect the transactions and dispositions of the assets of the company; (2) provide reasonable assurance that transactions are recorded as necessary to permit p</w:t>
      </w:r>
      <w:r>
        <w:rPr>
          <w:rFonts w:ascii="Helvetica" w:eastAsia="Helvetica" w:hAnsi="Helvetica" w:cs="Helvetica"/>
          <w:sz w:val="18"/>
          <w:szCs w:val="18"/>
        </w:rPr>
        <w:t>reparation of financial statements in accordance with U.S. generally accepted accounting principles, and that receipts and expenditures of the company are being made only in accordance with authorizations of management and directors of the company; and (3)</w:t>
      </w:r>
      <w:r>
        <w:rPr>
          <w:rFonts w:ascii="Helvetica" w:eastAsia="Helvetica" w:hAnsi="Helvetica" w:cs="Helvetica"/>
          <w:sz w:val="18"/>
          <w:szCs w:val="18"/>
        </w:rPr>
        <w:t> provide reasonable assurance regarding prevention or timely detection of unauthorized acquisition, use, or disposition of the company’s assets that could have a material effect on the financial statements.</w:t>
      </w:r>
    </w:p>
    <w:p w14:paraId="2A73BC3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Because of its inherent limitations, internal con</w:t>
      </w:r>
      <w:r>
        <w:rPr>
          <w:rFonts w:ascii="Helvetica" w:eastAsia="Helvetica" w:hAnsi="Helvetica" w:cs="Helvetica"/>
          <w:sz w:val="18"/>
          <w:szCs w:val="18"/>
        </w:rPr>
        <w:t>trol over financial reporting may not prevent or detect misstatements. Also, projections of any evaluation of effectiveness to future periods are subject to the risk that controls may become inadequate because of changes in conditions, or that the degree o</w:t>
      </w:r>
      <w:r>
        <w:rPr>
          <w:rFonts w:ascii="Helvetica" w:eastAsia="Helvetica" w:hAnsi="Helvetica" w:cs="Helvetica"/>
          <w:sz w:val="18"/>
          <w:szCs w:val="18"/>
        </w:rPr>
        <w:t>f compliance with the policies or procedures may deteriorate.</w:t>
      </w:r>
    </w:p>
    <w:p w14:paraId="2A73BC3F" w14:textId="77777777" w:rsidR="00FA5565" w:rsidRDefault="00FA5565">
      <w:pPr>
        <w:spacing w:line="288" w:lineRule="auto"/>
        <w:jc w:val="both"/>
        <w:rPr>
          <w:rFonts w:ascii="Times New Roman" w:hAnsi="Times New Roman"/>
          <w:sz w:val="18"/>
          <w:szCs w:val="18"/>
        </w:rPr>
      </w:pPr>
    </w:p>
    <w:p w14:paraId="2A73BC40" w14:textId="77777777" w:rsidR="00FA5565" w:rsidRDefault="00FA5565">
      <w:pPr>
        <w:spacing w:line="288" w:lineRule="auto"/>
        <w:jc w:val="both"/>
        <w:rPr>
          <w:rFonts w:ascii="Times New Roman" w:hAnsi="Times New Roman"/>
          <w:sz w:val="18"/>
          <w:szCs w:val="18"/>
        </w:rPr>
      </w:pPr>
    </w:p>
    <w:p w14:paraId="2A73BC4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 Ernst &amp; Young LLP</w:t>
      </w:r>
    </w:p>
    <w:p w14:paraId="2A73BC42" w14:textId="77777777" w:rsidR="00FA5565" w:rsidRDefault="00FA5565">
      <w:pPr>
        <w:spacing w:line="288" w:lineRule="auto"/>
        <w:jc w:val="both"/>
        <w:rPr>
          <w:rFonts w:ascii="Times New Roman" w:hAnsi="Times New Roman"/>
          <w:sz w:val="18"/>
          <w:szCs w:val="18"/>
        </w:rPr>
      </w:pPr>
    </w:p>
    <w:p w14:paraId="2A73BC4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San Jose, California</w:t>
      </w:r>
    </w:p>
    <w:p w14:paraId="2A73BC44"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October 30, 2019</w:t>
      </w:r>
    </w:p>
    <w:p w14:paraId="2A73BC45" w14:textId="77777777" w:rsidR="00FA5565" w:rsidRDefault="00FA5565">
      <w:pPr>
        <w:rPr>
          <w:rFonts w:ascii="Times New Roman" w:hAnsi="Times New Roman"/>
          <w:sz w:val="20"/>
          <w:szCs w:val="20"/>
        </w:rPr>
      </w:pPr>
    </w:p>
    <w:p w14:paraId="2A73BC46"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58</w:t>
      </w:r>
    </w:p>
    <w:p w14:paraId="2A73BC47" w14:textId="77777777" w:rsidR="00FA5565" w:rsidRDefault="00D804D1">
      <w:r>
        <w:rPr>
          <w:rFonts w:ascii="Times New Roman" w:hAnsi="Times New Roman"/>
          <w:sz w:val="16"/>
          <w:szCs w:val="16"/>
        </w:rPr>
        <w:pict w14:anchorId="2A73C0D6">
          <v:rect id="_x0000_i1084" style="width:415.3pt;height:1.5pt" o:hralign="center" o:hrstd="t" o:hr="t" fillcolor="#a0a0a0" stroked="f"/>
        </w:pict>
      </w:r>
    </w:p>
    <w:p w14:paraId="2A73BC48" w14:textId="77777777" w:rsidR="00FA5565" w:rsidRDefault="00FA556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FA5565" w14:paraId="2A73BC4B" w14:textId="77777777">
        <w:trPr>
          <w:tblCellSpacing w:w="0" w:type="dxa"/>
        </w:trPr>
        <w:tc>
          <w:tcPr>
            <w:tcW w:w="1200" w:type="dxa"/>
            <w:shd w:val="clear" w:color="auto" w:fill="auto"/>
            <w:vAlign w:val="center"/>
          </w:tcPr>
          <w:p w14:paraId="2A73BC49" w14:textId="77777777" w:rsidR="00FA5565" w:rsidRDefault="00FA5565">
            <w:pPr>
              <w:rPr>
                <w:rFonts w:ascii="Times New Roman" w:hAnsi="Times New Roman"/>
                <w:sz w:val="20"/>
                <w:szCs w:val="20"/>
              </w:rPr>
            </w:pPr>
          </w:p>
        </w:tc>
        <w:tc>
          <w:tcPr>
            <w:tcW w:w="0" w:type="auto"/>
            <w:shd w:val="clear" w:color="auto" w:fill="auto"/>
            <w:vAlign w:val="center"/>
          </w:tcPr>
          <w:p w14:paraId="2A73BC4A" w14:textId="77777777" w:rsidR="00FA5565" w:rsidRDefault="00FA5565">
            <w:pPr>
              <w:rPr>
                <w:rFonts w:ascii="Times New Roman" w:hAnsi="Times New Roman"/>
                <w:sz w:val="20"/>
                <w:szCs w:val="20"/>
              </w:rPr>
            </w:pPr>
          </w:p>
        </w:tc>
      </w:tr>
      <w:tr w:rsidR="00FA5565" w14:paraId="2A73BC4E" w14:textId="77777777">
        <w:trPr>
          <w:tblCellSpacing w:w="0" w:type="dxa"/>
        </w:trPr>
        <w:tc>
          <w:tcPr>
            <w:tcW w:w="0" w:type="auto"/>
            <w:shd w:val="clear" w:color="auto" w:fill="auto"/>
          </w:tcPr>
          <w:p w14:paraId="2A73BC4C"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9.</w:t>
            </w:r>
          </w:p>
        </w:tc>
        <w:tc>
          <w:tcPr>
            <w:tcW w:w="0" w:type="auto"/>
            <w:shd w:val="clear" w:color="auto" w:fill="auto"/>
          </w:tcPr>
          <w:p w14:paraId="2A73BC4D"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 xml:space="preserve">Changes in and Disagreements with Accountants on Accounting and Financial </w:t>
            </w:r>
            <w:r>
              <w:rPr>
                <w:rFonts w:ascii="Helvetica" w:eastAsia="Helvetica" w:hAnsi="Helvetica" w:cs="Helvetica"/>
                <w:b/>
                <w:bCs/>
                <w:sz w:val="18"/>
                <w:szCs w:val="18"/>
              </w:rPr>
              <w:t>Disclosure</w:t>
            </w:r>
          </w:p>
        </w:tc>
      </w:tr>
    </w:tbl>
    <w:p w14:paraId="2A73BC4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None.</w:t>
      </w:r>
    </w:p>
    <w:tbl>
      <w:tblPr>
        <w:tblW w:w="0" w:type="auto"/>
        <w:tblCellSpacing w:w="0" w:type="dxa"/>
        <w:tblCellMar>
          <w:left w:w="0" w:type="dxa"/>
          <w:right w:w="0" w:type="dxa"/>
        </w:tblCellMar>
        <w:tblLook w:val="04A0" w:firstRow="1" w:lastRow="0" w:firstColumn="1" w:lastColumn="0" w:noHBand="0" w:noVBand="1"/>
      </w:tblPr>
      <w:tblGrid>
        <w:gridCol w:w="1200"/>
        <w:gridCol w:w="2151"/>
      </w:tblGrid>
      <w:tr w:rsidR="00FA5565" w14:paraId="2A73BC52" w14:textId="77777777">
        <w:trPr>
          <w:tblCellSpacing w:w="0" w:type="dxa"/>
        </w:trPr>
        <w:tc>
          <w:tcPr>
            <w:tcW w:w="1200" w:type="dxa"/>
            <w:shd w:val="clear" w:color="auto" w:fill="auto"/>
            <w:vAlign w:val="center"/>
          </w:tcPr>
          <w:p w14:paraId="2A73BC50" w14:textId="77777777" w:rsidR="00FA5565" w:rsidRDefault="00FA5565">
            <w:pPr>
              <w:rPr>
                <w:rFonts w:ascii="Times New Roman" w:hAnsi="Times New Roman"/>
                <w:sz w:val="20"/>
                <w:szCs w:val="20"/>
              </w:rPr>
            </w:pPr>
          </w:p>
        </w:tc>
        <w:tc>
          <w:tcPr>
            <w:tcW w:w="0" w:type="auto"/>
            <w:shd w:val="clear" w:color="auto" w:fill="auto"/>
            <w:vAlign w:val="center"/>
          </w:tcPr>
          <w:p w14:paraId="2A73BC51" w14:textId="77777777" w:rsidR="00FA5565" w:rsidRDefault="00FA5565">
            <w:pPr>
              <w:rPr>
                <w:rFonts w:ascii="Times New Roman" w:hAnsi="Times New Roman"/>
                <w:sz w:val="20"/>
                <w:szCs w:val="20"/>
              </w:rPr>
            </w:pPr>
          </w:p>
        </w:tc>
      </w:tr>
      <w:tr w:rsidR="00FA5565" w14:paraId="2A73BC55" w14:textId="77777777">
        <w:trPr>
          <w:tblCellSpacing w:w="0" w:type="dxa"/>
        </w:trPr>
        <w:tc>
          <w:tcPr>
            <w:tcW w:w="0" w:type="auto"/>
            <w:shd w:val="clear" w:color="auto" w:fill="auto"/>
          </w:tcPr>
          <w:p w14:paraId="2A73BC53"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9A.</w:t>
            </w:r>
          </w:p>
        </w:tc>
        <w:tc>
          <w:tcPr>
            <w:tcW w:w="0" w:type="auto"/>
            <w:shd w:val="clear" w:color="auto" w:fill="auto"/>
          </w:tcPr>
          <w:p w14:paraId="2A73BC54"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Controls and Procedures</w:t>
            </w:r>
          </w:p>
        </w:tc>
      </w:tr>
    </w:tbl>
    <w:p w14:paraId="2A73BC56"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Evaluation of Disclosure Controls and Procedures</w:t>
      </w:r>
    </w:p>
    <w:p w14:paraId="2A73BC5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Based on an evaluation under the supervision and with the participation of the Company’s management, the Company’s principal executive officer and </w:t>
      </w:r>
      <w:r>
        <w:rPr>
          <w:rFonts w:ascii="Helvetica" w:eastAsia="Helvetica" w:hAnsi="Helvetica" w:cs="Helvetica"/>
          <w:sz w:val="18"/>
          <w:szCs w:val="18"/>
        </w:rPr>
        <w:t>principal financial officer have concluded that the Company’s disclosure controls and procedures as defined in Rules 13a-15(e) and 15d-15(e) under the Exchange Act were effective as of September 28, 2019 to provide reasonable assurance that information req</w:t>
      </w:r>
      <w:r>
        <w:rPr>
          <w:rFonts w:ascii="Helvetica" w:eastAsia="Helvetica" w:hAnsi="Helvetica" w:cs="Helvetica"/>
          <w:sz w:val="18"/>
          <w:szCs w:val="18"/>
        </w:rPr>
        <w:t>uired to be disclosed by the Company in reports that it files or submits under the Exchange Act is (i) recorded, processed, summarized and reported within the time periods specified in the SEC rules and forms and (ii) accumulated and communicated to the Co</w:t>
      </w:r>
      <w:r>
        <w:rPr>
          <w:rFonts w:ascii="Helvetica" w:eastAsia="Helvetica" w:hAnsi="Helvetica" w:cs="Helvetica"/>
          <w:sz w:val="18"/>
          <w:szCs w:val="18"/>
        </w:rPr>
        <w:t>mpany’s management, including its principal executive officer and principal financial officer, as appropriate to allow timely decisions regarding required disclosure.</w:t>
      </w:r>
    </w:p>
    <w:p w14:paraId="2A73BC58"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Inherent Limitations over Internal Controls</w:t>
      </w:r>
    </w:p>
    <w:p w14:paraId="2A73BC5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internal control over financial</w:t>
      </w:r>
      <w:r>
        <w:rPr>
          <w:rFonts w:ascii="Helvetica" w:eastAsia="Helvetica" w:hAnsi="Helvetica" w:cs="Helvetica"/>
          <w:sz w:val="18"/>
          <w:szCs w:val="18"/>
        </w:rPr>
        <w:t xml:space="preserve"> reporting is designed to provide reasonable assurance regarding the reliability of financial reporting and the preparation of financial statements for external purposes in accordance with U.S. generally accepted accounting principles (“GAAP”). The Company</w:t>
      </w:r>
      <w:r>
        <w:rPr>
          <w:rFonts w:ascii="Helvetica" w:eastAsia="Helvetica" w:hAnsi="Helvetica" w:cs="Helvetica"/>
          <w:sz w:val="18"/>
          <w:szCs w:val="18"/>
        </w:rPr>
        <w:t>’s internal control over financial reporting includes those policies and procedures that: </w:t>
      </w:r>
    </w:p>
    <w:tbl>
      <w:tblPr>
        <w:tblW w:w="0" w:type="auto"/>
        <w:tblCellSpacing w:w="0" w:type="dxa"/>
        <w:tblCellMar>
          <w:left w:w="0" w:type="dxa"/>
          <w:right w:w="0" w:type="dxa"/>
        </w:tblCellMar>
        <w:tblLook w:val="04A0" w:firstRow="1" w:lastRow="0" w:firstColumn="1" w:lastColumn="0" w:noHBand="0" w:noVBand="1"/>
      </w:tblPr>
      <w:tblGrid>
        <w:gridCol w:w="1680"/>
        <w:gridCol w:w="6626"/>
      </w:tblGrid>
      <w:tr w:rsidR="00FA5565" w14:paraId="2A73BC5C" w14:textId="77777777">
        <w:trPr>
          <w:tblCellSpacing w:w="0" w:type="dxa"/>
        </w:trPr>
        <w:tc>
          <w:tcPr>
            <w:tcW w:w="1680" w:type="dxa"/>
            <w:shd w:val="clear" w:color="auto" w:fill="auto"/>
            <w:vAlign w:val="center"/>
          </w:tcPr>
          <w:p w14:paraId="2A73BC5A" w14:textId="77777777" w:rsidR="00FA5565" w:rsidRDefault="00FA5565">
            <w:pPr>
              <w:rPr>
                <w:rFonts w:ascii="Times New Roman" w:hAnsi="Times New Roman"/>
                <w:sz w:val="20"/>
                <w:szCs w:val="20"/>
              </w:rPr>
            </w:pPr>
          </w:p>
        </w:tc>
        <w:tc>
          <w:tcPr>
            <w:tcW w:w="0" w:type="auto"/>
            <w:shd w:val="clear" w:color="auto" w:fill="auto"/>
            <w:vAlign w:val="center"/>
          </w:tcPr>
          <w:p w14:paraId="2A73BC5B" w14:textId="77777777" w:rsidR="00FA5565" w:rsidRDefault="00FA5565">
            <w:pPr>
              <w:rPr>
                <w:rFonts w:ascii="Times New Roman" w:hAnsi="Times New Roman"/>
                <w:sz w:val="20"/>
                <w:szCs w:val="20"/>
              </w:rPr>
            </w:pPr>
          </w:p>
        </w:tc>
      </w:tr>
      <w:tr w:rsidR="00FA5565" w14:paraId="2A73BC5F" w14:textId="77777777">
        <w:trPr>
          <w:tblCellSpacing w:w="0" w:type="dxa"/>
        </w:trPr>
        <w:tc>
          <w:tcPr>
            <w:tcW w:w="0" w:type="auto"/>
            <w:shd w:val="clear" w:color="auto" w:fill="auto"/>
          </w:tcPr>
          <w:p w14:paraId="2A73BC5D"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sz w:val="18"/>
                <w:szCs w:val="18"/>
              </w:rPr>
              <w:t>(i)</w:t>
            </w:r>
          </w:p>
        </w:tc>
        <w:tc>
          <w:tcPr>
            <w:tcW w:w="0" w:type="auto"/>
            <w:shd w:val="clear" w:color="auto" w:fill="auto"/>
          </w:tcPr>
          <w:p w14:paraId="2A73BC5E"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sz w:val="18"/>
                <w:szCs w:val="18"/>
              </w:rPr>
              <w:t xml:space="preserve">pertain to the maintenance of records that, in reasonable detail, accurately and fairly reflect the transactions and dispositions of the Company’s </w:t>
            </w:r>
            <w:r>
              <w:rPr>
                <w:rFonts w:ascii="Helvetica" w:eastAsia="Helvetica" w:hAnsi="Helvetica" w:cs="Helvetica"/>
                <w:sz w:val="18"/>
                <w:szCs w:val="18"/>
              </w:rPr>
              <w:t>assets;</w:t>
            </w:r>
          </w:p>
        </w:tc>
      </w:tr>
    </w:tbl>
    <w:p w14:paraId="2A73BC60"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1680"/>
        <w:gridCol w:w="6626"/>
      </w:tblGrid>
      <w:tr w:rsidR="00FA5565" w14:paraId="2A73BC63" w14:textId="77777777">
        <w:trPr>
          <w:tblCellSpacing w:w="0" w:type="dxa"/>
        </w:trPr>
        <w:tc>
          <w:tcPr>
            <w:tcW w:w="1680" w:type="dxa"/>
            <w:shd w:val="clear" w:color="auto" w:fill="auto"/>
            <w:vAlign w:val="center"/>
          </w:tcPr>
          <w:p w14:paraId="2A73BC61" w14:textId="77777777" w:rsidR="00FA5565" w:rsidRDefault="00FA5565">
            <w:pPr>
              <w:rPr>
                <w:rFonts w:ascii="Times New Roman" w:hAnsi="Times New Roman"/>
                <w:sz w:val="20"/>
                <w:szCs w:val="20"/>
              </w:rPr>
            </w:pPr>
          </w:p>
        </w:tc>
        <w:tc>
          <w:tcPr>
            <w:tcW w:w="0" w:type="auto"/>
            <w:shd w:val="clear" w:color="auto" w:fill="auto"/>
            <w:vAlign w:val="center"/>
          </w:tcPr>
          <w:p w14:paraId="2A73BC62" w14:textId="77777777" w:rsidR="00FA5565" w:rsidRDefault="00FA5565">
            <w:pPr>
              <w:rPr>
                <w:rFonts w:ascii="Times New Roman" w:hAnsi="Times New Roman"/>
                <w:sz w:val="20"/>
                <w:szCs w:val="20"/>
              </w:rPr>
            </w:pPr>
          </w:p>
        </w:tc>
      </w:tr>
      <w:tr w:rsidR="00FA5565" w14:paraId="2A73BC66" w14:textId="77777777">
        <w:trPr>
          <w:tblCellSpacing w:w="0" w:type="dxa"/>
        </w:trPr>
        <w:tc>
          <w:tcPr>
            <w:tcW w:w="0" w:type="auto"/>
            <w:shd w:val="clear" w:color="auto" w:fill="auto"/>
          </w:tcPr>
          <w:p w14:paraId="2A73BC64"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sz w:val="18"/>
                <w:szCs w:val="18"/>
              </w:rPr>
              <w:t>(ii)</w:t>
            </w:r>
          </w:p>
        </w:tc>
        <w:tc>
          <w:tcPr>
            <w:tcW w:w="0" w:type="auto"/>
            <w:shd w:val="clear" w:color="auto" w:fill="auto"/>
          </w:tcPr>
          <w:p w14:paraId="2A73BC65"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sz w:val="18"/>
                <w:szCs w:val="18"/>
              </w:rPr>
              <w:t>provide reasonable assurance that transactions are recorded as necessary to permit preparation of financial statements in accordance with GAAP, and that the Company’s receipts and expenditures are being made only in accordance with author</w:t>
            </w:r>
            <w:r>
              <w:rPr>
                <w:rFonts w:ascii="Helvetica" w:eastAsia="Helvetica" w:hAnsi="Helvetica" w:cs="Helvetica"/>
                <w:sz w:val="18"/>
                <w:szCs w:val="18"/>
              </w:rPr>
              <w:t>izations of the Company’s management and directors; and</w:t>
            </w:r>
          </w:p>
        </w:tc>
      </w:tr>
    </w:tbl>
    <w:p w14:paraId="2A73BC67"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1680"/>
        <w:gridCol w:w="6626"/>
      </w:tblGrid>
      <w:tr w:rsidR="00FA5565" w14:paraId="2A73BC6A" w14:textId="77777777">
        <w:trPr>
          <w:tblCellSpacing w:w="0" w:type="dxa"/>
        </w:trPr>
        <w:tc>
          <w:tcPr>
            <w:tcW w:w="1680" w:type="dxa"/>
            <w:shd w:val="clear" w:color="auto" w:fill="auto"/>
            <w:vAlign w:val="center"/>
          </w:tcPr>
          <w:p w14:paraId="2A73BC68" w14:textId="77777777" w:rsidR="00FA5565" w:rsidRDefault="00FA5565">
            <w:pPr>
              <w:rPr>
                <w:rFonts w:ascii="Times New Roman" w:hAnsi="Times New Roman"/>
                <w:sz w:val="20"/>
                <w:szCs w:val="20"/>
              </w:rPr>
            </w:pPr>
          </w:p>
        </w:tc>
        <w:tc>
          <w:tcPr>
            <w:tcW w:w="0" w:type="auto"/>
            <w:shd w:val="clear" w:color="auto" w:fill="auto"/>
            <w:vAlign w:val="center"/>
          </w:tcPr>
          <w:p w14:paraId="2A73BC69" w14:textId="77777777" w:rsidR="00FA5565" w:rsidRDefault="00FA5565">
            <w:pPr>
              <w:rPr>
                <w:rFonts w:ascii="Times New Roman" w:hAnsi="Times New Roman"/>
                <w:sz w:val="20"/>
                <w:szCs w:val="20"/>
              </w:rPr>
            </w:pPr>
          </w:p>
        </w:tc>
      </w:tr>
      <w:tr w:rsidR="00FA5565" w14:paraId="2A73BC6D" w14:textId="77777777">
        <w:trPr>
          <w:tblCellSpacing w:w="0" w:type="dxa"/>
        </w:trPr>
        <w:tc>
          <w:tcPr>
            <w:tcW w:w="0" w:type="auto"/>
            <w:shd w:val="clear" w:color="auto" w:fill="auto"/>
          </w:tcPr>
          <w:p w14:paraId="2A73BC6B"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sz w:val="18"/>
                <w:szCs w:val="18"/>
              </w:rPr>
              <w:t>(iii)</w:t>
            </w:r>
          </w:p>
        </w:tc>
        <w:tc>
          <w:tcPr>
            <w:tcW w:w="0" w:type="auto"/>
            <w:shd w:val="clear" w:color="auto" w:fill="auto"/>
          </w:tcPr>
          <w:p w14:paraId="2A73BC6C"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sz w:val="18"/>
                <w:szCs w:val="18"/>
              </w:rPr>
              <w:t xml:space="preserve">provide reasonable assurance regarding prevention or timely detection of unauthorized acquisition, use, or disposition of the Company’s assets that could have a material effect on the </w:t>
            </w:r>
            <w:r>
              <w:rPr>
                <w:rFonts w:ascii="Helvetica" w:eastAsia="Helvetica" w:hAnsi="Helvetica" w:cs="Helvetica"/>
                <w:sz w:val="18"/>
                <w:szCs w:val="18"/>
              </w:rPr>
              <w:t>financial statements.</w:t>
            </w:r>
          </w:p>
        </w:tc>
      </w:tr>
    </w:tbl>
    <w:p w14:paraId="2A73BC6E"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Management, including the Company’s Chief Executive Officer and Chief Financial Officer, does not expect that the Company’s internal controls will prevent or detect all errors and all fraud. A control system, no matter how well desig</w:t>
      </w:r>
      <w:r>
        <w:rPr>
          <w:rFonts w:ascii="Helvetica" w:eastAsia="Helvetica" w:hAnsi="Helvetica" w:cs="Helvetica"/>
          <w:sz w:val="18"/>
          <w:szCs w:val="18"/>
        </w:rPr>
        <w:t>ned and operated, can provide only reasonable, not absolute, assurance that the objectives of the control system are met. Further, the design of a control system must reflect the fact that there are resource constraints, and the benefits of controls must b</w:t>
      </w:r>
      <w:r>
        <w:rPr>
          <w:rFonts w:ascii="Helvetica" w:eastAsia="Helvetica" w:hAnsi="Helvetica" w:cs="Helvetica"/>
          <w:sz w:val="18"/>
          <w:szCs w:val="18"/>
        </w:rPr>
        <w:t>e considered relative to their costs. Because of the inherent limitations in all control systems, no evaluation of internal controls can provide absolute assurance that all control issues and instances of fraud, if any, have been detected. Also, any evalua</w:t>
      </w:r>
      <w:r>
        <w:rPr>
          <w:rFonts w:ascii="Helvetica" w:eastAsia="Helvetica" w:hAnsi="Helvetica" w:cs="Helvetica"/>
          <w:sz w:val="18"/>
          <w:szCs w:val="18"/>
        </w:rPr>
        <w:t>tion of the effectiveness of controls in future periods are subject to the risk that those internal controls may become inadequate because of changes in business conditions, or that the degree of compliance with the policies or procedures may deteriorate.</w:t>
      </w:r>
    </w:p>
    <w:p w14:paraId="2A73BC6F"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Management’s Annual Report on Internal Control over Financial Reporting</w:t>
      </w:r>
    </w:p>
    <w:p w14:paraId="2A73BC70"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The Company’s management is responsible for establishing and maintaining adequate internal control over financial reporting (as defined in Rule 13a-15(f) under the Exchange Act). Manag</w:t>
      </w:r>
      <w:r>
        <w:rPr>
          <w:rFonts w:ascii="Helvetica" w:eastAsia="Helvetica" w:hAnsi="Helvetica" w:cs="Helvetica"/>
          <w:sz w:val="18"/>
          <w:szCs w:val="18"/>
        </w:rPr>
        <w:t>ement conducted an assessment of the effectiveness of the Company’s internal control over financial reporting based on the criteria set forth in Internal Control – Integrated Framework issued by the Committee of Sponsoring Organizations of the Treadway Com</w:t>
      </w:r>
      <w:r>
        <w:rPr>
          <w:rFonts w:ascii="Helvetica" w:eastAsia="Helvetica" w:hAnsi="Helvetica" w:cs="Helvetica"/>
          <w:sz w:val="18"/>
          <w:szCs w:val="18"/>
        </w:rPr>
        <w:t>mission (2013 framework). Based on the Company’s assessment, management has concluded that its internal control over financial reporting was effective as of September 28, 2019 to provide reasonable assurance regarding the reliability of financial reporting</w:t>
      </w:r>
      <w:r>
        <w:rPr>
          <w:rFonts w:ascii="Helvetica" w:eastAsia="Helvetica" w:hAnsi="Helvetica" w:cs="Helvetica"/>
          <w:sz w:val="18"/>
          <w:szCs w:val="18"/>
        </w:rPr>
        <w:t xml:space="preserve"> and the preparation of financial statements in accordance with GAAP. The Company’s independent registered public accounting firm, Ernst &amp; Young LLP, has issued an audit report on the Company’s internal control over financial reporting, which appears in Pa</w:t>
      </w:r>
      <w:r>
        <w:rPr>
          <w:rFonts w:ascii="Helvetica" w:eastAsia="Helvetica" w:hAnsi="Helvetica" w:cs="Helvetica"/>
          <w:sz w:val="18"/>
          <w:szCs w:val="18"/>
        </w:rPr>
        <w:t>rt II, Item 8 of this Form 10-K.</w:t>
      </w:r>
    </w:p>
    <w:p w14:paraId="2A73BC71"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Changes in Internal Control over Financial Reporting</w:t>
      </w:r>
    </w:p>
    <w:p w14:paraId="2A73BC72"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There were no changes in the Company’s internal control over financial reporting during the fourth quarter of 2019, which were identified in connection with </w:t>
      </w:r>
      <w:r>
        <w:rPr>
          <w:rFonts w:ascii="Helvetica" w:eastAsia="Helvetica" w:hAnsi="Helvetica" w:cs="Helvetica"/>
          <w:sz w:val="18"/>
          <w:szCs w:val="18"/>
        </w:rPr>
        <w:t>management’s evaluation required by paragraph (d) of Rules 13a-15 and 15d-15 under the Exchange Act, that have materially affected, or are reasonably likely to materially affect, the Company’s internal control over financial reporting.</w:t>
      </w:r>
    </w:p>
    <w:tbl>
      <w:tblPr>
        <w:tblW w:w="0" w:type="auto"/>
        <w:tblCellSpacing w:w="0" w:type="dxa"/>
        <w:tblCellMar>
          <w:left w:w="0" w:type="dxa"/>
          <w:right w:w="0" w:type="dxa"/>
        </w:tblCellMar>
        <w:tblLook w:val="04A0" w:firstRow="1" w:lastRow="0" w:firstColumn="1" w:lastColumn="0" w:noHBand="0" w:noVBand="1"/>
      </w:tblPr>
      <w:tblGrid>
        <w:gridCol w:w="1200"/>
        <w:gridCol w:w="1520"/>
      </w:tblGrid>
      <w:tr w:rsidR="00FA5565" w14:paraId="2A73BC75" w14:textId="77777777">
        <w:trPr>
          <w:tblCellSpacing w:w="0" w:type="dxa"/>
        </w:trPr>
        <w:tc>
          <w:tcPr>
            <w:tcW w:w="1200" w:type="dxa"/>
            <w:shd w:val="clear" w:color="auto" w:fill="auto"/>
            <w:vAlign w:val="center"/>
          </w:tcPr>
          <w:p w14:paraId="2A73BC73" w14:textId="77777777" w:rsidR="00FA5565" w:rsidRDefault="00FA5565">
            <w:pPr>
              <w:rPr>
                <w:rFonts w:ascii="Times New Roman" w:hAnsi="Times New Roman"/>
                <w:sz w:val="20"/>
                <w:szCs w:val="20"/>
              </w:rPr>
            </w:pPr>
          </w:p>
        </w:tc>
        <w:tc>
          <w:tcPr>
            <w:tcW w:w="0" w:type="auto"/>
            <w:shd w:val="clear" w:color="auto" w:fill="auto"/>
            <w:vAlign w:val="center"/>
          </w:tcPr>
          <w:p w14:paraId="2A73BC74" w14:textId="77777777" w:rsidR="00FA5565" w:rsidRDefault="00FA5565">
            <w:pPr>
              <w:rPr>
                <w:rFonts w:ascii="Times New Roman" w:hAnsi="Times New Roman"/>
                <w:sz w:val="20"/>
                <w:szCs w:val="20"/>
              </w:rPr>
            </w:pPr>
          </w:p>
        </w:tc>
      </w:tr>
      <w:tr w:rsidR="00FA5565" w14:paraId="2A73BC78" w14:textId="77777777">
        <w:trPr>
          <w:tblCellSpacing w:w="0" w:type="dxa"/>
        </w:trPr>
        <w:tc>
          <w:tcPr>
            <w:tcW w:w="0" w:type="auto"/>
            <w:shd w:val="clear" w:color="auto" w:fill="auto"/>
          </w:tcPr>
          <w:p w14:paraId="2A73BC76"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9B.</w:t>
            </w:r>
          </w:p>
        </w:tc>
        <w:tc>
          <w:tcPr>
            <w:tcW w:w="0" w:type="auto"/>
            <w:shd w:val="clear" w:color="auto" w:fill="auto"/>
          </w:tcPr>
          <w:p w14:paraId="2A73BC77"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Other In</w:t>
            </w:r>
            <w:r>
              <w:rPr>
                <w:rFonts w:ascii="Helvetica" w:eastAsia="Helvetica" w:hAnsi="Helvetica" w:cs="Helvetica"/>
                <w:b/>
                <w:bCs/>
                <w:sz w:val="18"/>
                <w:szCs w:val="18"/>
              </w:rPr>
              <w:t>formation</w:t>
            </w:r>
          </w:p>
        </w:tc>
      </w:tr>
    </w:tbl>
    <w:p w14:paraId="2A73BC79"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None.</w:t>
      </w:r>
    </w:p>
    <w:p w14:paraId="2A73BC7A" w14:textId="77777777" w:rsidR="00FA5565" w:rsidRDefault="00FA5565">
      <w:pPr>
        <w:rPr>
          <w:rFonts w:ascii="Times New Roman" w:hAnsi="Times New Roman"/>
          <w:sz w:val="20"/>
          <w:szCs w:val="20"/>
        </w:rPr>
      </w:pPr>
    </w:p>
    <w:p w14:paraId="2A73BC7B"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59</w:t>
      </w:r>
    </w:p>
    <w:p w14:paraId="2A73BC7C" w14:textId="77777777" w:rsidR="00FA5565" w:rsidRDefault="00D804D1">
      <w:r>
        <w:rPr>
          <w:rFonts w:ascii="Times New Roman" w:hAnsi="Times New Roman"/>
          <w:sz w:val="16"/>
          <w:szCs w:val="16"/>
        </w:rPr>
        <w:pict w14:anchorId="2A73C0D7">
          <v:rect id="_x0000_i1085" style="width:415.3pt;height:1.5pt" o:hralign="center" o:hrstd="t" o:hr="t" fillcolor="#a0a0a0" stroked="f"/>
        </w:pict>
      </w:r>
    </w:p>
    <w:p w14:paraId="2A73BC7D" w14:textId="77777777" w:rsidR="00FA5565" w:rsidRDefault="00FA5565">
      <w:pPr>
        <w:rPr>
          <w:rFonts w:ascii="Times New Roman" w:hAnsi="Times New Roman"/>
          <w:sz w:val="20"/>
          <w:szCs w:val="20"/>
        </w:rPr>
      </w:pPr>
    </w:p>
    <w:p w14:paraId="2A73BC7E"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PART III</w:t>
      </w:r>
    </w:p>
    <w:tbl>
      <w:tblPr>
        <w:tblW w:w="0" w:type="auto"/>
        <w:tblCellSpacing w:w="0" w:type="dxa"/>
        <w:tblCellMar>
          <w:left w:w="0" w:type="dxa"/>
          <w:right w:w="0" w:type="dxa"/>
        </w:tblCellMar>
        <w:tblLook w:val="04A0" w:firstRow="1" w:lastRow="0" w:firstColumn="1" w:lastColumn="0" w:noHBand="0" w:noVBand="1"/>
      </w:tblPr>
      <w:tblGrid>
        <w:gridCol w:w="1200"/>
        <w:gridCol w:w="4832"/>
      </w:tblGrid>
      <w:tr w:rsidR="00FA5565" w14:paraId="2A73BC81" w14:textId="77777777">
        <w:trPr>
          <w:tblCellSpacing w:w="0" w:type="dxa"/>
        </w:trPr>
        <w:tc>
          <w:tcPr>
            <w:tcW w:w="1200" w:type="dxa"/>
            <w:shd w:val="clear" w:color="auto" w:fill="auto"/>
            <w:vAlign w:val="center"/>
          </w:tcPr>
          <w:p w14:paraId="2A73BC7F" w14:textId="77777777" w:rsidR="00FA5565" w:rsidRDefault="00FA5565">
            <w:pPr>
              <w:rPr>
                <w:rFonts w:ascii="Times New Roman" w:hAnsi="Times New Roman"/>
                <w:sz w:val="20"/>
                <w:szCs w:val="20"/>
              </w:rPr>
            </w:pPr>
          </w:p>
        </w:tc>
        <w:tc>
          <w:tcPr>
            <w:tcW w:w="0" w:type="auto"/>
            <w:shd w:val="clear" w:color="auto" w:fill="auto"/>
            <w:vAlign w:val="center"/>
          </w:tcPr>
          <w:p w14:paraId="2A73BC80" w14:textId="77777777" w:rsidR="00FA5565" w:rsidRDefault="00FA5565">
            <w:pPr>
              <w:rPr>
                <w:rFonts w:ascii="Times New Roman" w:hAnsi="Times New Roman"/>
                <w:sz w:val="20"/>
                <w:szCs w:val="20"/>
              </w:rPr>
            </w:pPr>
          </w:p>
        </w:tc>
      </w:tr>
      <w:tr w:rsidR="00FA5565" w14:paraId="2A73BC84" w14:textId="77777777">
        <w:trPr>
          <w:tblCellSpacing w:w="0" w:type="dxa"/>
        </w:trPr>
        <w:tc>
          <w:tcPr>
            <w:tcW w:w="0" w:type="auto"/>
            <w:shd w:val="clear" w:color="auto" w:fill="auto"/>
          </w:tcPr>
          <w:p w14:paraId="2A73BC82"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10.</w:t>
            </w:r>
          </w:p>
        </w:tc>
        <w:tc>
          <w:tcPr>
            <w:tcW w:w="0" w:type="auto"/>
            <w:shd w:val="clear" w:color="auto" w:fill="auto"/>
          </w:tcPr>
          <w:p w14:paraId="2A73BC83"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Directors, Executive Officers and Corporate Governance</w:t>
            </w:r>
          </w:p>
        </w:tc>
      </w:tr>
    </w:tbl>
    <w:p w14:paraId="2A73BC8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information required by this Item is set forth under the headings “Corporate Governance,” “Directors,” </w:t>
      </w:r>
      <w:r>
        <w:rPr>
          <w:rFonts w:ascii="Helvetica" w:eastAsia="Helvetica" w:hAnsi="Helvetica" w:cs="Helvetica"/>
          <w:sz w:val="18"/>
          <w:szCs w:val="18"/>
        </w:rPr>
        <w:t>“Executive Officers” and “Other Information—Security Ownership of Certain Beneficial Owners and Management” in the Company’s 2020 Proxy Statement to be filed with the SEC within 120 days after September 28, 2019 in connection with the solicitation of proxi</w:t>
      </w:r>
      <w:r>
        <w:rPr>
          <w:rFonts w:ascii="Helvetica" w:eastAsia="Helvetica" w:hAnsi="Helvetica" w:cs="Helvetica"/>
          <w:sz w:val="18"/>
          <w:szCs w:val="18"/>
        </w:rPr>
        <w:t>es for the Company’s 2020 annual meeting of shareholders, and is incorporated herein by reference.</w:t>
      </w:r>
    </w:p>
    <w:tbl>
      <w:tblPr>
        <w:tblW w:w="0" w:type="auto"/>
        <w:tblCellSpacing w:w="0" w:type="dxa"/>
        <w:tblCellMar>
          <w:left w:w="0" w:type="dxa"/>
          <w:right w:w="0" w:type="dxa"/>
        </w:tblCellMar>
        <w:tblLook w:val="04A0" w:firstRow="1" w:lastRow="0" w:firstColumn="1" w:lastColumn="0" w:noHBand="0" w:noVBand="1"/>
      </w:tblPr>
      <w:tblGrid>
        <w:gridCol w:w="1200"/>
        <w:gridCol w:w="2141"/>
      </w:tblGrid>
      <w:tr w:rsidR="00FA5565" w14:paraId="2A73BC88" w14:textId="77777777">
        <w:trPr>
          <w:tblCellSpacing w:w="0" w:type="dxa"/>
        </w:trPr>
        <w:tc>
          <w:tcPr>
            <w:tcW w:w="1200" w:type="dxa"/>
            <w:shd w:val="clear" w:color="auto" w:fill="auto"/>
            <w:vAlign w:val="center"/>
          </w:tcPr>
          <w:p w14:paraId="2A73BC86" w14:textId="77777777" w:rsidR="00FA5565" w:rsidRDefault="00FA5565">
            <w:pPr>
              <w:rPr>
                <w:rFonts w:ascii="Times New Roman" w:hAnsi="Times New Roman"/>
                <w:sz w:val="20"/>
                <w:szCs w:val="20"/>
              </w:rPr>
            </w:pPr>
          </w:p>
        </w:tc>
        <w:tc>
          <w:tcPr>
            <w:tcW w:w="0" w:type="auto"/>
            <w:shd w:val="clear" w:color="auto" w:fill="auto"/>
            <w:vAlign w:val="center"/>
          </w:tcPr>
          <w:p w14:paraId="2A73BC87" w14:textId="77777777" w:rsidR="00FA5565" w:rsidRDefault="00FA5565">
            <w:pPr>
              <w:rPr>
                <w:rFonts w:ascii="Times New Roman" w:hAnsi="Times New Roman"/>
                <w:sz w:val="20"/>
                <w:szCs w:val="20"/>
              </w:rPr>
            </w:pPr>
          </w:p>
        </w:tc>
      </w:tr>
      <w:tr w:rsidR="00FA5565" w14:paraId="2A73BC8B" w14:textId="77777777">
        <w:trPr>
          <w:tblCellSpacing w:w="0" w:type="dxa"/>
        </w:trPr>
        <w:tc>
          <w:tcPr>
            <w:tcW w:w="0" w:type="auto"/>
            <w:shd w:val="clear" w:color="auto" w:fill="auto"/>
          </w:tcPr>
          <w:p w14:paraId="2A73BC89"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11.</w:t>
            </w:r>
          </w:p>
        </w:tc>
        <w:tc>
          <w:tcPr>
            <w:tcW w:w="0" w:type="auto"/>
            <w:shd w:val="clear" w:color="auto" w:fill="auto"/>
          </w:tcPr>
          <w:p w14:paraId="2A73BC8A"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Executive Compensation</w:t>
            </w:r>
          </w:p>
        </w:tc>
      </w:tr>
    </w:tbl>
    <w:p w14:paraId="2A73BC8C"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information required by this Item is set forth under the heading “Executive Compensation,” under the </w:t>
      </w:r>
      <w:r>
        <w:rPr>
          <w:rFonts w:ascii="Helvetica" w:eastAsia="Helvetica" w:hAnsi="Helvetica" w:cs="Helvetica"/>
          <w:sz w:val="18"/>
          <w:szCs w:val="18"/>
        </w:rPr>
        <w:t>subheadings “Board Oversight of Risk Management” and “Compensation Committee Interlocks and Insider Participation” under the heading “Corporate Governance” and under the subheadings “Compensation of Directors” and “Director Compensation—2019” under the hea</w:t>
      </w:r>
      <w:r>
        <w:rPr>
          <w:rFonts w:ascii="Helvetica" w:eastAsia="Helvetica" w:hAnsi="Helvetica" w:cs="Helvetica"/>
          <w:sz w:val="18"/>
          <w:szCs w:val="18"/>
        </w:rPr>
        <w:t>ding “Directors” in the Company’s 2020 Proxy Statement to be filed with the SEC within 120 days after September 28, 2019, and is incorporated herein by reference.</w:t>
      </w:r>
    </w:p>
    <w:tbl>
      <w:tblPr>
        <w:tblW w:w="0" w:type="auto"/>
        <w:tblCellSpacing w:w="0" w:type="dxa"/>
        <w:tblCellMar>
          <w:left w:w="0" w:type="dxa"/>
          <w:right w:w="0" w:type="dxa"/>
        </w:tblCellMar>
        <w:tblLook w:val="04A0" w:firstRow="1" w:lastRow="0" w:firstColumn="1" w:lastColumn="0" w:noHBand="0" w:noVBand="1"/>
      </w:tblPr>
      <w:tblGrid>
        <w:gridCol w:w="1200"/>
        <w:gridCol w:w="7106"/>
      </w:tblGrid>
      <w:tr w:rsidR="00FA5565" w14:paraId="2A73BC8F" w14:textId="77777777">
        <w:trPr>
          <w:tblCellSpacing w:w="0" w:type="dxa"/>
        </w:trPr>
        <w:tc>
          <w:tcPr>
            <w:tcW w:w="1200" w:type="dxa"/>
            <w:shd w:val="clear" w:color="auto" w:fill="auto"/>
            <w:vAlign w:val="center"/>
          </w:tcPr>
          <w:p w14:paraId="2A73BC8D" w14:textId="77777777" w:rsidR="00FA5565" w:rsidRDefault="00FA5565">
            <w:pPr>
              <w:rPr>
                <w:rFonts w:ascii="Times New Roman" w:hAnsi="Times New Roman"/>
                <w:sz w:val="20"/>
                <w:szCs w:val="20"/>
              </w:rPr>
            </w:pPr>
          </w:p>
        </w:tc>
        <w:tc>
          <w:tcPr>
            <w:tcW w:w="0" w:type="auto"/>
            <w:shd w:val="clear" w:color="auto" w:fill="auto"/>
            <w:vAlign w:val="center"/>
          </w:tcPr>
          <w:p w14:paraId="2A73BC8E" w14:textId="77777777" w:rsidR="00FA5565" w:rsidRDefault="00FA5565">
            <w:pPr>
              <w:rPr>
                <w:rFonts w:ascii="Times New Roman" w:hAnsi="Times New Roman"/>
                <w:sz w:val="20"/>
                <w:szCs w:val="20"/>
              </w:rPr>
            </w:pPr>
          </w:p>
        </w:tc>
      </w:tr>
      <w:tr w:rsidR="00FA5565" w14:paraId="2A73BC92" w14:textId="77777777">
        <w:trPr>
          <w:tblCellSpacing w:w="0" w:type="dxa"/>
        </w:trPr>
        <w:tc>
          <w:tcPr>
            <w:tcW w:w="0" w:type="auto"/>
            <w:shd w:val="clear" w:color="auto" w:fill="auto"/>
          </w:tcPr>
          <w:p w14:paraId="2A73BC90"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12.</w:t>
            </w:r>
          </w:p>
        </w:tc>
        <w:tc>
          <w:tcPr>
            <w:tcW w:w="0" w:type="auto"/>
            <w:shd w:val="clear" w:color="auto" w:fill="auto"/>
          </w:tcPr>
          <w:p w14:paraId="2A73BC91"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 xml:space="preserve">Security Ownership of Certain Beneficial Owners and Management and Related </w:t>
            </w:r>
            <w:r>
              <w:rPr>
                <w:rFonts w:ascii="Helvetica" w:eastAsia="Helvetica" w:hAnsi="Helvetica" w:cs="Helvetica"/>
                <w:b/>
                <w:bCs/>
                <w:sz w:val="18"/>
                <w:szCs w:val="18"/>
              </w:rPr>
              <w:t>Stockholder Matters</w:t>
            </w:r>
          </w:p>
        </w:tc>
      </w:tr>
    </w:tbl>
    <w:p w14:paraId="2A73BC93"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information required by this Item is set forth under the headings “Other Information—Security Ownership of Certain Beneficial Owners and Management” and “Other Information—Equity Compensation Plan Information” in the </w:t>
      </w:r>
      <w:r>
        <w:rPr>
          <w:rFonts w:ascii="Helvetica" w:eastAsia="Helvetica" w:hAnsi="Helvetica" w:cs="Helvetica"/>
          <w:sz w:val="18"/>
          <w:szCs w:val="18"/>
        </w:rPr>
        <w:t>Company’s 2020 Proxy Statement to be filed with the SEC within 120 days after September 28, 2019, and is incorporated herein by reference.</w:t>
      </w:r>
    </w:p>
    <w:tbl>
      <w:tblPr>
        <w:tblW w:w="0" w:type="auto"/>
        <w:tblCellSpacing w:w="0" w:type="dxa"/>
        <w:tblCellMar>
          <w:left w:w="0" w:type="dxa"/>
          <w:right w:w="0" w:type="dxa"/>
        </w:tblCellMar>
        <w:tblLook w:val="04A0" w:firstRow="1" w:lastRow="0" w:firstColumn="1" w:lastColumn="0" w:noHBand="0" w:noVBand="1"/>
      </w:tblPr>
      <w:tblGrid>
        <w:gridCol w:w="1200"/>
        <w:gridCol w:w="6512"/>
      </w:tblGrid>
      <w:tr w:rsidR="00FA5565" w14:paraId="2A73BC96" w14:textId="77777777">
        <w:trPr>
          <w:tblCellSpacing w:w="0" w:type="dxa"/>
        </w:trPr>
        <w:tc>
          <w:tcPr>
            <w:tcW w:w="1200" w:type="dxa"/>
            <w:shd w:val="clear" w:color="auto" w:fill="auto"/>
            <w:vAlign w:val="center"/>
          </w:tcPr>
          <w:p w14:paraId="2A73BC94" w14:textId="77777777" w:rsidR="00FA5565" w:rsidRDefault="00FA5565">
            <w:pPr>
              <w:rPr>
                <w:rFonts w:ascii="Times New Roman" w:hAnsi="Times New Roman"/>
                <w:sz w:val="20"/>
                <w:szCs w:val="20"/>
              </w:rPr>
            </w:pPr>
          </w:p>
        </w:tc>
        <w:tc>
          <w:tcPr>
            <w:tcW w:w="0" w:type="auto"/>
            <w:shd w:val="clear" w:color="auto" w:fill="auto"/>
            <w:vAlign w:val="center"/>
          </w:tcPr>
          <w:p w14:paraId="2A73BC95" w14:textId="77777777" w:rsidR="00FA5565" w:rsidRDefault="00FA5565">
            <w:pPr>
              <w:rPr>
                <w:rFonts w:ascii="Times New Roman" w:hAnsi="Times New Roman"/>
                <w:sz w:val="20"/>
                <w:szCs w:val="20"/>
              </w:rPr>
            </w:pPr>
          </w:p>
        </w:tc>
      </w:tr>
      <w:tr w:rsidR="00FA5565" w14:paraId="2A73BC99" w14:textId="77777777">
        <w:trPr>
          <w:tblCellSpacing w:w="0" w:type="dxa"/>
        </w:trPr>
        <w:tc>
          <w:tcPr>
            <w:tcW w:w="0" w:type="auto"/>
            <w:shd w:val="clear" w:color="auto" w:fill="auto"/>
          </w:tcPr>
          <w:p w14:paraId="2A73BC97"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13.</w:t>
            </w:r>
          </w:p>
        </w:tc>
        <w:tc>
          <w:tcPr>
            <w:tcW w:w="0" w:type="auto"/>
            <w:shd w:val="clear" w:color="auto" w:fill="auto"/>
          </w:tcPr>
          <w:p w14:paraId="2A73BC98"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Certain Relationships and Related Transactions, and Director Independence</w:t>
            </w:r>
          </w:p>
        </w:tc>
      </w:tr>
    </w:tbl>
    <w:p w14:paraId="2A73BC9A"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information </w:t>
      </w:r>
      <w:r>
        <w:rPr>
          <w:rFonts w:ascii="Helvetica" w:eastAsia="Helvetica" w:hAnsi="Helvetica" w:cs="Helvetica"/>
          <w:sz w:val="18"/>
          <w:szCs w:val="18"/>
        </w:rPr>
        <w:t>required by this Item is set forth under the subheadings “Board Committees”, “Review, Approval, or Ratification of Transactions with Related Persons” and “Transactions with Related Persons” under the heading “Corporate Governance” in the Company’s 2020 Pro</w:t>
      </w:r>
      <w:r>
        <w:rPr>
          <w:rFonts w:ascii="Helvetica" w:eastAsia="Helvetica" w:hAnsi="Helvetica" w:cs="Helvetica"/>
          <w:sz w:val="18"/>
          <w:szCs w:val="18"/>
        </w:rPr>
        <w:t>xy Statement to be filed with the SEC within 120 days after September 28, 2019, and is incorporated herein by reference.</w:t>
      </w:r>
    </w:p>
    <w:tbl>
      <w:tblPr>
        <w:tblW w:w="0" w:type="auto"/>
        <w:tblCellSpacing w:w="0" w:type="dxa"/>
        <w:tblCellMar>
          <w:left w:w="0" w:type="dxa"/>
          <w:right w:w="0" w:type="dxa"/>
        </w:tblCellMar>
        <w:tblLook w:val="04A0" w:firstRow="1" w:lastRow="0" w:firstColumn="1" w:lastColumn="0" w:noHBand="0" w:noVBand="1"/>
      </w:tblPr>
      <w:tblGrid>
        <w:gridCol w:w="1200"/>
        <w:gridCol w:w="3422"/>
      </w:tblGrid>
      <w:tr w:rsidR="00FA5565" w14:paraId="2A73BC9D" w14:textId="77777777">
        <w:trPr>
          <w:tblCellSpacing w:w="0" w:type="dxa"/>
        </w:trPr>
        <w:tc>
          <w:tcPr>
            <w:tcW w:w="1200" w:type="dxa"/>
            <w:shd w:val="clear" w:color="auto" w:fill="auto"/>
            <w:vAlign w:val="center"/>
          </w:tcPr>
          <w:p w14:paraId="2A73BC9B" w14:textId="77777777" w:rsidR="00FA5565" w:rsidRDefault="00FA5565">
            <w:pPr>
              <w:rPr>
                <w:rFonts w:ascii="Times New Roman" w:hAnsi="Times New Roman"/>
                <w:sz w:val="20"/>
                <w:szCs w:val="20"/>
              </w:rPr>
            </w:pPr>
          </w:p>
        </w:tc>
        <w:tc>
          <w:tcPr>
            <w:tcW w:w="0" w:type="auto"/>
            <w:shd w:val="clear" w:color="auto" w:fill="auto"/>
            <w:vAlign w:val="center"/>
          </w:tcPr>
          <w:p w14:paraId="2A73BC9C" w14:textId="77777777" w:rsidR="00FA5565" w:rsidRDefault="00FA5565">
            <w:pPr>
              <w:rPr>
                <w:rFonts w:ascii="Times New Roman" w:hAnsi="Times New Roman"/>
                <w:sz w:val="20"/>
                <w:szCs w:val="20"/>
              </w:rPr>
            </w:pPr>
          </w:p>
        </w:tc>
      </w:tr>
      <w:tr w:rsidR="00FA5565" w14:paraId="2A73BCA0" w14:textId="77777777">
        <w:trPr>
          <w:tblCellSpacing w:w="0" w:type="dxa"/>
        </w:trPr>
        <w:tc>
          <w:tcPr>
            <w:tcW w:w="0" w:type="auto"/>
            <w:shd w:val="clear" w:color="auto" w:fill="auto"/>
          </w:tcPr>
          <w:p w14:paraId="2A73BC9E"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14.</w:t>
            </w:r>
          </w:p>
        </w:tc>
        <w:tc>
          <w:tcPr>
            <w:tcW w:w="0" w:type="auto"/>
            <w:shd w:val="clear" w:color="auto" w:fill="auto"/>
          </w:tcPr>
          <w:p w14:paraId="2A73BC9F"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Principal Accounting Fees and Services</w:t>
            </w:r>
          </w:p>
        </w:tc>
      </w:tr>
    </w:tbl>
    <w:p w14:paraId="2A73BCA1"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The information required by this Item is set forth under the subheadings “Fees </w:t>
      </w:r>
      <w:r>
        <w:rPr>
          <w:rFonts w:ascii="Helvetica" w:eastAsia="Helvetica" w:hAnsi="Helvetica" w:cs="Helvetica"/>
          <w:sz w:val="18"/>
          <w:szCs w:val="18"/>
        </w:rPr>
        <w:t xml:space="preserve">Paid to Auditors” and “Policy on Audit Committee Pre-Approval of Audit and Non-Audit Services Performed by the Independent Registered Public Accounting Firm” under the proposal “Ratification of Appointment of Independent Registered Public Accounting Firm” </w:t>
      </w:r>
      <w:r>
        <w:rPr>
          <w:rFonts w:ascii="Helvetica" w:eastAsia="Helvetica" w:hAnsi="Helvetica" w:cs="Helvetica"/>
          <w:sz w:val="18"/>
          <w:szCs w:val="18"/>
        </w:rPr>
        <w:t>in the Company’s 2020 Proxy Statement to be filed with the SEC within 120 days after September 28, 2019, and is incorporated herein by reference.</w:t>
      </w:r>
    </w:p>
    <w:p w14:paraId="2A73BCA2" w14:textId="77777777" w:rsidR="00FA5565" w:rsidRDefault="00FA5565">
      <w:pPr>
        <w:rPr>
          <w:rFonts w:ascii="Times New Roman" w:hAnsi="Times New Roman"/>
          <w:sz w:val="20"/>
          <w:szCs w:val="20"/>
        </w:rPr>
      </w:pPr>
    </w:p>
    <w:p w14:paraId="2A73BCA3"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60</w:t>
      </w:r>
    </w:p>
    <w:p w14:paraId="2A73BCA4" w14:textId="77777777" w:rsidR="00FA5565" w:rsidRDefault="00D804D1">
      <w:r>
        <w:rPr>
          <w:rFonts w:ascii="Times New Roman" w:hAnsi="Times New Roman"/>
          <w:sz w:val="16"/>
          <w:szCs w:val="16"/>
        </w:rPr>
        <w:pict w14:anchorId="2A73C0D8">
          <v:rect id="_x0000_i1086" style="width:415.3pt;height:1.5pt" o:hralign="center" o:hrstd="t" o:hr="t" fillcolor="#a0a0a0" stroked="f"/>
        </w:pict>
      </w:r>
    </w:p>
    <w:p w14:paraId="2A73BCA5" w14:textId="77777777" w:rsidR="00FA5565" w:rsidRDefault="00FA5565">
      <w:pPr>
        <w:rPr>
          <w:rFonts w:ascii="Times New Roman" w:hAnsi="Times New Roman"/>
          <w:sz w:val="20"/>
          <w:szCs w:val="20"/>
        </w:rPr>
      </w:pPr>
    </w:p>
    <w:p w14:paraId="2A73BCA6" w14:textId="77777777" w:rsidR="00FA5565" w:rsidRDefault="00D804D1">
      <w:pPr>
        <w:spacing w:line="288" w:lineRule="auto"/>
        <w:jc w:val="both"/>
        <w:rPr>
          <w:rFonts w:ascii="Times New Roman" w:hAnsi="Times New Roman"/>
          <w:sz w:val="18"/>
          <w:szCs w:val="18"/>
        </w:rPr>
      </w:pPr>
      <w:r>
        <w:rPr>
          <w:rFonts w:ascii="Helvetica" w:eastAsia="Helvetica" w:hAnsi="Helvetica" w:cs="Helvetica"/>
          <w:b/>
          <w:bCs/>
          <w:sz w:val="18"/>
          <w:szCs w:val="18"/>
        </w:rPr>
        <w:t>PART IV</w:t>
      </w:r>
    </w:p>
    <w:tbl>
      <w:tblPr>
        <w:tblW w:w="0" w:type="auto"/>
        <w:tblCellSpacing w:w="0" w:type="dxa"/>
        <w:tblCellMar>
          <w:left w:w="0" w:type="dxa"/>
          <w:right w:w="0" w:type="dxa"/>
        </w:tblCellMar>
        <w:tblLook w:val="04A0" w:firstRow="1" w:lastRow="0" w:firstColumn="1" w:lastColumn="0" w:noHBand="0" w:noVBand="1"/>
      </w:tblPr>
      <w:tblGrid>
        <w:gridCol w:w="1200"/>
        <w:gridCol w:w="3451"/>
      </w:tblGrid>
      <w:tr w:rsidR="00FA5565" w14:paraId="2A73BCA9" w14:textId="77777777">
        <w:trPr>
          <w:tblCellSpacing w:w="0" w:type="dxa"/>
        </w:trPr>
        <w:tc>
          <w:tcPr>
            <w:tcW w:w="1200" w:type="dxa"/>
            <w:shd w:val="clear" w:color="auto" w:fill="auto"/>
            <w:vAlign w:val="center"/>
          </w:tcPr>
          <w:p w14:paraId="2A73BCA7" w14:textId="77777777" w:rsidR="00FA5565" w:rsidRDefault="00FA5565">
            <w:pPr>
              <w:rPr>
                <w:rFonts w:ascii="Times New Roman" w:hAnsi="Times New Roman"/>
                <w:sz w:val="20"/>
                <w:szCs w:val="20"/>
              </w:rPr>
            </w:pPr>
          </w:p>
        </w:tc>
        <w:tc>
          <w:tcPr>
            <w:tcW w:w="0" w:type="auto"/>
            <w:shd w:val="clear" w:color="auto" w:fill="auto"/>
            <w:vAlign w:val="center"/>
          </w:tcPr>
          <w:p w14:paraId="2A73BCA8" w14:textId="77777777" w:rsidR="00FA5565" w:rsidRDefault="00FA5565">
            <w:pPr>
              <w:rPr>
                <w:rFonts w:ascii="Times New Roman" w:hAnsi="Times New Roman"/>
                <w:sz w:val="20"/>
                <w:szCs w:val="20"/>
              </w:rPr>
            </w:pPr>
          </w:p>
        </w:tc>
      </w:tr>
      <w:tr w:rsidR="00FA5565" w14:paraId="2A73BCAC" w14:textId="77777777">
        <w:trPr>
          <w:tblCellSpacing w:w="0" w:type="dxa"/>
        </w:trPr>
        <w:tc>
          <w:tcPr>
            <w:tcW w:w="0" w:type="auto"/>
            <w:shd w:val="clear" w:color="auto" w:fill="auto"/>
          </w:tcPr>
          <w:p w14:paraId="2A73BCAA"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15.</w:t>
            </w:r>
          </w:p>
        </w:tc>
        <w:tc>
          <w:tcPr>
            <w:tcW w:w="0" w:type="auto"/>
            <w:shd w:val="clear" w:color="auto" w:fill="auto"/>
          </w:tcPr>
          <w:p w14:paraId="2A73BCAB"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Exhibits, Financial Statement Schedules</w:t>
            </w:r>
          </w:p>
        </w:tc>
      </w:tr>
    </w:tbl>
    <w:p w14:paraId="2A73BCAD"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3201"/>
      </w:tblGrid>
      <w:tr w:rsidR="00FA5565" w14:paraId="2A73BCB0" w14:textId="77777777">
        <w:trPr>
          <w:tblCellSpacing w:w="0" w:type="dxa"/>
        </w:trPr>
        <w:tc>
          <w:tcPr>
            <w:tcW w:w="480" w:type="dxa"/>
            <w:shd w:val="clear" w:color="auto" w:fill="auto"/>
            <w:vAlign w:val="center"/>
          </w:tcPr>
          <w:p w14:paraId="2A73BCAE" w14:textId="77777777" w:rsidR="00FA5565" w:rsidRDefault="00FA5565">
            <w:pPr>
              <w:rPr>
                <w:rFonts w:ascii="Times New Roman" w:hAnsi="Times New Roman"/>
                <w:sz w:val="20"/>
                <w:szCs w:val="20"/>
              </w:rPr>
            </w:pPr>
          </w:p>
        </w:tc>
        <w:tc>
          <w:tcPr>
            <w:tcW w:w="0" w:type="auto"/>
            <w:shd w:val="clear" w:color="auto" w:fill="auto"/>
            <w:vAlign w:val="center"/>
          </w:tcPr>
          <w:p w14:paraId="2A73BCAF" w14:textId="77777777" w:rsidR="00FA5565" w:rsidRDefault="00FA5565">
            <w:pPr>
              <w:rPr>
                <w:rFonts w:ascii="Times New Roman" w:hAnsi="Times New Roman"/>
                <w:sz w:val="20"/>
                <w:szCs w:val="20"/>
              </w:rPr>
            </w:pPr>
          </w:p>
        </w:tc>
      </w:tr>
      <w:tr w:rsidR="00FA5565" w14:paraId="2A73BCB3" w14:textId="77777777">
        <w:trPr>
          <w:tblCellSpacing w:w="0" w:type="dxa"/>
        </w:trPr>
        <w:tc>
          <w:tcPr>
            <w:tcW w:w="0" w:type="auto"/>
            <w:shd w:val="clear" w:color="auto" w:fill="auto"/>
          </w:tcPr>
          <w:p w14:paraId="2A73BCB1"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(a)</w:t>
            </w:r>
          </w:p>
        </w:tc>
        <w:tc>
          <w:tcPr>
            <w:tcW w:w="0" w:type="auto"/>
            <w:shd w:val="clear" w:color="auto" w:fill="auto"/>
          </w:tcPr>
          <w:p w14:paraId="2A73BCB2"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Documents filed as part of this report</w:t>
            </w:r>
          </w:p>
        </w:tc>
      </w:tr>
    </w:tbl>
    <w:p w14:paraId="2A73BCB4"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2011"/>
      </w:tblGrid>
      <w:tr w:rsidR="00FA5565" w14:paraId="2A73BCB7" w14:textId="77777777">
        <w:trPr>
          <w:tblCellSpacing w:w="0" w:type="dxa"/>
        </w:trPr>
        <w:tc>
          <w:tcPr>
            <w:tcW w:w="480" w:type="dxa"/>
            <w:shd w:val="clear" w:color="auto" w:fill="auto"/>
            <w:vAlign w:val="center"/>
          </w:tcPr>
          <w:p w14:paraId="2A73BCB5" w14:textId="77777777" w:rsidR="00FA5565" w:rsidRDefault="00FA5565">
            <w:pPr>
              <w:rPr>
                <w:rFonts w:ascii="Times New Roman" w:hAnsi="Times New Roman"/>
                <w:sz w:val="20"/>
                <w:szCs w:val="20"/>
              </w:rPr>
            </w:pPr>
          </w:p>
        </w:tc>
        <w:tc>
          <w:tcPr>
            <w:tcW w:w="0" w:type="auto"/>
            <w:shd w:val="clear" w:color="auto" w:fill="auto"/>
            <w:vAlign w:val="center"/>
          </w:tcPr>
          <w:p w14:paraId="2A73BCB6" w14:textId="77777777" w:rsidR="00FA5565" w:rsidRDefault="00FA5565">
            <w:pPr>
              <w:rPr>
                <w:rFonts w:ascii="Times New Roman" w:hAnsi="Times New Roman"/>
                <w:sz w:val="20"/>
                <w:szCs w:val="20"/>
              </w:rPr>
            </w:pPr>
          </w:p>
        </w:tc>
      </w:tr>
      <w:tr w:rsidR="00FA5565" w14:paraId="2A73BCBA" w14:textId="77777777">
        <w:trPr>
          <w:tblCellSpacing w:w="0" w:type="dxa"/>
        </w:trPr>
        <w:tc>
          <w:tcPr>
            <w:tcW w:w="0" w:type="auto"/>
            <w:shd w:val="clear" w:color="auto" w:fill="auto"/>
          </w:tcPr>
          <w:p w14:paraId="2A73BCB8"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(1)</w:t>
            </w:r>
          </w:p>
        </w:tc>
        <w:tc>
          <w:tcPr>
            <w:tcW w:w="0" w:type="auto"/>
            <w:shd w:val="clear" w:color="auto" w:fill="auto"/>
          </w:tcPr>
          <w:p w14:paraId="2A73BCB9"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All financial statements</w:t>
            </w:r>
          </w:p>
        </w:tc>
      </w:tr>
    </w:tbl>
    <w:p w14:paraId="2A73BCBB" w14:textId="77777777" w:rsidR="00FA5565" w:rsidRDefault="00FA5565">
      <w:pPr>
        <w:rPr>
          <w:vanish/>
        </w:rPr>
      </w:pPr>
    </w:p>
    <w:tbl>
      <w:tblPr>
        <w:tblW w:w="5000" w:type="pct"/>
        <w:tblCellMar>
          <w:left w:w="0" w:type="dxa"/>
          <w:right w:w="0" w:type="dxa"/>
        </w:tblCellMar>
        <w:tblLook w:val="04A0" w:firstRow="1" w:lastRow="0" w:firstColumn="1" w:lastColumn="0" w:noHBand="0" w:noVBand="1"/>
      </w:tblPr>
      <w:tblGrid>
        <w:gridCol w:w="7476"/>
        <w:gridCol w:w="332"/>
        <w:gridCol w:w="498"/>
      </w:tblGrid>
      <w:tr w:rsidR="00FA5565" w14:paraId="2A73BCBD" w14:textId="77777777">
        <w:tc>
          <w:tcPr>
            <w:tcW w:w="0" w:type="auto"/>
            <w:gridSpan w:val="3"/>
            <w:shd w:val="clear" w:color="auto" w:fill="auto"/>
            <w:vAlign w:val="center"/>
          </w:tcPr>
          <w:p w14:paraId="2A73BCBC" w14:textId="77777777" w:rsidR="00FA5565" w:rsidRDefault="00FA5565">
            <w:pPr>
              <w:rPr>
                <w:rFonts w:ascii="Times New Roman" w:hAnsi="Times New Roman"/>
                <w:sz w:val="20"/>
                <w:szCs w:val="20"/>
              </w:rPr>
            </w:pPr>
          </w:p>
        </w:tc>
      </w:tr>
      <w:tr w:rsidR="00FA5565" w14:paraId="2A73BCC1" w14:textId="77777777">
        <w:tc>
          <w:tcPr>
            <w:tcW w:w="4500" w:type="pct"/>
            <w:shd w:val="clear" w:color="auto" w:fill="auto"/>
            <w:vAlign w:val="center"/>
          </w:tcPr>
          <w:p w14:paraId="2A73BCBE" w14:textId="77777777" w:rsidR="00FA5565" w:rsidRDefault="00FA5565">
            <w:pPr>
              <w:rPr>
                <w:rFonts w:ascii="Times New Roman" w:hAnsi="Times New Roman"/>
                <w:sz w:val="20"/>
                <w:szCs w:val="20"/>
              </w:rPr>
            </w:pPr>
          </w:p>
        </w:tc>
        <w:tc>
          <w:tcPr>
            <w:tcW w:w="200" w:type="pct"/>
            <w:shd w:val="clear" w:color="auto" w:fill="auto"/>
            <w:vAlign w:val="center"/>
          </w:tcPr>
          <w:p w14:paraId="2A73BCBF" w14:textId="77777777" w:rsidR="00FA5565" w:rsidRDefault="00FA5565">
            <w:pPr>
              <w:rPr>
                <w:rFonts w:ascii="Times New Roman" w:hAnsi="Times New Roman"/>
                <w:sz w:val="20"/>
                <w:szCs w:val="20"/>
              </w:rPr>
            </w:pPr>
          </w:p>
        </w:tc>
        <w:tc>
          <w:tcPr>
            <w:tcW w:w="300" w:type="pct"/>
            <w:shd w:val="clear" w:color="auto" w:fill="auto"/>
            <w:vAlign w:val="center"/>
          </w:tcPr>
          <w:p w14:paraId="2A73BCC0" w14:textId="77777777" w:rsidR="00FA5565" w:rsidRDefault="00FA5565">
            <w:pPr>
              <w:rPr>
                <w:rFonts w:ascii="Times New Roman" w:hAnsi="Times New Roman"/>
                <w:sz w:val="20"/>
                <w:szCs w:val="20"/>
              </w:rPr>
            </w:pPr>
          </w:p>
        </w:tc>
      </w:tr>
      <w:tr w:rsidR="00FA5565" w14:paraId="2A73BCC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2A73BCC2"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Index to Consolidated Financial Statements</w:t>
            </w:r>
          </w:p>
        </w:tc>
        <w:tc>
          <w:tcPr>
            <w:tcW w:w="0" w:type="auto"/>
            <w:shd w:val="clear" w:color="auto" w:fill="auto"/>
            <w:tcMar>
              <w:top w:w="40" w:type="dxa"/>
              <w:left w:w="40" w:type="dxa"/>
              <w:bottom w:w="40" w:type="dxa"/>
              <w:right w:w="40" w:type="dxa"/>
            </w:tcMar>
            <w:vAlign w:val="bottom"/>
          </w:tcPr>
          <w:p w14:paraId="2A73BC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CC4"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Page</w:t>
            </w:r>
          </w:p>
        </w:tc>
      </w:tr>
      <w:tr w:rsidR="00FA5565" w14:paraId="2A73BCC9"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2A73BCC6" w14:textId="77777777" w:rsidR="00FA5565" w:rsidRDefault="00D804D1">
            <w:pPr>
              <w:ind w:hanging="240"/>
              <w:textAlignment w:val="bottom"/>
              <w:rPr>
                <w:rFonts w:ascii="Times New Roman" w:hAnsi="Times New Roman"/>
                <w:sz w:val="18"/>
                <w:szCs w:val="18"/>
              </w:rPr>
            </w:pPr>
            <w:hyperlink r:id="rId90" w:anchor="sD628584EE6B55393A4E35023D14120AE" w:history="1">
              <w:r>
                <w:rPr>
                  <w:rStyle w:val="a5"/>
                  <w:rFonts w:ascii="Helvetica" w:eastAsia="Helvetica" w:hAnsi="Helvetica" w:cs="Helvetica"/>
                  <w:sz w:val="18"/>
                  <w:szCs w:val="18"/>
                </w:rPr>
                <w:t>Consolidated Statements of Operations for the years ended September 28, 2019, September 29, 2018 and Sept</w:t>
              </w:r>
              <w:r>
                <w:rPr>
                  <w:rStyle w:val="a5"/>
                  <w:rFonts w:ascii="Helvetica" w:eastAsia="Helvetica" w:hAnsi="Helvetica" w:cs="Helvetica"/>
                  <w:sz w:val="18"/>
                  <w:szCs w:val="18"/>
                </w:rPr>
                <w:t>ember 30, 2017</w:t>
              </w:r>
            </w:hyperlink>
          </w:p>
        </w:tc>
        <w:tc>
          <w:tcPr>
            <w:tcW w:w="0" w:type="auto"/>
            <w:shd w:val="clear" w:color="auto" w:fill="auto"/>
            <w:tcMar>
              <w:top w:w="40" w:type="dxa"/>
              <w:left w:w="40" w:type="dxa"/>
              <w:bottom w:w="40" w:type="dxa"/>
              <w:right w:w="40" w:type="dxa"/>
            </w:tcMar>
            <w:vAlign w:val="bottom"/>
          </w:tcPr>
          <w:p w14:paraId="2A73BCC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CC8" w14:textId="77777777" w:rsidR="00FA5565" w:rsidRDefault="00D804D1">
            <w:pPr>
              <w:jc w:val="center"/>
              <w:textAlignment w:val="bottom"/>
              <w:rPr>
                <w:rFonts w:ascii="Times New Roman" w:hAnsi="Times New Roman"/>
                <w:sz w:val="18"/>
                <w:szCs w:val="18"/>
              </w:rPr>
            </w:pPr>
            <w:hyperlink r:id="rId91" w:anchor="sD628584EE6B55393A4E35023D14120AE" w:history="1">
              <w:r>
                <w:rPr>
                  <w:rStyle w:val="a5"/>
                  <w:rFonts w:ascii="Helvetica" w:eastAsia="Helvetica" w:hAnsi="Helvetica" w:cs="Helvetica"/>
                  <w:color w:val="000000"/>
                  <w:sz w:val="18"/>
                  <w:szCs w:val="18"/>
                  <w:u w:val="none"/>
                </w:rPr>
                <w:t>29</w:t>
              </w:r>
            </w:hyperlink>
          </w:p>
        </w:tc>
      </w:tr>
      <w:tr w:rsidR="00FA5565" w14:paraId="2A73BCCD" w14:textId="77777777">
        <w:tc>
          <w:tcPr>
            <w:tcW w:w="0" w:type="auto"/>
            <w:shd w:val="clear" w:color="auto" w:fill="EFEFEF"/>
            <w:tcMar>
              <w:top w:w="40" w:type="dxa"/>
              <w:left w:w="40" w:type="dxa"/>
              <w:bottom w:w="40" w:type="dxa"/>
              <w:right w:w="40" w:type="dxa"/>
            </w:tcMar>
            <w:vAlign w:val="bottom"/>
          </w:tcPr>
          <w:p w14:paraId="2A73BCCA" w14:textId="77777777" w:rsidR="00FA5565" w:rsidRDefault="00D804D1">
            <w:pPr>
              <w:ind w:hanging="240"/>
              <w:textAlignment w:val="bottom"/>
              <w:rPr>
                <w:rFonts w:ascii="Times New Roman" w:hAnsi="Times New Roman"/>
                <w:sz w:val="18"/>
                <w:szCs w:val="18"/>
              </w:rPr>
            </w:pPr>
            <w:hyperlink r:id="rId92" w:anchor="s43F41C0D88375104950641E5AD6BB17A" w:history="1">
              <w:r>
                <w:rPr>
                  <w:rStyle w:val="a5"/>
                  <w:rFonts w:ascii="Helvetica" w:eastAsia="Helvetica" w:hAnsi="Helvetica" w:cs="Helvetica"/>
                  <w:sz w:val="18"/>
                  <w:szCs w:val="18"/>
                </w:rPr>
                <w:t>Consolidated Statements of Comprehensive Income for the years ended September 28, 2019, September 29, 201</w:t>
              </w:r>
              <w:r>
                <w:rPr>
                  <w:rStyle w:val="a5"/>
                  <w:rFonts w:ascii="Helvetica" w:eastAsia="Helvetica" w:hAnsi="Helvetica" w:cs="Helvetica"/>
                  <w:sz w:val="18"/>
                  <w:szCs w:val="18"/>
                </w:rPr>
                <w:t>8 and September 30, 2017</w:t>
              </w:r>
            </w:hyperlink>
          </w:p>
        </w:tc>
        <w:tc>
          <w:tcPr>
            <w:tcW w:w="0" w:type="auto"/>
            <w:shd w:val="clear" w:color="auto" w:fill="EFEFEF"/>
            <w:tcMar>
              <w:top w:w="40" w:type="dxa"/>
              <w:left w:w="40" w:type="dxa"/>
              <w:bottom w:w="40" w:type="dxa"/>
              <w:right w:w="40" w:type="dxa"/>
            </w:tcMar>
            <w:vAlign w:val="bottom"/>
          </w:tcPr>
          <w:p w14:paraId="2A73BC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CCC" w14:textId="77777777" w:rsidR="00FA5565" w:rsidRDefault="00D804D1">
            <w:pPr>
              <w:jc w:val="center"/>
              <w:textAlignment w:val="bottom"/>
              <w:rPr>
                <w:rFonts w:ascii="Times New Roman" w:hAnsi="Times New Roman"/>
                <w:sz w:val="18"/>
                <w:szCs w:val="18"/>
              </w:rPr>
            </w:pPr>
            <w:hyperlink r:id="rId93" w:anchor="s43F41C0D88375104950641E5AD6BB17A" w:history="1">
              <w:r>
                <w:rPr>
                  <w:rStyle w:val="a5"/>
                  <w:rFonts w:ascii="Helvetica" w:eastAsia="Helvetica" w:hAnsi="Helvetica" w:cs="Helvetica"/>
                  <w:color w:val="000000"/>
                  <w:sz w:val="18"/>
                  <w:szCs w:val="18"/>
                  <w:u w:val="none"/>
                </w:rPr>
                <w:t>30</w:t>
              </w:r>
            </w:hyperlink>
          </w:p>
        </w:tc>
      </w:tr>
      <w:tr w:rsidR="00FA5565" w14:paraId="2A73BCD1" w14:textId="77777777">
        <w:tc>
          <w:tcPr>
            <w:tcW w:w="0" w:type="auto"/>
            <w:shd w:val="clear" w:color="auto" w:fill="auto"/>
            <w:tcMar>
              <w:top w:w="40" w:type="dxa"/>
              <w:left w:w="40" w:type="dxa"/>
              <w:bottom w:w="40" w:type="dxa"/>
              <w:right w:w="40" w:type="dxa"/>
            </w:tcMar>
            <w:vAlign w:val="bottom"/>
          </w:tcPr>
          <w:p w14:paraId="2A73BCCE" w14:textId="77777777" w:rsidR="00FA5565" w:rsidRDefault="00D804D1">
            <w:pPr>
              <w:ind w:hanging="240"/>
              <w:textAlignment w:val="bottom"/>
              <w:rPr>
                <w:rFonts w:ascii="Times New Roman" w:hAnsi="Times New Roman"/>
                <w:sz w:val="18"/>
                <w:szCs w:val="18"/>
              </w:rPr>
            </w:pPr>
            <w:hyperlink r:id="rId94" w:anchor="s6D62EE50CBA95D4FB3E6485B01BAD719" w:history="1">
              <w:r>
                <w:rPr>
                  <w:rStyle w:val="a5"/>
                  <w:rFonts w:ascii="Helvetica" w:eastAsia="Helvetica" w:hAnsi="Helvetica" w:cs="Helvetica"/>
                  <w:sz w:val="18"/>
                  <w:szCs w:val="18"/>
                </w:rPr>
                <w:t>Consolidated Balance Sheets as of September 28, 2019 and September 29, 2018</w:t>
              </w:r>
            </w:hyperlink>
          </w:p>
        </w:tc>
        <w:tc>
          <w:tcPr>
            <w:tcW w:w="0" w:type="auto"/>
            <w:shd w:val="clear" w:color="auto" w:fill="auto"/>
            <w:tcMar>
              <w:top w:w="40" w:type="dxa"/>
              <w:left w:w="40" w:type="dxa"/>
              <w:bottom w:w="40" w:type="dxa"/>
              <w:right w:w="40" w:type="dxa"/>
            </w:tcMar>
            <w:vAlign w:val="bottom"/>
          </w:tcPr>
          <w:p w14:paraId="2A73BC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CD0" w14:textId="77777777" w:rsidR="00FA5565" w:rsidRDefault="00D804D1">
            <w:pPr>
              <w:jc w:val="center"/>
              <w:textAlignment w:val="bottom"/>
              <w:rPr>
                <w:rFonts w:ascii="Times New Roman" w:hAnsi="Times New Roman"/>
                <w:sz w:val="18"/>
                <w:szCs w:val="18"/>
              </w:rPr>
            </w:pPr>
            <w:hyperlink r:id="rId95" w:anchor="s6D62EE50CBA95D4FB3E6485B01BAD719" w:history="1">
              <w:r>
                <w:rPr>
                  <w:rStyle w:val="a5"/>
                  <w:rFonts w:ascii="Helvetica" w:eastAsia="Helvetica" w:hAnsi="Helvetica" w:cs="Helvetica"/>
                  <w:color w:val="000000"/>
                  <w:sz w:val="18"/>
                  <w:szCs w:val="18"/>
                  <w:u w:val="none"/>
                </w:rPr>
                <w:t>31</w:t>
              </w:r>
            </w:hyperlink>
          </w:p>
        </w:tc>
      </w:tr>
      <w:tr w:rsidR="00FA5565" w14:paraId="2A73BCD5" w14:textId="77777777">
        <w:tc>
          <w:tcPr>
            <w:tcW w:w="0" w:type="auto"/>
            <w:shd w:val="clear" w:color="auto" w:fill="EFEFEF"/>
            <w:tcMar>
              <w:top w:w="40" w:type="dxa"/>
              <w:left w:w="40" w:type="dxa"/>
              <w:bottom w:w="40" w:type="dxa"/>
              <w:right w:w="40" w:type="dxa"/>
            </w:tcMar>
            <w:vAlign w:val="bottom"/>
          </w:tcPr>
          <w:p w14:paraId="2A73BCD2" w14:textId="77777777" w:rsidR="00FA5565" w:rsidRDefault="00D804D1">
            <w:pPr>
              <w:ind w:hanging="240"/>
              <w:textAlignment w:val="bottom"/>
              <w:rPr>
                <w:rFonts w:ascii="Times New Roman" w:hAnsi="Times New Roman"/>
                <w:sz w:val="18"/>
                <w:szCs w:val="18"/>
              </w:rPr>
            </w:pPr>
            <w:hyperlink r:id="rId96" w:anchor="s4B3C881CFFBD57FCA56006EDB8D567DC" w:history="1">
              <w:r>
                <w:rPr>
                  <w:rStyle w:val="a5"/>
                  <w:rFonts w:ascii="Helvetica" w:eastAsia="Helvetica" w:hAnsi="Helvetica" w:cs="Helvetica"/>
                  <w:sz w:val="18"/>
                  <w:szCs w:val="18"/>
                </w:rPr>
                <w:t>Consolidated Statements of Shareholders’ Equity for the years ended September 28, 2019, September 29, 201</w:t>
              </w:r>
              <w:r>
                <w:rPr>
                  <w:rStyle w:val="a5"/>
                  <w:rFonts w:ascii="Helvetica" w:eastAsia="Helvetica" w:hAnsi="Helvetica" w:cs="Helvetica"/>
                  <w:sz w:val="18"/>
                  <w:szCs w:val="18"/>
                </w:rPr>
                <w:t>8 and September 30, 2017</w:t>
              </w:r>
            </w:hyperlink>
          </w:p>
        </w:tc>
        <w:tc>
          <w:tcPr>
            <w:tcW w:w="0" w:type="auto"/>
            <w:shd w:val="clear" w:color="auto" w:fill="EFEFEF"/>
            <w:tcMar>
              <w:top w:w="40" w:type="dxa"/>
              <w:left w:w="40" w:type="dxa"/>
              <w:bottom w:w="40" w:type="dxa"/>
              <w:right w:w="40" w:type="dxa"/>
            </w:tcMar>
            <w:vAlign w:val="bottom"/>
          </w:tcPr>
          <w:p w14:paraId="2A73BCD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CD4" w14:textId="77777777" w:rsidR="00FA5565" w:rsidRDefault="00D804D1">
            <w:pPr>
              <w:jc w:val="center"/>
              <w:textAlignment w:val="bottom"/>
              <w:rPr>
                <w:rFonts w:ascii="Times New Roman" w:hAnsi="Times New Roman"/>
                <w:sz w:val="18"/>
                <w:szCs w:val="18"/>
              </w:rPr>
            </w:pPr>
            <w:hyperlink r:id="rId97" w:anchor="s4B3C881CFFBD57FCA56006EDB8D567DC" w:history="1">
              <w:r>
                <w:rPr>
                  <w:rStyle w:val="a5"/>
                  <w:rFonts w:ascii="Helvetica" w:eastAsia="Helvetica" w:hAnsi="Helvetica" w:cs="Helvetica"/>
                  <w:color w:val="000000"/>
                  <w:sz w:val="18"/>
                  <w:szCs w:val="18"/>
                  <w:u w:val="none"/>
                </w:rPr>
                <w:t>32</w:t>
              </w:r>
            </w:hyperlink>
          </w:p>
        </w:tc>
      </w:tr>
      <w:tr w:rsidR="00FA5565" w14:paraId="2A73BCD9" w14:textId="77777777">
        <w:tc>
          <w:tcPr>
            <w:tcW w:w="0" w:type="auto"/>
            <w:shd w:val="clear" w:color="auto" w:fill="auto"/>
            <w:tcMar>
              <w:top w:w="40" w:type="dxa"/>
              <w:left w:w="40" w:type="dxa"/>
              <w:bottom w:w="40" w:type="dxa"/>
              <w:right w:w="40" w:type="dxa"/>
            </w:tcMar>
            <w:vAlign w:val="bottom"/>
          </w:tcPr>
          <w:p w14:paraId="2A73BCD6" w14:textId="77777777" w:rsidR="00FA5565" w:rsidRDefault="00D804D1">
            <w:pPr>
              <w:ind w:hanging="240"/>
              <w:textAlignment w:val="bottom"/>
              <w:rPr>
                <w:rFonts w:ascii="Times New Roman" w:hAnsi="Times New Roman"/>
                <w:sz w:val="18"/>
                <w:szCs w:val="18"/>
              </w:rPr>
            </w:pPr>
            <w:hyperlink r:id="rId98" w:anchor="s518AB031B05D5A74940A902D148B98B2" w:history="1">
              <w:r>
                <w:rPr>
                  <w:rStyle w:val="a5"/>
                  <w:rFonts w:ascii="Helvetica" w:eastAsia="Helvetica" w:hAnsi="Helvetica" w:cs="Helvetica"/>
                  <w:sz w:val="18"/>
                  <w:szCs w:val="18"/>
                </w:rPr>
                <w:t>Consolidated Statements of Cash Flows for the years ended September 28, 2019, September 29, 2018 and September 30, 2017</w:t>
              </w:r>
            </w:hyperlink>
          </w:p>
        </w:tc>
        <w:tc>
          <w:tcPr>
            <w:tcW w:w="0" w:type="auto"/>
            <w:shd w:val="clear" w:color="auto" w:fill="auto"/>
            <w:tcMar>
              <w:top w:w="40" w:type="dxa"/>
              <w:left w:w="40" w:type="dxa"/>
              <w:bottom w:w="40" w:type="dxa"/>
              <w:right w:w="40" w:type="dxa"/>
            </w:tcMar>
            <w:vAlign w:val="bottom"/>
          </w:tcPr>
          <w:p w14:paraId="2A73BC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CD8" w14:textId="77777777" w:rsidR="00FA5565" w:rsidRDefault="00D804D1">
            <w:pPr>
              <w:jc w:val="center"/>
              <w:textAlignment w:val="bottom"/>
              <w:rPr>
                <w:rFonts w:ascii="Times New Roman" w:hAnsi="Times New Roman"/>
                <w:sz w:val="18"/>
                <w:szCs w:val="18"/>
              </w:rPr>
            </w:pPr>
            <w:hyperlink r:id="rId99" w:anchor="s518AB031B05D5A74940A902D148B98B2" w:history="1">
              <w:r>
                <w:rPr>
                  <w:rStyle w:val="a5"/>
                  <w:rFonts w:ascii="Helvetica" w:eastAsia="Helvetica" w:hAnsi="Helvetica" w:cs="Helvetica"/>
                  <w:color w:val="000000"/>
                  <w:sz w:val="18"/>
                  <w:szCs w:val="18"/>
                  <w:u w:val="none"/>
                </w:rPr>
                <w:t>33</w:t>
              </w:r>
            </w:hyperlink>
          </w:p>
        </w:tc>
      </w:tr>
      <w:tr w:rsidR="00FA5565" w14:paraId="2A73BCDD" w14:textId="77777777">
        <w:tc>
          <w:tcPr>
            <w:tcW w:w="0" w:type="auto"/>
            <w:shd w:val="clear" w:color="auto" w:fill="EFEFEF"/>
            <w:tcMar>
              <w:top w:w="40" w:type="dxa"/>
              <w:left w:w="40" w:type="dxa"/>
              <w:bottom w:w="40" w:type="dxa"/>
              <w:right w:w="40" w:type="dxa"/>
            </w:tcMar>
            <w:vAlign w:val="bottom"/>
          </w:tcPr>
          <w:p w14:paraId="2A73BCDA" w14:textId="77777777" w:rsidR="00FA5565" w:rsidRDefault="00D804D1">
            <w:pPr>
              <w:ind w:hanging="240"/>
              <w:textAlignment w:val="bottom"/>
              <w:rPr>
                <w:rFonts w:ascii="Times New Roman" w:hAnsi="Times New Roman"/>
                <w:sz w:val="18"/>
                <w:szCs w:val="18"/>
              </w:rPr>
            </w:pPr>
            <w:hyperlink r:id="rId100" w:anchor="s55F749F26A3D5A0395EE3A73708D295D" w:history="1">
              <w:r>
                <w:rPr>
                  <w:rStyle w:val="a5"/>
                  <w:rFonts w:ascii="Helvetica" w:eastAsia="Helvetica" w:hAnsi="Helvetica" w:cs="Helvetica"/>
                  <w:sz w:val="18"/>
                  <w:szCs w:val="18"/>
                </w:rPr>
                <w:t>Notes to Consolidated Financial Statements</w:t>
              </w:r>
            </w:hyperlink>
          </w:p>
        </w:tc>
        <w:tc>
          <w:tcPr>
            <w:tcW w:w="0" w:type="auto"/>
            <w:shd w:val="clear" w:color="auto" w:fill="EFEFEF"/>
            <w:tcMar>
              <w:top w:w="40" w:type="dxa"/>
              <w:left w:w="40" w:type="dxa"/>
              <w:bottom w:w="40" w:type="dxa"/>
              <w:right w:w="40" w:type="dxa"/>
            </w:tcMar>
            <w:vAlign w:val="bottom"/>
          </w:tcPr>
          <w:p w14:paraId="2A73BC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CDC" w14:textId="77777777" w:rsidR="00FA5565" w:rsidRDefault="00D804D1">
            <w:pPr>
              <w:jc w:val="center"/>
              <w:textAlignment w:val="bottom"/>
              <w:rPr>
                <w:rFonts w:ascii="Times New Roman" w:hAnsi="Times New Roman"/>
                <w:sz w:val="18"/>
                <w:szCs w:val="18"/>
              </w:rPr>
            </w:pPr>
            <w:hyperlink r:id="rId101" w:anchor="s55F749F26A3D5A0395EE3A73708D295D" w:history="1">
              <w:r>
                <w:rPr>
                  <w:rStyle w:val="a5"/>
                  <w:rFonts w:ascii="Helvetica" w:eastAsia="Helvetica" w:hAnsi="Helvetica" w:cs="Helvetica"/>
                  <w:color w:val="000000"/>
                  <w:sz w:val="18"/>
                  <w:szCs w:val="18"/>
                  <w:u w:val="none"/>
                </w:rPr>
                <w:t>34</w:t>
              </w:r>
            </w:hyperlink>
          </w:p>
        </w:tc>
      </w:tr>
      <w:tr w:rsidR="00FA5565" w14:paraId="2A73BCE1" w14:textId="77777777">
        <w:tc>
          <w:tcPr>
            <w:tcW w:w="0" w:type="auto"/>
            <w:shd w:val="clear" w:color="auto" w:fill="auto"/>
            <w:tcMar>
              <w:top w:w="40" w:type="dxa"/>
              <w:left w:w="40" w:type="dxa"/>
              <w:bottom w:w="40" w:type="dxa"/>
              <w:right w:w="40" w:type="dxa"/>
            </w:tcMar>
            <w:vAlign w:val="bottom"/>
          </w:tcPr>
          <w:p w14:paraId="2A73BCDE" w14:textId="77777777" w:rsidR="00FA5565" w:rsidRDefault="00D804D1">
            <w:pPr>
              <w:ind w:hanging="240"/>
              <w:textAlignment w:val="bottom"/>
              <w:rPr>
                <w:rFonts w:ascii="Times New Roman" w:hAnsi="Times New Roman"/>
                <w:sz w:val="18"/>
                <w:szCs w:val="18"/>
              </w:rPr>
            </w:pPr>
            <w:hyperlink r:id="rId102" w:anchor="s7D3B610B0B9E50E2AD227A1A14EA70E6" w:history="1">
              <w:r>
                <w:rPr>
                  <w:rStyle w:val="a5"/>
                  <w:rFonts w:ascii="Helvetica" w:eastAsia="Helvetica" w:hAnsi="Helvetica" w:cs="Helvetica"/>
                  <w:sz w:val="18"/>
                  <w:szCs w:val="18"/>
                </w:rPr>
                <w:t>Selected Quarterly Financial Information (Unaudited)</w:t>
              </w:r>
            </w:hyperlink>
          </w:p>
        </w:tc>
        <w:tc>
          <w:tcPr>
            <w:tcW w:w="0" w:type="auto"/>
            <w:shd w:val="clear" w:color="auto" w:fill="auto"/>
            <w:tcMar>
              <w:top w:w="40" w:type="dxa"/>
              <w:left w:w="40" w:type="dxa"/>
              <w:bottom w:w="40" w:type="dxa"/>
              <w:right w:w="40" w:type="dxa"/>
            </w:tcMar>
            <w:vAlign w:val="bottom"/>
          </w:tcPr>
          <w:p w14:paraId="2A73BCD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CE0" w14:textId="77777777" w:rsidR="00FA5565" w:rsidRDefault="00D804D1">
            <w:pPr>
              <w:jc w:val="center"/>
              <w:textAlignment w:val="bottom"/>
              <w:rPr>
                <w:rFonts w:ascii="Times New Roman" w:hAnsi="Times New Roman"/>
                <w:sz w:val="18"/>
                <w:szCs w:val="18"/>
              </w:rPr>
            </w:pPr>
            <w:hyperlink r:id="rId103" w:anchor="s7D3B610B0B9E50E2AD227A1A14EA70E6" w:history="1">
              <w:r>
                <w:rPr>
                  <w:rStyle w:val="a5"/>
                  <w:rFonts w:ascii="Helvetica" w:eastAsia="Helvetica" w:hAnsi="Helvetica" w:cs="Helvetica"/>
                  <w:color w:val="000000"/>
                  <w:sz w:val="18"/>
                  <w:szCs w:val="18"/>
                  <w:u w:val="none"/>
                </w:rPr>
                <w:t>55</w:t>
              </w:r>
            </w:hyperlink>
          </w:p>
        </w:tc>
      </w:tr>
      <w:tr w:rsidR="00FA5565" w14:paraId="2A73BCE5" w14:textId="77777777">
        <w:tc>
          <w:tcPr>
            <w:tcW w:w="0" w:type="auto"/>
            <w:shd w:val="clear" w:color="auto" w:fill="EFEFEF"/>
            <w:tcMar>
              <w:top w:w="40" w:type="dxa"/>
              <w:left w:w="40" w:type="dxa"/>
              <w:bottom w:w="40" w:type="dxa"/>
              <w:right w:w="40" w:type="dxa"/>
            </w:tcMar>
            <w:vAlign w:val="bottom"/>
          </w:tcPr>
          <w:p w14:paraId="2A73BCE2" w14:textId="77777777" w:rsidR="00FA5565" w:rsidRDefault="00D804D1">
            <w:pPr>
              <w:ind w:hanging="240"/>
              <w:textAlignment w:val="bottom"/>
              <w:rPr>
                <w:rFonts w:ascii="Times New Roman" w:hAnsi="Times New Roman"/>
                <w:sz w:val="18"/>
                <w:szCs w:val="18"/>
              </w:rPr>
            </w:pPr>
            <w:hyperlink r:id="rId104" w:anchor="s9FD5F74E60ED59B798D9FFE366A57E96" w:history="1">
              <w:r>
                <w:rPr>
                  <w:rStyle w:val="a5"/>
                  <w:rFonts w:ascii="Helvetica" w:eastAsia="Helvetica" w:hAnsi="Helvetica" w:cs="Helvetica"/>
                  <w:sz w:val="18"/>
                  <w:szCs w:val="18"/>
                </w:rPr>
                <w:t>Reports of Independent Registered Public Accounting Firm</w:t>
              </w:r>
            </w:hyperlink>
          </w:p>
        </w:tc>
        <w:tc>
          <w:tcPr>
            <w:tcW w:w="0" w:type="auto"/>
            <w:shd w:val="clear" w:color="auto" w:fill="EFEFEF"/>
            <w:tcMar>
              <w:top w:w="40" w:type="dxa"/>
              <w:left w:w="40" w:type="dxa"/>
              <w:bottom w:w="40" w:type="dxa"/>
              <w:right w:w="40" w:type="dxa"/>
            </w:tcMar>
            <w:vAlign w:val="bottom"/>
          </w:tcPr>
          <w:p w14:paraId="2A73BCE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FEFEF"/>
            <w:tcMar>
              <w:top w:w="40" w:type="dxa"/>
              <w:left w:w="40" w:type="dxa"/>
              <w:bottom w:w="40" w:type="dxa"/>
              <w:right w:w="40" w:type="dxa"/>
            </w:tcMar>
            <w:vAlign w:val="bottom"/>
          </w:tcPr>
          <w:p w14:paraId="2A73BCE4" w14:textId="77777777" w:rsidR="00FA5565" w:rsidRDefault="00D804D1">
            <w:pPr>
              <w:jc w:val="center"/>
              <w:textAlignment w:val="bottom"/>
              <w:rPr>
                <w:rFonts w:ascii="Times New Roman" w:hAnsi="Times New Roman"/>
                <w:sz w:val="18"/>
                <w:szCs w:val="18"/>
              </w:rPr>
            </w:pPr>
            <w:hyperlink r:id="rId105" w:anchor="s9FD5F74E60ED59B798D9FFE366A57E96" w:history="1">
              <w:r>
                <w:rPr>
                  <w:rStyle w:val="a5"/>
                  <w:rFonts w:ascii="Helvetica" w:eastAsia="Helvetica" w:hAnsi="Helvetica" w:cs="Helvetica"/>
                  <w:color w:val="000000"/>
                  <w:sz w:val="18"/>
                  <w:szCs w:val="18"/>
                  <w:u w:val="none"/>
                </w:rPr>
                <w:t>56</w:t>
              </w:r>
            </w:hyperlink>
          </w:p>
        </w:tc>
      </w:tr>
    </w:tbl>
    <w:p w14:paraId="2A73BCE6"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2651"/>
      </w:tblGrid>
      <w:tr w:rsidR="00FA5565" w14:paraId="2A73BCE9" w14:textId="77777777">
        <w:trPr>
          <w:tblCellSpacing w:w="0" w:type="dxa"/>
        </w:trPr>
        <w:tc>
          <w:tcPr>
            <w:tcW w:w="480" w:type="dxa"/>
            <w:shd w:val="clear" w:color="auto" w:fill="auto"/>
            <w:vAlign w:val="center"/>
          </w:tcPr>
          <w:p w14:paraId="2A73BCE7" w14:textId="77777777" w:rsidR="00FA5565" w:rsidRDefault="00FA5565">
            <w:pPr>
              <w:rPr>
                <w:rFonts w:ascii="Times New Roman" w:hAnsi="Times New Roman"/>
                <w:sz w:val="20"/>
                <w:szCs w:val="20"/>
              </w:rPr>
            </w:pPr>
          </w:p>
        </w:tc>
        <w:tc>
          <w:tcPr>
            <w:tcW w:w="0" w:type="auto"/>
            <w:shd w:val="clear" w:color="auto" w:fill="auto"/>
            <w:vAlign w:val="center"/>
          </w:tcPr>
          <w:p w14:paraId="2A73BCE8" w14:textId="77777777" w:rsidR="00FA5565" w:rsidRDefault="00FA5565">
            <w:pPr>
              <w:rPr>
                <w:rFonts w:ascii="Times New Roman" w:hAnsi="Times New Roman"/>
                <w:sz w:val="20"/>
                <w:szCs w:val="20"/>
              </w:rPr>
            </w:pPr>
          </w:p>
        </w:tc>
      </w:tr>
      <w:tr w:rsidR="00FA5565" w14:paraId="2A73BCEC" w14:textId="77777777">
        <w:trPr>
          <w:tblCellSpacing w:w="0" w:type="dxa"/>
        </w:trPr>
        <w:tc>
          <w:tcPr>
            <w:tcW w:w="0" w:type="auto"/>
            <w:shd w:val="clear" w:color="auto" w:fill="auto"/>
          </w:tcPr>
          <w:p w14:paraId="2A73BCEA"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(2)</w:t>
            </w:r>
          </w:p>
        </w:tc>
        <w:tc>
          <w:tcPr>
            <w:tcW w:w="0" w:type="auto"/>
            <w:shd w:val="clear" w:color="auto" w:fill="auto"/>
          </w:tcPr>
          <w:p w14:paraId="2A73BCEB"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Financial Statement Schedules</w:t>
            </w:r>
          </w:p>
        </w:tc>
      </w:tr>
    </w:tbl>
    <w:p w14:paraId="2A73BCED"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All financial statement schedules have been omitted, since the required </w:t>
      </w:r>
      <w:r>
        <w:rPr>
          <w:rFonts w:ascii="Helvetica" w:eastAsia="Helvetica" w:hAnsi="Helvetica" w:cs="Helvetica"/>
          <w:sz w:val="18"/>
          <w:szCs w:val="18"/>
        </w:rPr>
        <w:t>information is not applicable or is not present in amounts sufficient to require submission of the schedule, or because the information required is included in the consolidated financial statements and accompanying notes included in this Form 10-K.</w:t>
      </w:r>
    </w:p>
    <w:tbl>
      <w:tblPr>
        <w:tblW w:w="0" w:type="auto"/>
        <w:tblCellSpacing w:w="0" w:type="dxa"/>
        <w:tblCellMar>
          <w:left w:w="0" w:type="dxa"/>
          <w:right w:w="0" w:type="dxa"/>
        </w:tblCellMar>
        <w:tblLook w:val="04A0" w:firstRow="1" w:lastRow="0" w:firstColumn="1" w:lastColumn="0" w:noHBand="0" w:noVBand="1"/>
      </w:tblPr>
      <w:tblGrid>
        <w:gridCol w:w="480"/>
        <w:gridCol w:w="4381"/>
      </w:tblGrid>
      <w:tr w:rsidR="00FA5565" w14:paraId="2A73BCF0" w14:textId="77777777">
        <w:trPr>
          <w:tblCellSpacing w:w="0" w:type="dxa"/>
        </w:trPr>
        <w:tc>
          <w:tcPr>
            <w:tcW w:w="480" w:type="dxa"/>
            <w:shd w:val="clear" w:color="auto" w:fill="auto"/>
            <w:vAlign w:val="center"/>
          </w:tcPr>
          <w:p w14:paraId="2A73BCEE" w14:textId="77777777" w:rsidR="00FA5565" w:rsidRDefault="00FA5565">
            <w:pPr>
              <w:rPr>
                <w:rFonts w:ascii="Times New Roman" w:hAnsi="Times New Roman"/>
                <w:sz w:val="20"/>
                <w:szCs w:val="20"/>
              </w:rPr>
            </w:pPr>
          </w:p>
        </w:tc>
        <w:tc>
          <w:tcPr>
            <w:tcW w:w="0" w:type="auto"/>
            <w:shd w:val="clear" w:color="auto" w:fill="auto"/>
            <w:vAlign w:val="center"/>
          </w:tcPr>
          <w:p w14:paraId="2A73BCEF" w14:textId="77777777" w:rsidR="00FA5565" w:rsidRDefault="00FA5565">
            <w:pPr>
              <w:rPr>
                <w:rFonts w:ascii="Times New Roman" w:hAnsi="Times New Roman"/>
                <w:sz w:val="20"/>
                <w:szCs w:val="20"/>
              </w:rPr>
            </w:pPr>
          </w:p>
        </w:tc>
      </w:tr>
      <w:tr w:rsidR="00FA5565" w14:paraId="2A73BCF3" w14:textId="77777777">
        <w:trPr>
          <w:tblCellSpacing w:w="0" w:type="dxa"/>
        </w:trPr>
        <w:tc>
          <w:tcPr>
            <w:tcW w:w="0" w:type="auto"/>
            <w:shd w:val="clear" w:color="auto" w:fill="auto"/>
          </w:tcPr>
          <w:p w14:paraId="2A73BCF1"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(3)</w:t>
            </w:r>
          </w:p>
        </w:tc>
        <w:tc>
          <w:tcPr>
            <w:tcW w:w="0" w:type="auto"/>
            <w:shd w:val="clear" w:color="auto" w:fill="auto"/>
          </w:tcPr>
          <w:p w14:paraId="2A73BCF2"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Exhibits required by Item 601 of Regulation S-K (1) </w:t>
            </w:r>
          </w:p>
        </w:tc>
      </w:tr>
    </w:tbl>
    <w:p w14:paraId="2A73BCF4" w14:textId="77777777" w:rsidR="00FA5565" w:rsidRDefault="00FA5565">
      <w:pPr>
        <w:rPr>
          <w:vanish/>
        </w:rPr>
      </w:pPr>
    </w:p>
    <w:tbl>
      <w:tblPr>
        <w:tblW w:w="5000" w:type="pct"/>
        <w:tblCellMar>
          <w:left w:w="0" w:type="dxa"/>
          <w:right w:w="0" w:type="dxa"/>
        </w:tblCellMar>
        <w:tblLook w:val="04A0" w:firstRow="1" w:lastRow="0" w:firstColumn="1" w:lastColumn="0" w:noHBand="0" w:noVBand="1"/>
      </w:tblPr>
      <w:tblGrid>
        <w:gridCol w:w="690"/>
        <w:gridCol w:w="130"/>
        <w:gridCol w:w="5176"/>
        <w:gridCol w:w="130"/>
        <w:gridCol w:w="525"/>
        <w:gridCol w:w="130"/>
        <w:gridCol w:w="614"/>
        <w:gridCol w:w="130"/>
        <w:gridCol w:w="781"/>
      </w:tblGrid>
      <w:tr w:rsidR="00FA5565" w14:paraId="2A73BCF6" w14:textId="77777777">
        <w:tc>
          <w:tcPr>
            <w:tcW w:w="0" w:type="auto"/>
            <w:gridSpan w:val="9"/>
            <w:shd w:val="clear" w:color="auto" w:fill="auto"/>
            <w:vAlign w:val="center"/>
          </w:tcPr>
          <w:p w14:paraId="2A73BCF5" w14:textId="77777777" w:rsidR="00FA5565" w:rsidRDefault="00FA5565">
            <w:pPr>
              <w:rPr>
                <w:rFonts w:ascii="Times New Roman" w:hAnsi="Times New Roman"/>
                <w:sz w:val="20"/>
                <w:szCs w:val="20"/>
              </w:rPr>
            </w:pPr>
          </w:p>
        </w:tc>
      </w:tr>
      <w:tr w:rsidR="00FA5565" w14:paraId="2A73BD00" w14:textId="77777777">
        <w:tc>
          <w:tcPr>
            <w:tcW w:w="450" w:type="pct"/>
            <w:shd w:val="clear" w:color="auto" w:fill="auto"/>
            <w:vAlign w:val="center"/>
          </w:tcPr>
          <w:p w14:paraId="2A73BCF7" w14:textId="77777777" w:rsidR="00FA5565" w:rsidRDefault="00FA5565">
            <w:pPr>
              <w:rPr>
                <w:rFonts w:ascii="Times New Roman" w:hAnsi="Times New Roman"/>
                <w:sz w:val="20"/>
                <w:szCs w:val="20"/>
              </w:rPr>
            </w:pPr>
          </w:p>
        </w:tc>
        <w:tc>
          <w:tcPr>
            <w:tcW w:w="50" w:type="pct"/>
            <w:shd w:val="clear" w:color="auto" w:fill="auto"/>
            <w:vAlign w:val="center"/>
          </w:tcPr>
          <w:p w14:paraId="2A73BCF8" w14:textId="77777777" w:rsidR="00FA5565" w:rsidRDefault="00FA5565">
            <w:pPr>
              <w:rPr>
                <w:rFonts w:ascii="Times New Roman" w:hAnsi="Times New Roman"/>
                <w:sz w:val="20"/>
                <w:szCs w:val="20"/>
              </w:rPr>
            </w:pPr>
          </w:p>
        </w:tc>
        <w:tc>
          <w:tcPr>
            <w:tcW w:w="3150" w:type="pct"/>
            <w:shd w:val="clear" w:color="auto" w:fill="auto"/>
            <w:vAlign w:val="center"/>
          </w:tcPr>
          <w:p w14:paraId="2A73BCF9" w14:textId="77777777" w:rsidR="00FA5565" w:rsidRDefault="00FA5565">
            <w:pPr>
              <w:rPr>
                <w:rFonts w:ascii="Times New Roman" w:hAnsi="Times New Roman"/>
                <w:sz w:val="20"/>
                <w:szCs w:val="20"/>
              </w:rPr>
            </w:pPr>
          </w:p>
        </w:tc>
        <w:tc>
          <w:tcPr>
            <w:tcW w:w="50" w:type="pct"/>
            <w:shd w:val="clear" w:color="auto" w:fill="auto"/>
            <w:vAlign w:val="center"/>
          </w:tcPr>
          <w:p w14:paraId="2A73BCFA" w14:textId="77777777" w:rsidR="00FA5565" w:rsidRDefault="00FA5565">
            <w:pPr>
              <w:rPr>
                <w:rFonts w:ascii="Times New Roman" w:hAnsi="Times New Roman"/>
                <w:sz w:val="20"/>
                <w:szCs w:val="20"/>
              </w:rPr>
            </w:pPr>
          </w:p>
        </w:tc>
        <w:tc>
          <w:tcPr>
            <w:tcW w:w="350" w:type="pct"/>
            <w:shd w:val="clear" w:color="auto" w:fill="auto"/>
            <w:vAlign w:val="center"/>
          </w:tcPr>
          <w:p w14:paraId="2A73BCFB" w14:textId="77777777" w:rsidR="00FA5565" w:rsidRDefault="00FA5565">
            <w:pPr>
              <w:rPr>
                <w:rFonts w:ascii="Times New Roman" w:hAnsi="Times New Roman"/>
                <w:sz w:val="20"/>
                <w:szCs w:val="20"/>
              </w:rPr>
            </w:pPr>
          </w:p>
        </w:tc>
        <w:tc>
          <w:tcPr>
            <w:tcW w:w="50" w:type="pct"/>
            <w:shd w:val="clear" w:color="auto" w:fill="auto"/>
            <w:vAlign w:val="center"/>
          </w:tcPr>
          <w:p w14:paraId="2A73BCFC" w14:textId="77777777" w:rsidR="00FA5565" w:rsidRDefault="00FA5565">
            <w:pPr>
              <w:rPr>
                <w:rFonts w:ascii="Times New Roman" w:hAnsi="Times New Roman"/>
                <w:sz w:val="20"/>
                <w:szCs w:val="20"/>
              </w:rPr>
            </w:pPr>
          </w:p>
        </w:tc>
        <w:tc>
          <w:tcPr>
            <w:tcW w:w="350" w:type="pct"/>
            <w:shd w:val="clear" w:color="auto" w:fill="auto"/>
            <w:vAlign w:val="center"/>
          </w:tcPr>
          <w:p w14:paraId="2A73BCFD" w14:textId="77777777" w:rsidR="00FA5565" w:rsidRDefault="00FA5565">
            <w:pPr>
              <w:rPr>
                <w:rFonts w:ascii="Times New Roman" w:hAnsi="Times New Roman"/>
                <w:sz w:val="20"/>
                <w:szCs w:val="20"/>
              </w:rPr>
            </w:pPr>
          </w:p>
        </w:tc>
        <w:tc>
          <w:tcPr>
            <w:tcW w:w="50" w:type="pct"/>
            <w:shd w:val="clear" w:color="auto" w:fill="auto"/>
            <w:vAlign w:val="center"/>
          </w:tcPr>
          <w:p w14:paraId="2A73BCFE" w14:textId="77777777" w:rsidR="00FA5565" w:rsidRDefault="00FA5565">
            <w:pPr>
              <w:rPr>
                <w:rFonts w:ascii="Times New Roman" w:hAnsi="Times New Roman"/>
                <w:sz w:val="20"/>
                <w:szCs w:val="20"/>
              </w:rPr>
            </w:pPr>
          </w:p>
        </w:tc>
        <w:tc>
          <w:tcPr>
            <w:tcW w:w="500" w:type="pct"/>
            <w:shd w:val="clear" w:color="auto" w:fill="auto"/>
            <w:vAlign w:val="center"/>
          </w:tcPr>
          <w:p w14:paraId="2A73BCFF" w14:textId="77777777" w:rsidR="00FA5565" w:rsidRDefault="00FA5565">
            <w:pPr>
              <w:rPr>
                <w:rFonts w:ascii="Times New Roman" w:hAnsi="Times New Roman"/>
                <w:sz w:val="20"/>
                <w:szCs w:val="20"/>
              </w:rPr>
            </w:pPr>
          </w:p>
        </w:tc>
      </w:tr>
      <w:tr w:rsidR="00FA5565" w14:paraId="2A73BD04" w14:textId="77777777">
        <w:tc>
          <w:tcPr>
            <w:tcW w:w="0" w:type="auto"/>
            <w:gridSpan w:val="3"/>
            <w:shd w:val="clear" w:color="auto" w:fill="auto"/>
            <w:tcMar>
              <w:top w:w="40" w:type="dxa"/>
              <w:left w:w="40" w:type="dxa"/>
              <w:bottom w:w="40" w:type="dxa"/>
              <w:right w:w="40" w:type="dxa"/>
            </w:tcMar>
            <w:vAlign w:val="bottom"/>
          </w:tcPr>
          <w:p w14:paraId="2A73BD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D0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2A73BD0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Incorporated by Reference</w:t>
            </w:r>
          </w:p>
        </w:tc>
      </w:tr>
      <w:tr w:rsidR="00FA5565" w14:paraId="2A73BD0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2A73BD05"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Exhibit Number</w:t>
            </w:r>
          </w:p>
        </w:tc>
        <w:tc>
          <w:tcPr>
            <w:tcW w:w="0" w:type="auto"/>
            <w:shd w:val="clear" w:color="auto" w:fill="auto"/>
            <w:tcMar>
              <w:top w:w="40" w:type="dxa"/>
              <w:left w:w="40" w:type="dxa"/>
              <w:bottom w:w="40" w:type="dxa"/>
              <w:right w:w="40" w:type="dxa"/>
            </w:tcMar>
            <w:vAlign w:val="bottom"/>
          </w:tcPr>
          <w:p w14:paraId="2A73BD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D07"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Exhibit Description</w:t>
            </w:r>
          </w:p>
        </w:tc>
        <w:tc>
          <w:tcPr>
            <w:tcW w:w="0" w:type="auto"/>
            <w:shd w:val="clear" w:color="auto" w:fill="auto"/>
            <w:tcMar>
              <w:top w:w="40" w:type="dxa"/>
              <w:left w:w="40" w:type="dxa"/>
              <w:bottom w:w="40" w:type="dxa"/>
              <w:right w:w="40" w:type="dxa"/>
            </w:tcMar>
            <w:vAlign w:val="bottom"/>
          </w:tcPr>
          <w:p w14:paraId="2A73BD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D09"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Form</w:t>
            </w:r>
          </w:p>
        </w:tc>
        <w:tc>
          <w:tcPr>
            <w:tcW w:w="0" w:type="auto"/>
            <w:shd w:val="clear" w:color="auto" w:fill="auto"/>
            <w:tcMar>
              <w:top w:w="40" w:type="dxa"/>
              <w:left w:w="40" w:type="dxa"/>
              <w:bottom w:w="40" w:type="dxa"/>
              <w:right w:w="40" w:type="dxa"/>
            </w:tcMar>
            <w:vAlign w:val="bottom"/>
          </w:tcPr>
          <w:p w14:paraId="2A73BD0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D0B"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Exhibit</w:t>
            </w:r>
          </w:p>
        </w:tc>
        <w:tc>
          <w:tcPr>
            <w:tcW w:w="0" w:type="auto"/>
            <w:shd w:val="clear" w:color="auto" w:fill="auto"/>
            <w:tcMar>
              <w:top w:w="40" w:type="dxa"/>
              <w:left w:w="40" w:type="dxa"/>
              <w:bottom w:w="40" w:type="dxa"/>
              <w:right w:w="40" w:type="dxa"/>
            </w:tcMar>
            <w:vAlign w:val="bottom"/>
          </w:tcPr>
          <w:p w14:paraId="2A73BD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D0D"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Filing Date/</w:t>
            </w:r>
          </w:p>
          <w:p w14:paraId="2A73BD0E"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Period End Date</w:t>
            </w:r>
          </w:p>
        </w:tc>
      </w:tr>
      <w:tr w:rsidR="00FA5565" w14:paraId="2A73BD19" w14:textId="77777777">
        <w:tc>
          <w:tcPr>
            <w:tcW w:w="0" w:type="auto"/>
            <w:shd w:val="clear" w:color="auto" w:fill="auto"/>
            <w:tcMar>
              <w:top w:w="40" w:type="dxa"/>
              <w:left w:w="40" w:type="dxa"/>
              <w:bottom w:w="40" w:type="dxa"/>
              <w:right w:w="40" w:type="dxa"/>
            </w:tcMar>
          </w:tcPr>
          <w:p w14:paraId="2A73BD1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3.1</w:t>
            </w:r>
          </w:p>
        </w:tc>
        <w:tc>
          <w:tcPr>
            <w:tcW w:w="0" w:type="auto"/>
            <w:shd w:val="clear" w:color="auto" w:fill="auto"/>
            <w:tcMar>
              <w:top w:w="40" w:type="dxa"/>
              <w:left w:w="40" w:type="dxa"/>
              <w:bottom w:w="40" w:type="dxa"/>
              <w:right w:w="40" w:type="dxa"/>
            </w:tcMar>
            <w:vAlign w:val="bottom"/>
          </w:tcPr>
          <w:p w14:paraId="2A73BD1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D12" w14:textId="77777777" w:rsidR="00FA5565" w:rsidRDefault="00D804D1">
            <w:pPr>
              <w:ind w:hanging="240"/>
              <w:jc w:val="both"/>
              <w:textAlignment w:val="bottom"/>
              <w:rPr>
                <w:rFonts w:ascii="Times New Roman" w:hAnsi="Times New Roman"/>
                <w:sz w:val="18"/>
                <w:szCs w:val="18"/>
              </w:rPr>
            </w:pPr>
            <w:hyperlink r:id="rId106" w:history="1">
              <w:r>
                <w:rPr>
                  <w:rStyle w:val="a5"/>
                  <w:rFonts w:ascii="Helvetica" w:eastAsia="Helvetica" w:hAnsi="Helvetica" w:cs="Helvetica"/>
                  <w:sz w:val="18"/>
                  <w:szCs w:val="18"/>
                </w:rPr>
                <w:t>Restated Articles of Incorporation of the Registrant effective as of June 6, 2014.</w:t>
              </w:r>
            </w:hyperlink>
          </w:p>
        </w:tc>
        <w:tc>
          <w:tcPr>
            <w:tcW w:w="0" w:type="auto"/>
            <w:shd w:val="clear" w:color="auto" w:fill="auto"/>
            <w:tcMar>
              <w:top w:w="40" w:type="dxa"/>
              <w:left w:w="40" w:type="dxa"/>
              <w:bottom w:w="40" w:type="dxa"/>
              <w:right w:w="40" w:type="dxa"/>
            </w:tcMar>
            <w:vAlign w:val="bottom"/>
          </w:tcPr>
          <w:p w14:paraId="2A73BD1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1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1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1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3.1</w:t>
            </w:r>
          </w:p>
        </w:tc>
        <w:tc>
          <w:tcPr>
            <w:tcW w:w="0" w:type="auto"/>
            <w:shd w:val="clear" w:color="auto" w:fill="auto"/>
            <w:tcMar>
              <w:top w:w="40" w:type="dxa"/>
              <w:left w:w="40" w:type="dxa"/>
              <w:bottom w:w="40" w:type="dxa"/>
              <w:right w:w="40" w:type="dxa"/>
            </w:tcMar>
            <w:vAlign w:val="bottom"/>
          </w:tcPr>
          <w:p w14:paraId="2A73BD1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1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6/6/14</w:t>
            </w:r>
          </w:p>
        </w:tc>
      </w:tr>
      <w:tr w:rsidR="00FA5565" w14:paraId="2A73BD23" w14:textId="77777777">
        <w:tc>
          <w:tcPr>
            <w:tcW w:w="0" w:type="auto"/>
            <w:shd w:val="clear" w:color="auto" w:fill="auto"/>
            <w:tcMar>
              <w:top w:w="40" w:type="dxa"/>
              <w:left w:w="40" w:type="dxa"/>
              <w:bottom w:w="40" w:type="dxa"/>
              <w:right w:w="40" w:type="dxa"/>
            </w:tcMar>
          </w:tcPr>
          <w:p w14:paraId="2A73BD1A"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3.2</w:t>
            </w:r>
          </w:p>
        </w:tc>
        <w:tc>
          <w:tcPr>
            <w:tcW w:w="0" w:type="auto"/>
            <w:shd w:val="clear" w:color="auto" w:fill="auto"/>
            <w:tcMar>
              <w:top w:w="40" w:type="dxa"/>
              <w:left w:w="40" w:type="dxa"/>
              <w:bottom w:w="40" w:type="dxa"/>
              <w:right w:w="40" w:type="dxa"/>
            </w:tcMar>
            <w:vAlign w:val="bottom"/>
          </w:tcPr>
          <w:p w14:paraId="2A73BD1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D1C" w14:textId="77777777" w:rsidR="00FA5565" w:rsidRDefault="00D804D1">
            <w:pPr>
              <w:ind w:hanging="240"/>
              <w:jc w:val="both"/>
              <w:textAlignment w:val="bottom"/>
              <w:rPr>
                <w:rFonts w:ascii="Times New Roman" w:hAnsi="Times New Roman"/>
                <w:sz w:val="18"/>
                <w:szCs w:val="18"/>
              </w:rPr>
            </w:pPr>
            <w:hyperlink r:id="rId107" w:history="1">
              <w:r>
                <w:rPr>
                  <w:rStyle w:val="a5"/>
                  <w:rFonts w:ascii="Helvetica" w:eastAsia="Helvetica" w:hAnsi="Helvetica" w:cs="Helvetica"/>
                  <w:sz w:val="18"/>
                  <w:szCs w:val="18"/>
                </w:rPr>
                <w:t>Amended and Restated Bylaws of the Registrant effective as of December 13, 2016.</w:t>
              </w:r>
            </w:hyperlink>
          </w:p>
        </w:tc>
        <w:tc>
          <w:tcPr>
            <w:tcW w:w="0" w:type="auto"/>
            <w:shd w:val="clear" w:color="auto" w:fill="auto"/>
            <w:tcMar>
              <w:top w:w="40" w:type="dxa"/>
              <w:left w:w="40" w:type="dxa"/>
              <w:bottom w:w="40" w:type="dxa"/>
              <w:right w:w="40" w:type="dxa"/>
            </w:tcMar>
            <w:vAlign w:val="bottom"/>
          </w:tcPr>
          <w:p w14:paraId="2A73BD1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1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1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2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3.2</w:t>
            </w:r>
          </w:p>
        </w:tc>
        <w:tc>
          <w:tcPr>
            <w:tcW w:w="0" w:type="auto"/>
            <w:shd w:val="clear" w:color="auto" w:fill="auto"/>
            <w:tcMar>
              <w:top w:w="40" w:type="dxa"/>
              <w:left w:w="40" w:type="dxa"/>
              <w:bottom w:w="40" w:type="dxa"/>
              <w:right w:w="40" w:type="dxa"/>
            </w:tcMar>
            <w:vAlign w:val="bottom"/>
          </w:tcPr>
          <w:p w14:paraId="2A73BD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2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12/15/16</w:t>
            </w:r>
          </w:p>
        </w:tc>
      </w:tr>
      <w:tr w:rsidR="00FA5565" w14:paraId="2A73BD2D" w14:textId="77777777">
        <w:tc>
          <w:tcPr>
            <w:tcW w:w="0" w:type="auto"/>
            <w:shd w:val="clear" w:color="auto" w:fill="auto"/>
            <w:tcMar>
              <w:top w:w="40" w:type="dxa"/>
              <w:left w:w="40" w:type="dxa"/>
              <w:bottom w:w="40" w:type="dxa"/>
              <w:right w:w="40" w:type="dxa"/>
            </w:tcMar>
          </w:tcPr>
          <w:p w14:paraId="2A73BD2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2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26" w14:textId="77777777" w:rsidR="00FA5565" w:rsidRDefault="00D804D1">
            <w:pPr>
              <w:ind w:hanging="240"/>
              <w:jc w:val="both"/>
              <w:textAlignment w:val="top"/>
              <w:rPr>
                <w:rFonts w:ascii="Times New Roman" w:hAnsi="Times New Roman"/>
                <w:sz w:val="18"/>
                <w:szCs w:val="18"/>
              </w:rPr>
            </w:pPr>
            <w:hyperlink r:id="rId108" w:history="1">
              <w:r>
                <w:rPr>
                  <w:rStyle w:val="a5"/>
                  <w:rFonts w:ascii="Helvetica" w:eastAsia="Helvetica" w:hAnsi="Helvetica" w:cs="Helvetica"/>
                  <w:sz w:val="18"/>
                  <w:szCs w:val="18"/>
                </w:rPr>
                <w:t>Description of Securities of the Registrant.</w:t>
              </w:r>
            </w:hyperlink>
          </w:p>
        </w:tc>
        <w:tc>
          <w:tcPr>
            <w:tcW w:w="0" w:type="auto"/>
            <w:shd w:val="clear" w:color="auto" w:fill="auto"/>
            <w:tcMar>
              <w:top w:w="40" w:type="dxa"/>
              <w:left w:w="40" w:type="dxa"/>
              <w:bottom w:w="40" w:type="dxa"/>
              <w:right w:w="40" w:type="dxa"/>
            </w:tcMar>
            <w:vAlign w:val="bottom"/>
          </w:tcPr>
          <w:p w14:paraId="2A73BD2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D2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D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D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D2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D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D37" w14:textId="77777777">
        <w:tc>
          <w:tcPr>
            <w:tcW w:w="0" w:type="auto"/>
            <w:shd w:val="clear" w:color="auto" w:fill="auto"/>
            <w:tcMar>
              <w:top w:w="40" w:type="dxa"/>
              <w:left w:w="40" w:type="dxa"/>
              <w:bottom w:w="40" w:type="dxa"/>
              <w:right w:w="40" w:type="dxa"/>
            </w:tcMar>
          </w:tcPr>
          <w:p w14:paraId="2A73BD2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4.2</w:t>
            </w:r>
          </w:p>
        </w:tc>
        <w:tc>
          <w:tcPr>
            <w:tcW w:w="0" w:type="auto"/>
            <w:shd w:val="clear" w:color="auto" w:fill="auto"/>
            <w:tcMar>
              <w:top w:w="40" w:type="dxa"/>
              <w:left w:w="40" w:type="dxa"/>
              <w:bottom w:w="40" w:type="dxa"/>
              <w:right w:w="40" w:type="dxa"/>
            </w:tcMar>
            <w:vAlign w:val="bottom"/>
          </w:tcPr>
          <w:p w14:paraId="2A73BD2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30" w14:textId="77777777" w:rsidR="00FA5565" w:rsidRDefault="00D804D1">
            <w:pPr>
              <w:ind w:hanging="240"/>
              <w:jc w:val="both"/>
              <w:textAlignment w:val="top"/>
              <w:rPr>
                <w:rFonts w:ascii="Times New Roman" w:hAnsi="Times New Roman"/>
                <w:sz w:val="18"/>
                <w:szCs w:val="18"/>
              </w:rPr>
            </w:pPr>
            <w:hyperlink r:id="rId109" w:history="1">
              <w:r>
                <w:rPr>
                  <w:rStyle w:val="a5"/>
                  <w:rFonts w:ascii="Helvetica" w:eastAsia="Helvetica" w:hAnsi="Helvetica" w:cs="Helvetica"/>
                  <w:sz w:val="18"/>
                  <w:szCs w:val="18"/>
                </w:rPr>
                <w:t>Indenture, dated as of April 29, 2013, between the Registrant and The Bank of New York Mellon Trust Company, N.A., as Trustee.</w:t>
              </w:r>
            </w:hyperlink>
          </w:p>
        </w:tc>
        <w:tc>
          <w:tcPr>
            <w:tcW w:w="0" w:type="auto"/>
            <w:shd w:val="clear" w:color="auto" w:fill="auto"/>
            <w:tcMar>
              <w:top w:w="40" w:type="dxa"/>
              <w:left w:w="40" w:type="dxa"/>
              <w:bottom w:w="40" w:type="dxa"/>
              <w:right w:w="40" w:type="dxa"/>
            </w:tcMar>
            <w:vAlign w:val="bottom"/>
          </w:tcPr>
          <w:p w14:paraId="2A73BD3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3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S-3</w:t>
            </w:r>
          </w:p>
        </w:tc>
        <w:tc>
          <w:tcPr>
            <w:tcW w:w="0" w:type="auto"/>
            <w:shd w:val="clear" w:color="auto" w:fill="auto"/>
            <w:tcMar>
              <w:top w:w="40" w:type="dxa"/>
              <w:left w:w="40" w:type="dxa"/>
              <w:bottom w:w="40" w:type="dxa"/>
              <w:right w:w="40" w:type="dxa"/>
            </w:tcMar>
            <w:vAlign w:val="bottom"/>
          </w:tcPr>
          <w:p w14:paraId="2A73BD3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3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3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4/29/13</w:t>
            </w:r>
          </w:p>
        </w:tc>
      </w:tr>
      <w:tr w:rsidR="00FA5565" w14:paraId="2A73BD41" w14:textId="77777777">
        <w:tc>
          <w:tcPr>
            <w:tcW w:w="0" w:type="auto"/>
            <w:shd w:val="clear" w:color="auto" w:fill="auto"/>
            <w:tcMar>
              <w:top w:w="40" w:type="dxa"/>
              <w:left w:w="40" w:type="dxa"/>
              <w:bottom w:w="40" w:type="dxa"/>
              <w:right w:w="40" w:type="dxa"/>
            </w:tcMar>
          </w:tcPr>
          <w:p w14:paraId="2A73BD3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4.3</w:t>
            </w:r>
          </w:p>
        </w:tc>
        <w:tc>
          <w:tcPr>
            <w:tcW w:w="0" w:type="auto"/>
            <w:shd w:val="clear" w:color="auto" w:fill="auto"/>
            <w:tcMar>
              <w:top w:w="40" w:type="dxa"/>
              <w:left w:w="40" w:type="dxa"/>
              <w:bottom w:w="40" w:type="dxa"/>
              <w:right w:w="40" w:type="dxa"/>
            </w:tcMar>
            <w:vAlign w:val="bottom"/>
          </w:tcPr>
          <w:p w14:paraId="2A73BD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3A" w14:textId="77777777" w:rsidR="00FA5565" w:rsidRDefault="00D804D1">
            <w:pPr>
              <w:ind w:hanging="240"/>
              <w:jc w:val="both"/>
              <w:textAlignment w:val="top"/>
              <w:rPr>
                <w:rFonts w:ascii="Times New Roman" w:hAnsi="Times New Roman"/>
                <w:sz w:val="18"/>
                <w:szCs w:val="18"/>
              </w:rPr>
            </w:pPr>
            <w:hyperlink r:id="rId110" w:history="1">
              <w:r>
                <w:rPr>
                  <w:rStyle w:val="a5"/>
                  <w:rFonts w:ascii="Helvetica" w:eastAsia="Helvetica" w:hAnsi="Helvetica" w:cs="Helvetica"/>
                  <w:sz w:val="18"/>
                  <w:szCs w:val="18"/>
                </w:rPr>
                <w:t>Officer’s Certificate of the Registrant, dated as of May 3, 2013, including forms of global notes representing the Floating Rate Notes due 2016, Floating Rate No</w:t>
              </w:r>
              <w:r>
                <w:rPr>
                  <w:rStyle w:val="a5"/>
                  <w:rFonts w:ascii="Helvetica" w:eastAsia="Helvetica" w:hAnsi="Helvetica" w:cs="Helvetica"/>
                  <w:sz w:val="18"/>
                  <w:szCs w:val="18"/>
                </w:rPr>
                <w:t>tes due 2018, 0.45% Notes due 2016, 1.00% Notes due 2018, 2.40% Notes due 2023 and 3.85% Notes due 2043.</w:t>
              </w:r>
            </w:hyperlink>
          </w:p>
        </w:tc>
        <w:tc>
          <w:tcPr>
            <w:tcW w:w="0" w:type="auto"/>
            <w:shd w:val="clear" w:color="auto" w:fill="auto"/>
            <w:tcMar>
              <w:top w:w="40" w:type="dxa"/>
              <w:left w:w="40" w:type="dxa"/>
              <w:bottom w:w="40" w:type="dxa"/>
              <w:right w:w="40" w:type="dxa"/>
            </w:tcMar>
            <w:vAlign w:val="bottom"/>
          </w:tcPr>
          <w:p w14:paraId="2A73BD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3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3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3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4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5/3/13</w:t>
            </w:r>
          </w:p>
        </w:tc>
      </w:tr>
      <w:tr w:rsidR="00FA5565" w14:paraId="2A73BD4B" w14:textId="77777777">
        <w:tc>
          <w:tcPr>
            <w:tcW w:w="0" w:type="auto"/>
            <w:shd w:val="clear" w:color="auto" w:fill="auto"/>
            <w:tcMar>
              <w:top w:w="40" w:type="dxa"/>
              <w:left w:w="40" w:type="dxa"/>
              <w:bottom w:w="40" w:type="dxa"/>
              <w:right w:w="40" w:type="dxa"/>
            </w:tcMar>
          </w:tcPr>
          <w:p w14:paraId="2A73BD4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4.4</w:t>
            </w:r>
          </w:p>
        </w:tc>
        <w:tc>
          <w:tcPr>
            <w:tcW w:w="0" w:type="auto"/>
            <w:shd w:val="clear" w:color="auto" w:fill="auto"/>
            <w:tcMar>
              <w:top w:w="40" w:type="dxa"/>
              <w:left w:w="40" w:type="dxa"/>
              <w:bottom w:w="40" w:type="dxa"/>
              <w:right w:w="40" w:type="dxa"/>
            </w:tcMar>
            <w:vAlign w:val="bottom"/>
          </w:tcPr>
          <w:p w14:paraId="2A73BD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44" w14:textId="77777777" w:rsidR="00FA5565" w:rsidRDefault="00D804D1">
            <w:pPr>
              <w:ind w:hanging="240"/>
              <w:jc w:val="both"/>
              <w:textAlignment w:val="top"/>
              <w:rPr>
                <w:rFonts w:ascii="Times New Roman" w:hAnsi="Times New Roman"/>
                <w:sz w:val="18"/>
                <w:szCs w:val="18"/>
              </w:rPr>
            </w:pPr>
            <w:hyperlink r:id="rId111" w:history="1">
              <w:r>
                <w:rPr>
                  <w:rStyle w:val="a5"/>
                  <w:rFonts w:ascii="Helvetica" w:eastAsia="Helvetica" w:hAnsi="Helvetica" w:cs="Helvetica"/>
                  <w:sz w:val="18"/>
                  <w:szCs w:val="18"/>
                </w:rPr>
                <w:t>Officer’s Certificate of the Registrant, dated as of May 6, 2014, including forms of global notes representing the Floating Rate Notes due 2017, Floating Rate No</w:t>
              </w:r>
              <w:r>
                <w:rPr>
                  <w:rStyle w:val="a5"/>
                  <w:rFonts w:ascii="Helvetica" w:eastAsia="Helvetica" w:hAnsi="Helvetica" w:cs="Helvetica"/>
                  <w:sz w:val="18"/>
                  <w:szCs w:val="18"/>
                </w:rPr>
                <w:t>tes due 2019, 1.05% Notes due 2017, 2.10% Notes due 2019, 2.85% Notes due 2021, 3.45% Notes due 2024 and 4.45% Notes due 2044.</w:t>
              </w:r>
            </w:hyperlink>
          </w:p>
        </w:tc>
        <w:tc>
          <w:tcPr>
            <w:tcW w:w="0" w:type="auto"/>
            <w:shd w:val="clear" w:color="auto" w:fill="auto"/>
            <w:tcMar>
              <w:top w:w="40" w:type="dxa"/>
              <w:left w:w="40" w:type="dxa"/>
              <w:bottom w:w="40" w:type="dxa"/>
              <w:right w:w="40" w:type="dxa"/>
            </w:tcMar>
            <w:vAlign w:val="bottom"/>
          </w:tcPr>
          <w:p w14:paraId="2A73BD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4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4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4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4A"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5/6/14</w:t>
            </w:r>
          </w:p>
        </w:tc>
      </w:tr>
      <w:tr w:rsidR="00FA5565" w14:paraId="2A73BD55" w14:textId="77777777">
        <w:tc>
          <w:tcPr>
            <w:tcW w:w="0" w:type="auto"/>
            <w:shd w:val="clear" w:color="auto" w:fill="auto"/>
            <w:tcMar>
              <w:top w:w="40" w:type="dxa"/>
              <w:left w:w="40" w:type="dxa"/>
              <w:bottom w:w="40" w:type="dxa"/>
              <w:right w:w="40" w:type="dxa"/>
            </w:tcMar>
          </w:tcPr>
          <w:p w14:paraId="2A73BD4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4.5</w:t>
            </w:r>
          </w:p>
        </w:tc>
        <w:tc>
          <w:tcPr>
            <w:tcW w:w="0" w:type="auto"/>
            <w:shd w:val="clear" w:color="auto" w:fill="auto"/>
            <w:tcMar>
              <w:top w:w="40" w:type="dxa"/>
              <w:left w:w="40" w:type="dxa"/>
              <w:bottom w:w="40" w:type="dxa"/>
              <w:right w:w="40" w:type="dxa"/>
            </w:tcMar>
            <w:vAlign w:val="bottom"/>
          </w:tcPr>
          <w:p w14:paraId="2A73BD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4E" w14:textId="77777777" w:rsidR="00FA5565" w:rsidRDefault="00D804D1">
            <w:pPr>
              <w:ind w:hanging="240"/>
              <w:jc w:val="both"/>
              <w:textAlignment w:val="top"/>
              <w:rPr>
                <w:rFonts w:ascii="Times New Roman" w:hAnsi="Times New Roman"/>
                <w:sz w:val="18"/>
                <w:szCs w:val="18"/>
              </w:rPr>
            </w:pPr>
            <w:hyperlink r:id="rId112" w:history="1">
              <w:r>
                <w:rPr>
                  <w:rStyle w:val="a5"/>
                  <w:rFonts w:ascii="Helvetica" w:eastAsia="Helvetica" w:hAnsi="Helvetica" w:cs="Helvetica"/>
                  <w:sz w:val="18"/>
                  <w:szCs w:val="18"/>
                </w:rPr>
                <w:t>Officer’s Certificate of the Registrant, dated as of November 10, 2014, including forms of global notes representing the 1.000% Notes due 2022 and 1.625% Notes d</w:t>
              </w:r>
              <w:r>
                <w:rPr>
                  <w:rStyle w:val="a5"/>
                  <w:rFonts w:ascii="Helvetica" w:eastAsia="Helvetica" w:hAnsi="Helvetica" w:cs="Helvetica"/>
                  <w:sz w:val="18"/>
                  <w:szCs w:val="18"/>
                </w:rPr>
                <w:t>ue 2026.</w:t>
              </w:r>
            </w:hyperlink>
          </w:p>
        </w:tc>
        <w:tc>
          <w:tcPr>
            <w:tcW w:w="0" w:type="auto"/>
            <w:shd w:val="clear" w:color="auto" w:fill="auto"/>
            <w:tcMar>
              <w:top w:w="40" w:type="dxa"/>
              <w:left w:w="40" w:type="dxa"/>
              <w:bottom w:w="40" w:type="dxa"/>
              <w:right w:w="40" w:type="dxa"/>
            </w:tcMar>
            <w:vAlign w:val="bottom"/>
          </w:tcPr>
          <w:p w14:paraId="2A73BD4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5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5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5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5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5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11/10/14</w:t>
            </w:r>
          </w:p>
        </w:tc>
      </w:tr>
      <w:tr w:rsidR="00FA5565" w14:paraId="2A73BD5F" w14:textId="77777777">
        <w:tc>
          <w:tcPr>
            <w:tcW w:w="0" w:type="auto"/>
            <w:shd w:val="clear" w:color="auto" w:fill="auto"/>
            <w:tcMar>
              <w:top w:w="40" w:type="dxa"/>
              <w:left w:w="40" w:type="dxa"/>
              <w:bottom w:w="40" w:type="dxa"/>
              <w:right w:w="40" w:type="dxa"/>
            </w:tcMar>
          </w:tcPr>
          <w:p w14:paraId="2A73BD5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4.6</w:t>
            </w:r>
          </w:p>
        </w:tc>
        <w:tc>
          <w:tcPr>
            <w:tcW w:w="0" w:type="auto"/>
            <w:shd w:val="clear" w:color="auto" w:fill="auto"/>
            <w:tcMar>
              <w:top w:w="40" w:type="dxa"/>
              <w:left w:w="40" w:type="dxa"/>
              <w:bottom w:w="40" w:type="dxa"/>
              <w:right w:w="40" w:type="dxa"/>
            </w:tcMar>
            <w:vAlign w:val="bottom"/>
          </w:tcPr>
          <w:p w14:paraId="2A73BD5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58" w14:textId="77777777" w:rsidR="00FA5565" w:rsidRDefault="00D804D1">
            <w:pPr>
              <w:ind w:hanging="240"/>
              <w:jc w:val="both"/>
              <w:textAlignment w:val="top"/>
              <w:rPr>
                <w:rFonts w:ascii="Times New Roman" w:hAnsi="Times New Roman"/>
                <w:sz w:val="18"/>
                <w:szCs w:val="18"/>
              </w:rPr>
            </w:pPr>
            <w:hyperlink r:id="rId113" w:history="1">
              <w:r>
                <w:rPr>
                  <w:rStyle w:val="a5"/>
                  <w:rFonts w:ascii="Helvetica" w:eastAsia="Helvetica" w:hAnsi="Helvetica" w:cs="Helvetica"/>
                  <w:sz w:val="18"/>
                  <w:szCs w:val="18"/>
                </w:rPr>
                <w:t xml:space="preserve">Officer’s Certificate of the Registrant, dated as of February 9, 2015, including forms of global notes </w:t>
              </w:r>
              <w:r>
                <w:rPr>
                  <w:rStyle w:val="a5"/>
                  <w:rFonts w:ascii="Helvetica" w:eastAsia="Helvetica" w:hAnsi="Helvetica" w:cs="Helvetica"/>
                  <w:sz w:val="18"/>
                  <w:szCs w:val="18"/>
                </w:rPr>
                <w:t>representing the Floating Rate Notes due 2020, 1.55% Notes due 2020, 2.15% Notes due 2022, 2.50% Notes due 2025 and 3.45% Notes due 2045.</w:t>
              </w:r>
            </w:hyperlink>
          </w:p>
        </w:tc>
        <w:tc>
          <w:tcPr>
            <w:tcW w:w="0" w:type="auto"/>
            <w:shd w:val="clear" w:color="auto" w:fill="auto"/>
            <w:tcMar>
              <w:top w:w="40" w:type="dxa"/>
              <w:left w:w="40" w:type="dxa"/>
              <w:bottom w:w="40" w:type="dxa"/>
              <w:right w:w="40" w:type="dxa"/>
            </w:tcMar>
            <w:vAlign w:val="bottom"/>
          </w:tcPr>
          <w:p w14:paraId="2A73BD5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5A"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5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5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5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5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2/9/15</w:t>
            </w:r>
          </w:p>
        </w:tc>
      </w:tr>
      <w:tr w:rsidR="00FA5565" w14:paraId="2A73BD69" w14:textId="77777777">
        <w:tc>
          <w:tcPr>
            <w:tcW w:w="0" w:type="auto"/>
            <w:shd w:val="clear" w:color="auto" w:fill="auto"/>
            <w:tcMar>
              <w:top w:w="40" w:type="dxa"/>
              <w:left w:w="40" w:type="dxa"/>
              <w:bottom w:w="40" w:type="dxa"/>
              <w:right w:w="40" w:type="dxa"/>
            </w:tcMar>
          </w:tcPr>
          <w:p w14:paraId="2A73BD6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4.7</w:t>
            </w:r>
          </w:p>
        </w:tc>
        <w:tc>
          <w:tcPr>
            <w:tcW w:w="0" w:type="auto"/>
            <w:shd w:val="clear" w:color="auto" w:fill="auto"/>
            <w:tcMar>
              <w:top w:w="40" w:type="dxa"/>
              <w:left w:w="40" w:type="dxa"/>
              <w:bottom w:w="40" w:type="dxa"/>
              <w:right w:w="40" w:type="dxa"/>
            </w:tcMar>
            <w:vAlign w:val="bottom"/>
          </w:tcPr>
          <w:p w14:paraId="2A73BD6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62" w14:textId="77777777" w:rsidR="00FA5565" w:rsidRDefault="00D804D1">
            <w:pPr>
              <w:ind w:hanging="240"/>
              <w:jc w:val="both"/>
              <w:textAlignment w:val="top"/>
              <w:rPr>
                <w:rFonts w:ascii="Times New Roman" w:hAnsi="Times New Roman"/>
                <w:sz w:val="18"/>
                <w:szCs w:val="18"/>
              </w:rPr>
            </w:pPr>
            <w:hyperlink r:id="rId114" w:history="1">
              <w:r>
                <w:rPr>
                  <w:rStyle w:val="a5"/>
                  <w:rFonts w:ascii="Helvetica" w:eastAsia="Helvetica" w:hAnsi="Helvetica" w:cs="Helvetica"/>
                  <w:sz w:val="18"/>
                  <w:szCs w:val="18"/>
                </w:rPr>
                <w:t>Officer’s Certificate of the Registrant, dated as of May 13, 2015, including forms of global notes representing the Floating Rate Notes due 2017, Floating Rate N</w:t>
              </w:r>
              <w:r>
                <w:rPr>
                  <w:rStyle w:val="a5"/>
                  <w:rFonts w:ascii="Helvetica" w:eastAsia="Helvetica" w:hAnsi="Helvetica" w:cs="Helvetica"/>
                  <w:sz w:val="18"/>
                  <w:szCs w:val="18"/>
                </w:rPr>
                <w:t>otes due 2020, 0.900% Notes due 2017, 2.000% Notes due 2020, 2.700% Notes due 2022, 3.200% Notes due 2025, and 4.375% Notes due 2045.</w:t>
              </w:r>
            </w:hyperlink>
          </w:p>
        </w:tc>
        <w:tc>
          <w:tcPr>
            <w:tcW w:w="0" w:type="auto"/>
            <w:shd w:val="clear" w:color="auto" w:fill="auto"/>
            <w:tcMar>
              <w:top w:w="40" w:type="dxa"/>
              <w:left w:w="40" w:type="dxa"/>
              <w:bottom w:w="40" w:type="dxa"/>
              <w:right w:w="40" w:type="dxa"/>
            </w:tcMar>
            <w:vAlign w:val="bottom"/>
          </w:tcPr>
          <w:p w14:paraId="2A73BD6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6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6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6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6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6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5/13/15</w:t>
            </w:r>
          </w:p>
        </w:tc>
      </w:tr>
      <w:tr w:rsidR="00FA5565" w14:paraId="2A73BD73" w14:textId="77777777">
        <w:tc>
          <w:tcPr>
            <w:tcW w:w="0" w:type="auto"/>
            <w:shd w:val="clear" w:color="auto" w:fill="auto"/>
            <w:tcMar>
              <w:top w:w="40" w:type="dxa"/>
              <w:left w:w="40" w:type="dxa"/>
              <w:bottom w:w="40" w:type="dxa"/>
              <w:right w:w="40" w:type="dxa"/>
            </w:tcMar>
          </w:tcPr>
          <w:p w14:paraId="2A73BD6A"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4.8</w:t>
            </w:r>
          </w:p>
        </w:tc>
        <w:tc>
          <w:tcPr>
            <w:tcW w:w="0" w:type="auto"/>
            <w:shd w:val="clear" w:color="auto" w:fill="auto"/>
            <w:tcMar>
              <w:top w:w="40" w:type="dxa"/>
              <w:left w:w="40" w:type="dxa"/>
              <w:bottom w:w="40" w:type="dxa"/>
              <w:right w:w="40" w:type="dxa"/>
            </w:tcMar>
            <w:vAlign w:val="bottom"/>
          </w:tcPr>
          <w:p w14:paraId="2A73BD6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6C" w14:textId="77777777" w:rsidR="00FA5565" w:rsidRDefault="00D804D1">
            <w:pPr>
              <w:ind w:hanging="240"/>
              <w:jc w:val="both"/>
              <w:textAlignment w:val="top"/>
              <w:rPr>
                <w:rFonts w:ascii="Times New Roman" w:hAnsi="Times New Roman"/>
                <w:sz w:val="18"/>
                <w:szCs w:val="18"/>
              </w:rPr>
            </w:pPr>
            <w:hyperlink r:id="rId115" w:history="1">
              <w:r>
                <w:rPr>
                  <w:rStyle w:val="a5"/>
                  <w:rFonts w:ascii="Helvetica" w:eastAsia="Helvetica" w:hAnsi="Helvetica" w:cs="Helvetica"/>
                  <w:sz w:val="18"/>
                  <w:szCs w:val="18"/>
                </w:rPr>
                <w:t>Officer’s Certificate of the Registrant, dated as of June 10, 2015, including forms of global notes representing the 0.350% Notes due 2020.</w:t>
              </w:r>
            </w:hyperlink>
          </w:p>
        </w:tc>
        <w:tc>
          <w:tcPr>
            <w:tcW w:w="0" w:type="auto"/>
            <w:shd w:val="clear" w:color="auto" w:fill="auto"/>
            <w:tcMar>
              <w:top w:w="40" w:type="dxa"/>
              <w:left w:w="40" w:type="dxa"/>
              <w:bottom w:w="40" w:type="dxa"/>
              <w:right w:w="40" w:type="dxa"/>
            </w:tcMar>
            <w:vAlign w:val="bottom"/>
          </w:tcPr>
          <w:p w14:paraId="2A73BD6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6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6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7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7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7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6/10/15</w:t>
            </w:r>
          </w:p>
        </w:tc>
      </w:tr>
    </w:tbl>
    <w:p w14:paraId="2A73BD74" w14:textId="77777777" w:rsidR="00FA5565" w:rsidRDefault="00FA5565">
      <w:pPr>
        <w:rPr>
          <w:rFonts w:ascii="Times New Roman" w:hAnsi="Times New Roman"/>
          <w:sz w:val="20"/>
          <w:szCs w:val="20"/>
        </w:rPr>
      </w:pPr>
    </w:p>
    <w:p w14:paraId="2A73BD75"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61</w:t>
      </w:r>
    </w:p>
    <w:p w14:paraId="2A73BD76" w14:textId="77777777" w:rsidR="00FA5565" w:rsidRDefault="00D804D1">
      <w:r>
        <w:rPr>
          <w:rFonts w:ascii="Times New Roman" w:hAnsi="Times New Roman"/>
          <w:sz w:val="16"/>
          <w:szCs w:val="16"/>
        </w:rPr>
        <w:pict w14:anchorId="2A73C0D9">
          <v:rect id="_x0000_i1087" style="width:415.3pt;height:1.5pt" o:hralign="center" o:hrstd="t" o:hr="t" fillcolor="#a0a0a0" stroked="f"/>
        </w:pict>
      </w:r>
    </w:p>
    <w:p w14:paraId="2A73BD77" w14:textId="77777777" w:rsidR="00FA5565" w:rsidRDefault="00FA5565">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690"/>
        <w:gridCol w:w="130"/>
        <w:gridCol w:w="5176"/>
        <w:gridCol w:w="130"/>
        <w:gridCol w:w="525"/>
        <w:gridCol w:w="130"/>
        <w:gridCol w:w="614"/>
        <w:gridCol w:w="130"/>
        <w:gridCol w:w="781"/>
      </w:tblGrid>
      <w:tr w:rsidR="00FA5565" w14:paraId="2A73BD79" w14:textId="77777777">
        <w:tc>
          <w:tcPr>
            <w:tcW w:w="0" w:type="auto"/>
            <w:gridSpan w:val="9"/>
            <w:shd w:val="clear" w:color="auto" w:fill="auto"/>
            <w:vAlign w:val="center"/>
          </w:tcPr>
          <w:p w14:paraId="2A73BD78" w14:textId="77777777" w:rsidR="00FA5565" w:rsidRDefault="00FA5565">
            <w:pPr>
              <w:rPr>
                <w:rFonts w:ascii="Times New Roman" w:hAnsi="Times New Roman"/>
                <w:sz w:val="20"/>
                <w:szCs w:val="20"/>
              </w:rPr>
            </w:pPr>
          </w:p>
        </w:tc>
      </w:tr>
      <w:tr w:rsidR="00FA5565" w14:paraId="2A73BD83" w14:textId="77777777">
        <w:tc>
          <w:tcPr>
            <w:tcW w:w="450" w:type="pct"/>
            <w:shd w:val="clear" w:color="auto" w:fill="auto"/>
            <w:vAlign w:val="center"/>
          </w:tcPr>
          <w:p w14:paraId="2A73BD7A" w14:textId="77777777" w:rsidR="00FA5565" w:rsidRDefault="00FA5565">
            <w:pPr>
              <w:rPr>
                <w:rFonts w:ascii="Times New Roman" w:hAnsi="Times New Roman"/>
                <w:sz w:val="20"/>
                <w:szCs w:val="20"/>
              </w:rPr>
            </w:pPr>
          </w:p>
        </w:tc>
        <w:tc>
          <w:tcPr>
            <w:tcW w:w="50" w:type="pct"/>
            <w:shd w:val="clear" w:color="auto" w:fill="auto"/>
            <w:vAlign w:val="center"/>
          </w:tcPr>
          <w:p w14:paraId="2A73BD7B" w14:textId="77777777" w:rsidR="00FA5565" w:rsidRDefault="00FA5565">
            <w:pPr>
              <w:rPr>
                <w:rFonts w:ascii="Times New Roman" w:hAnsi="Times New Roman"/>
                <w:sz w:val="20"/>
                <w:szCs w:val="20"/>
              </w:rPr>
            </w:pPr>
          </w:p>
        </w:tc>
        <w:tc>
          <w:tcPr>
            <w:tcW w:w="3150" w:type="pct"/>
            <w:shd w:val="clear" w:color="auto" w:fill="auto"/>
            <w:vAlign w:val="center"/>
          </w:tcPr>
          <w:p w14:paraId="2A73BD7C" w14:textId="77777777" w:rsidR="00FA5565" w:rsidRDefault="00FA5565">
            <w:pPr>
              <w:rPr>
                <w:rFonts w:ascii="Times New Roman" w:hAnsi="Times New Roman"/>
                <w:sz w:val="20"/>
                <w:szCs w:val="20"/>
              </w:rPr>
            </w:pPr>
          </w:p>
        </w:tc>
        <w:tc>
          <w:tcPr>
            <w:tcW w:w="50" w:type="pct"/>
            <w:shd w:val="clear" w:color="auto" w:fill="auto"/>
            <w:vAlign w:val="center"/>
          </w:tcPr>
          <w:p w14:paraId="2A73BD7D" w14:textId="77777777" w:rsidR="00FA5565" w:rsidRDefault="00FA5565">
            <w:pPr>
              <w:rPr>
                <w:rFonts w:ascii="Times New Roman" w:hAnsi="Times New Roman"/>
                <w:sz w:val="20"/>
                <w:szCs w:val="20"/>
              </w:rPr>
            </w:pPr>
          </w:p>
        </w:tc>
        <w:tc>
          <w:tcPr>
            <w:tcW w:w="350" w:type="pct"/>
            <w:shd w:val="clear" w:color="auto" w:fill="auto"/>
            <w:vAlign w:val="center"/>
          </w:tcPr>
          <w:p w14:paraId="2A73BD7E" w14:textId="77777777" w:rsidR="00FA5565" w:rsidRDefault="00FA5565">
            <w:pPr>
              <w:rPr>
                <w:rFonts w:ascii="Times New Roman" w:hAnsi="Times New Roman"/>
                <w:sz w:val="20"/>
                <w:szCs w:val="20"/>
              </w:rPr>
            </w:pPr>
          </w:p>
        </w:tc>
        <w:tc>
          <w:tcPr>
            <w:tcW w:w="50" w:type="pct"/>
            <w:shd w:val="clear" w:color="auto" w:fill="auto"/>
            <w:vAlign w:val="center"/>
          </w:tcPr>
          <w:p w14:paraId="2A73BD7F" w14:textId="77777777" w:rsidR="00FA5565" w:rsidRDefault="00FA5565">
            <w:pPr>
              <w:rPr>
                <w:rFonts w:ascii="Times New Roman" w:hAnsi="Times New Roman"/>
                <w:sz w:val="20"/>
                <w:szCs w:val="20"/>
              </w:rPr>
            </w:pPr>
          </w:p>
        </w:tc>
        <w:tc>
          <w:tcPr>
            <w:tcW w:w="350" w:type="pct"/>
            <w:shd w:val="clear" w:color="auto" w:fill="auto"/>
            <w:vAlign w:val="center"/>
          </w:tcPr>
          <w:p w14:paraId="2A73BD80" w14:textId="77777777" w:rsidR="00FA5565" w:rsidRDefault="00FA5565">
            <w:pPr>
              <w:rPr>
                <w:rFonts w:ascii="Times New Roman" w:hAnsi="Times New Roman"/>
                <w:sz w:val="20"/>
                <w:szCs w:val="20"/>
              </w:rPr>
            </w:pPr>
          </w:p>
        </w:tc>
        <w:tc>
          <w:tcPr>
            <w:tcW w:w="50" w:type="pct"/>
            <w:shd w:val="clear" w:color="auto" w:fill="auto"/>
            <w:vAlign w:val="center"/>
          </w:tcPr>
          <w:p w14:paraId="2A73BD81" w14:textId="77777777" w:rsidR="00FA5565" w:rsidRDefault="00FA5565">
            <w:pPr>
              <w:rPr>
                <w:rFonts w:ascii="Times New Roman" w:hAnsi="Times New Roman"/>
                <w:sz w:val="20"/>
                <w:szCs w:val="20"/>
              </w:rPr>
            </w:pPr>
          </w:p>
        </w:tc>
        <w:tc>
          <w:tcPr>
            <w:tcW w:w="500" w:type="pct"/>
            <w:shd w:val="clear" w:color="auto" w:fill="auto"/>
            <w:vAlign w:val="center"/>
          </w:tcPr>
          <w:p w14:paraId="2A73BD82" w14:textId="77777777" w:rsidR="00FA5565" w:rsidRDefault="00FA5565">
            <w:pPr>
              <w:rPr>
                <w:rFonts w:ascii="Times New Roman" w:hAnsi="Times New Roman"/>
                <w:sz w:val="20"/>
                <w:szCs w:val="20"/>
              </w:rPr>
            </w:pPr>
          </w:p>
        </w:tc>
      </w:tr>
      <w:tr w:rsidR="00FA5565" w14:paraId="2A73BD87" w14:textId="77777777">
        <w:tc>
          <w:tcPr>
            <w:tcW w:w="0" w:type="auto"/>
            <w:gridSpan w:val="3"/>
            <w:shd w:val="clear" w:color="auto" w:fill="auto"/>
            <w:tcMar>
              <w:top w:w="40" w:type="dxa"/>
              <w:left w:w="40" w:type="dxa"/>
              <w:bottom w:w="40" w:type="dxa"/>
              <w:right w:w="40" w:type="dxa"/>
            </w:tcMar>
            <w:vAlign w:val="bottom"/>
          </w:tcPr>
          <w:p w14:paraId="2A73BD8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D8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2A73BD86"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Incorporated by Reference</w:t>
            </w:r>
          </w:p>
        </w:tc>
      </w:tr>
      <w:tr w:rsidR="00FA5565" w14:paraId="2A73BD9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2A73BD88"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Exhibit Number</w:t>
            </w:r>
          </w:p>
        </w:tc>
        <w:tc>
          <w:tcPr>
            <w:tcW w:w="0" w:type="auto"/>
            <w:shd w:val="clear" w:color="auto" w:fill="auto"/>
            <w:tcMar>
              <w:top w:w="40" w:type="dxa"/>
              <w:left w:w="40" w:type="dxa"/>
              <w:bottom w:w="40" w:type="dxa"/>
              <w:right w:w="40" w:type="dxa"/>
            </w:tcMar>
            <w:vAlign w:val="bottom"/>
          </w:tcPr>
          <w:p w14:paraId="2A73BD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D8A"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Exhibit Description</w:t>
            </w:r>
          </w:p>
        </w:tc>
        <w:tc>
          <w:tcPr>
            <w:tcW w:w="0" w:type="auto"/>
            <w:shd w:val="clear" w:color="auto" w:fill="auto"/>
            <w:tcMar>
              <w:top w:w="40" w:type="dxa"/>
              <w:left w:w="40" w:type="dxa"/>
              <w:bottom w:w="40" w:type="dxa"/>
              <w:right w:w="40" w:type="dxa"/>
            </w:tcMar>
            <w:vAlign w:val="bottom"/>
          </w:tcPr>
          <w:p w14:paraId="2A73BD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D8C"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Form</w:t>
            </w:r>
          </w:p>
        </w:tc>
        <w:tc>
          <w:tcPr>
            <w:tcW w:w="0" w:type="auto"/>
            <w:shd w:val="clear" w:color="auto" w:fill="auto"/>
            <w:tcMar>
              <w:top w:w="40" w:type="dxa"/>
              <w:left w:w="40" w:type="dxa"/>
              <w:bottom w:w="40" w:type="dxa"/>
              <w:right w:w="40" w:type="dxa"/>
            </w:tcMar>
            <w:vAlign w:val="bottom"/>
          </w:tcPr>
          <w:p w14:paraId="2A73BD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D8E"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Exhibit</w:t>
            </w:r>
          </w:p>
        </w:tc>
        <w:tc>
          <w:tcPr>
            <w:tcW w:w="0" w:type="auto"/>
            <w:shd w:val="clear" w:color="auto" w:fill="auto"/>
            <w:tcMar>
              <w:top w:w="40" w:type="dxa"/>
              <w:left w:w="40" w:type="dxa"/>
              <w:bottom w:w="40" w:type="dxa"/>
              <w:right w:w="40" w:type="dxa"/>
            </w:tcMar>
            <w:vAlign w:val="bottom"/>
          </w:tcPr>
          <w:p w14:paraId="2A73BD8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D90"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Filing Date/</w:t>
            </w:r>
          </w:p>
          <w:p w14:paraId="2A73BD91"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Period End Date</w:t>
            </w:r>
          </w:p>
        </w:tc>
      </w:tr>
      <w:tr w:rsidR="00FA5565" w14:paraId="2A73BD9C" w14:textId="77777777">
        <w:tc>
          <w:tcPr>
            <w:tcW w:w="0" w:type="auto"/>
            <w:shd w:val="clear" w:color="auto" w:fill="auto"/>
            <w:tcMar>
              <w:top w:w="40" w:type="dxa"/>
              <w:left w:w="40" w:type="dxa"/>
              <w:bottom w:w="40" w:type="dxa"/>
              <w:right w:w="40" w:type="dxa"/>
            </w:tcMar>
          </w:tcPr>
          <w:p w14:paraId="2A73BD9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4.9</w:t>
            </w:r>
          </w:p>
        </w:tc>
        <w:tc>
          <w:tcPr>
            <w:tcW w:w="0" w:type="auto"/>
            <w:shd w:val="clear" w:color="auto" w:fill="auto"/>
            <w:tcMar>
              <w:top w:w="40" w:type="dxa"/>
              <w:left w:w="40" w:type="dxa"/>
              <w:bottom w:w="40" w:type="dxa"/>
              <w:right w:w="40" w:type="dxa"/>
            </w:tcMar>
            <w:vAlign w:val="bottom"/>
          </w:tcPr>
          <w:p w14:paraId="2A73BD9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95" w14:textId="77777777" w:rsidR="00FA5565" w:rsidRDefault="00D804D1">
            <w:pPr>
              <w:ind w:hanging="240"/>
              <w:jc w:val="both"/>
              <w:textAlignment w:val="top"/>
              <w:rPr>
                <w:rFonts w:ascii="Times New Roman" w:hAnsi="Times New Roman"/>
                <w:sz w:val="18"/>
                <w:szCs w:val="18"/>
              </w:rPr>
            </w:pPr>
            <w:hyperlink r:id="rId116" w:history="1">
              <w:r>
                <w:rPr>
                  <w:rStyle w:val="a5"/>
                  <w:rFonts w:ascii="Helvetica" w:eastAsia="Helvetica" w:hAnsi="Helvetica" w:cs="Helvetica"/>
                  <w:sz w:val="18"/>
                  <w:szCs w:val="18"/>
                </w:rPr>
                <w:t>Officer’s Certificate of the Registrant, dated as of July 31, 2015, including forms of global notes representing the 3.05% Notes due 2029 and 3.60% Notes due 2042</w:t>
              </w:r>
              <w:r>
                <w:rPr>
                  <w:rStyle w:val="a5"/>
                  <w:rFonts w:ascii="Helvetica" w:eastAsia="Helvetica" w:hAnsi="Helvetica" w:cs="Helvetica"/>
                  <w:sz w:val="18"/>
                  <w:szCs w:val="18"/>
                </w:rPr>
                <w:t>.</w:t>
              </w:r>
            </w:hyperlink>
          </w:p>
        </w:tc>
        <w:tc>
          <w:tcPr>
            <w:tcW w:w="0" w:type="auto"/>
            <w:shd w:val="clear" w:color="auto" w:fill="auto"/>
            <w:tcMar>
              <w:top w:w="40" w:type="dxa"/>
              <w:left w:w="40" w:type="dxa"/>
              <w:bottom w:w="40" w:type="dxa"/>
              <w:right w:w="40" w:type="dxa"/>
            </w:tcMar>
            <w:vAlign w:val="bottom"/>
          </w:tcPr>
          <w:p w14:paraId="2A73BD9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9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9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9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9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9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7/31/15</w:t>
            </w:r>
          </w:p>
        </w:tc>
      </w:tr>
      <w:tr w:rsidR="00FA5565" w14:paraId="2A73BDA6" w14:textId="77777777">
        <w:tc>
          <w:tcPr>
            <w:tcW w:w="0" w:type="auto"/>
            <w:shd w:val="clear" w:color="auto" w:fill="auto"/>
            <w:tcMar>
              <w:top w:w="40" w:type="dxa"/>
              <w:left w:w="40" w:type="dxa"/>
              <w:bottom w:w="40" w:type="dxa"/>
              <w:right w:w="40" w:type="dxa"/>
            </w:tcMar>
          </w:tcPr>
          <w:p w14:paraId="2A73BD9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4.10</w:t>
            </w:r>
          </w:p>
        </w:tc>
        <w:tc>
          <w:tcPr>
            <w:tcW w:w="0" w:type="auto"/>
            <w:shd w:val="clear" w:color="auto" w:fill="auto"/>
            <w:tcMar>
              <w:top w:w="40" w:type="dxa"/>
              <w:left w:w="40" w:type="dxa"/>
              <w:bottom w:w="40" w:type="dxa"/>
              <w:right w:w="40" w:type="dxa"/>
            </w:tcMar>
            <w:vAlign w:val="bottom"/>
          </w:tcPr>
          <w:p w14:paraId="2A73BD9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9F" w14:textId="77777777" w:rsidR="00FA5565" w:rsidRDefault="00D804D1">
            <w:pPr>
              <w:ind w:hanging="240"/>
              <w:jc w:val="both"/>
              <w:textAlignment w:val="top"/>
              <w:rPr>
                <w:rFonts w:ascii="Times New Roman" w:hAnsi="Times New Roman"/>
                <w:sz w:val="18"/>
                <w:szCs w:val="18"/>
              </w:rPr>
            </w:pPr>
            <w:hyperlink r:id="rId117" w:history="1">
              <w:r>
                <w:rPr>
                  <w:rStyle w:val="a5"/>
                  <w:rFonts w:ascii="Helvetica" w:eastAsia="Helvetica" w:hAnsi="Helvetica" w:cs="Helvetica"/>
                  <w:sz w:val="18"/>
                  <w:szCs w:val="18"/>
                </w:rPr>
                <w:t xml:space="preserve">Officer’s Certificate of the Registrant, dated as of September 17, 2015, including forms of global notes </w:t>
              </w:r>
              <w:r>
                <w:rPr>
                  <w:rStyle w:val="a5"/>
                  <w:rFonts w:ascii="Helvetica" w:eastAsia="Helvetica" w:hAnsi="Helvetica" w:cs="Helvetica"/>
                  <w:sz w:val="18"/>
                  <w:szCs w:val="18"/>
                </w:rPr>
                <w:t>representing the 1.375% Notes due 2024 and 2.000% Notes due 2027.</w:t>
              </w:r>
            </w:hyperlink>
          </w:p>
        </w:tc>
        <w:tc>
          <w:tcPr>
            <w:tcW w:w="0" w:type="auto"/>
            <w:shd w:val="clear" w:color="auto" w:fill="auto"/>
            <w:tcMar>
              <w:top w:w="40" w:type="dxa"/>
              <w:left w:w="40" w:type="dxa"/>
              <w:bottom w:w="40" w:type="dxa"/>
              <w:right w:w="40" w:type="dxa"/>
            </w:tcMar>
            <w:vAlign w:val="bottom"/>
          </w:tcPr>
          <w:p w14:paraId="2A73BDA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A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A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A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A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A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9/17/15</w:t>
            </w:r>
          </w:p>
        </w:tc>
      </w:tr>
      <w:tr w:rsidR="00FA5565" w14:paraId="2A73BDB0" w14:textId="77777777">
        <w:tc>
          <w:tcPr>
            <w:tcW w:w="0" w:type="auto"/>
            <w:shd w:val="clear" w:color="auto" w:fill="auto"/>
            <w:tcMar>
              <w:top w:w="40" w:type="dxa"/>
              <w:left w:w="40" w:type="dxa"/>
              <w:bottom w:w="40" w:type="dxa"/>
              <w:right w:w="40" w:type="dxa"/>
            </w:tcMar>
          </w:tcPr>
          <w:p w14:paraId="2A73BDA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4.11</w:t>
            </w:r>
          </w:p>
        </w:tc>
        <w:tc>
          <w:tcPr>
            <w:tcW w:w="0" w:type="auto"/>
            <w:shd w:val="clear" w:color="auto" w:fill="auto"/>
            <w:tcMar>
              <w:top w:w="40" w:type="dxa"/>
              <w:left w:w="40" w:type="dxa"/>
              <w:bottom w:w="40" w:type="dxa"/>
              <w:right w:w="40" w:type="dxa"/>
            </w:tcMar>
            <w:vAlign w:val="bottom"/>
          </w:tcPr>
          <w:p w14:paraId="2A73BDA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A9" w14:textId="77777777" w:rsidR="00FA5565" w:rsidRDefault="00D804D1">
            <w:pPr>
              <w:ind w:hanging="240"/>
              <w:jc w:val="both"/>
              <w:textAlignment w:val="top"/>
              <w:rPr>
                <w:rFonts w:ascii="Times New Roman" w:hAnsi="Times New Roman"/>
                <w:sz w:val="18"/>
                <w:szCs w:val="18"/>
              </w:rPr>
            </w:pPr>
            <w:hyperlink r:id="rId118" w:history="1">
              <w:r>
                <w:rPr>
                  <w:rStyle w:val="a5"/>
                  <w:rFonts w:ascii="Helvetica" w:eastAsia="Helvetica" w:hAnsi="Helvetica" w:cs="Helvetica"/>
                  <w:sz w:val="18"/>
                  <w:szCs w:val="18"/>
                </w:rPr>
                <w:t>Officer’s Certificate of the Registrant, dated as of February 23, 2016, including forms of global notes representing the Floating Rate Notes due 2019, Floating R</w:t>
              </w:r>
              <w:r>
                <w:rPr>
                  <w:rStyle w:val="a5"/>
                  <w:rFonts w:ascii="Helvetica" w:eastAsia="Helvetica" w:hAnsi="Helvetica" w:cs="Helvetica"/>
                  <w:sz w:val="18"/>
                  <w:szCs w:val="18"/>
                </w:rPr>
                <w:t>ate Notes due 2021, 1.300% Notes due 2018, 1.700% Notes due 2019, 2.250% Notes due 2021, 2.850% Notes due 2023, 3.250% Notes due 2026, 4.500% Notes due 2036 and 4.650% Notes due 2046.</w:t>
              </w:r>
            </w:hyperlink>
          </w:p>
        </w:tc>
        <w:tc>
          <w:tcPr>
            <w:tcW w:w="0" w:type="auto"/>
            <w:shd w:val="clear" w:color="auto" w:fill="auto"/>
            <w:tcMar>
              <w:top w:w="40" w:type="dxa"/>
              <w:left w:w="40" w:type="dxa"/>
              <w:bottom w:w="40" w:type="dxa"/>
              <w:right w:w="40" w:type="dxa"/>
            </w:tcMar>
            <w:vAlign w:val="bottom"/>
          </w:tcPr>
          <w:p w14:paraId="2A73BD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A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A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A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A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A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2/23/16</w:t>
            </w:r>
          </w:p>
        </w:tc>
      </w:tr>
      <w:tr w:rsidR="00FA5565" w14:paraId="2A73BDBA" w14:textId="77777777">
        <w:tc>
          <w:tcPr>
            <w:tcW w:w="0" w:type="auto"/>
            <w:shd w:val="clear" w:color="auto" w:fill="auto"/>
            <w:tcMar>
              <w:top w:w="40" w:type="dxa"/>
              <w:left w:w="40" w:type="dxa"/>
              <w:bottom w:w="40" w:type="dxa"/>
              <w:right w:w="40" w:type="dxa"/>
            </w:tcMar>
          </w:tcPr>
          <w:p w14:paraId="2A73BDB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4.12</w:t>
            </w:r>
          </w:p>
        </w:tc>
        <w:tc>
          <w:tcPr>
            <w:tcW w:w="0" w:type="auto"/>
            <w:shd w:val="clear" w:color="auto" w:fill="auto"/>
            <w:tcMar>
              <w:top w:w="40" w:type="dxa"/>
              <w:left w:w="40" w:type="dxa"/>
              <w:bottom w:w="40" w:type="dxa"/>
              <w:right w:w="40" w:type="dxa"/>
            </w:tcMar>
            <w:vAlign w:val="bottom"/>
          </w:tcPr>
          <w:p w14:paraId="2A73BDB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B3" w14:textId="77777777" w:rsidR="00FA5565" w:rsidRDefault="00D804D1">
            <w:pPr>
              <w:ind w:hanging="240"/>
              <w:jc w:val="both"/>
              <w:textAlignment w:val="top"/>
              <w:rPr>
                <w:rFonts w:ascii="Times New Roman" w:hAnsi="Times New Roman"/>
                <w:sz w:val="18"/>
                <w:szCs w:val="18"/>
              </w:rPr>
            </w:pPr>
            <w:hyperlink r:id="rId119" w:history="1">
              <w:r>
                <w:rPr>
                  <w:rStyle w:val="a5"/>
                  <w:rFonts w:ascii="Helvetica" w:eastAsia="Helvetica" w:hAnsi="Helvetica" w:cs="Helvetica"/>
                  <w:sz w:val="18"/>
                  <w:szCs w:val="18"/>
                </w:rPr>
                <w:t>Supplement No. 1 to the Officer’s Certificate of the Registrant, dated as of March 24, 2016.</w:t>
              </w:r>
            </w:hyperlink>
          </w:p>
        </w:tc>
        <w:tc>
          <w:tcPr>
            <w:tcW w:w="0" w:type="auto"/>
            <w:shd w:val="clear" w:color="auto" w:fill="auto"/>
            <w:tcMar>
              <w:top w:w="40" w:type="dxa"/>
              <w:left w:w="40" w:type="dxa"/>
              <w:bottom w:w="40" w:type="dxa"/>
              <w:right w:w="40" w:type="dxa"/>
            </w:tcMar>
            <w:vAlign w:val="bottom"/>
          </w:tcPr>
          <w:p w14:paraId="2A73BDB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B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B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B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B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3/24/16</w:t>
            </w:r>
          </w:p>
        </w:tc>
      </w:tr>
      <w:tr w:rsidR="00FA5565" w14:paraId="2A73BDC4" w14:textId="77777777">
        <w:tc>
          <w:tcPr>
            <w:tcW w:w="0" w:type="auto"/>
            <w:shd w:val="clear" w:color="auto" w:fill="auto"/>
            <w:tcMar>
              <w:top w:w="40" w:type="dxa"/>
              <w:left w:w="40" w:type="dxa"/>
              <w:bottom w:w="40" w:type="dxa"/>
              <w:right w:w="40" w:type="dxa"/>
            </w:tcMar>
          </w:tcPr>
          <w:p w14:paraId="2A73BDB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4.13</w:t>
            </w:r>
          </w:p>
        </w:tc>
        <w:tc>
          <w:tcPr>
            <w:tcW w:w="0" w:type="auto"/>
            <w:shd w:val="clear" w:color="auto" w:fill="auto"/>
            <w:tcMar>
              <w:top w:w="40" w:type="dxa"/>
              <w:left w:w="40" w:type="dxa"/>
              <w:bottom w:w="40" w:type="dxa"/>
              <w:right w:w="40" w:type="dxa"/>
            </w:tcMar>
            <w:vAlign w:val="bottom"/>
          </w:tcPr>
          <w:p w14:paraId="2A73BDB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BD" w14:textId="77777777" w:rsidR="00FA5565" w:rsidRDefault="00D804D1">
            <w:pPr>
              <w:ind w:hanging="240"/>
              <w:jc w:val="both"/>
              <w:textAlignment w:val="top"/>
              <w:rPr>
                <w:rFonts w:ascii="Times New Roman" w:hAnsi="Times New Roman"/>
                <w:sz w:val="18"/>
                <w:szCs w:val="18"/>
              </w:rPr>
            </w:pPr>
            <w:hyperlink r:id="rId120" w:history="1">
              <w:r>
                <w:rPr>
                  <w:rStyle w:val="a5"/>
                  <w:rFonts w:ascii="Helvetica" w:eastAsia="Helvetica" w:hAnsi="Helvetica" w:cs="Helvetica"/>
                  <w:sz w:val="18"/>
                  <w:szCs w:val="18"/>
                </w:rPr>
                <w:t>Officer’s Certificate of the Registrant, dated as of June 22, 2016, including form of global note representing 4.15% Notes due 2046.</w:t>
              </w:r>
            </w:hyperlink>
          </w:p>
        </w:tc>
        <w:tc>
          <w:tcPr>
            <w:tcW w:w="0" w:type="auto"/>
            <w:shd w:val="clear" w:color="auto" w:fill="auto"/>
            <w:tcMar>
              <w:top w:w="40" w:type="dxa"/>
              <w:left w:w="40" w:type="dxa"/>
              <w:bottom w:w="40" w:type="dxa"/>
              <w:right w:w="40" w:type="dxa"/>
            </w:tcMar>
            <w:vAlign w:val="bottom"/>
          </w:tcPr>
          <w:p w14:paraId="2A73BD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B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C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C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C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C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6/22/16</w:t>
            </w:r>
          </w:p>
        </w:tc>
      </w:tr>
      <w:tr w:rsidR="00FA5565" w14:paraId="2A73BDCE" w14:textId="77777777">
        <w:tc>
          <w:tcPr>
            <w:tcW w:w="0" w:type="auto"/>
            <w:shd w:val="clear" w:color="auto" w:fill="auto"/>
            <w:tcMar>
              <w:top w:w="40" w:type="dxa"/>
              <w:left w:w="40" w:type="dxa"/>
              <w:bottom w:w="40" w:type="dxa"/>
              <w:right w:w="40" w:type="dxa"/>
            </w:tcMar>
          </w:tcPr>
          <w:p w14:paraId="2A73BDC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4.14</w:t>
            </w:r>
          </w:p>
        </w:tc>
        <w:tc>
          <w:tcPr>
            <w:tcW w:w="0" w:type="auto"/>
            <w:shd w:val="clear" w:color="auto" w:fill="auto"/>
            <w:tcMar>
              <w:top w:w="40" w:type="dxa"/>
              <w:left w:w="40" w:type="dxa"/>
              <w:bottom w:w="40" w:type="dxa"/>
              <w:right w:w="40" w:type="dxa"/>
            </w:tcMar>
            <w:vAlign w:val="bottom"/>
          </w:tcPr>
          <w:p w14:paraId="2A73BDC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C7" w14:textId="77777777" w:rsidR="00FA5565" w:rsidRDefault="00D804D1">
            <w:pPr>
              <w:ind w:hanging="240"/>
              <w:jc w:val="both"/>
              <w:textAlignment w:val="top"/>
              <w:rPr>
                <w:rFonts w:ascii="Times New Roman" w:hAnsi="Times New Roman"/>
                <w:sz w:val="18"/>
                <w:szCs w:val="18"/>
              </w:rPr>
            </w:pPr>
            <w:hyperlink r:id="rId121" w:history="1">
              <w:r>
                <w:rPr>
                  <w:rStyle w:val="a5"/>
                  <w:rFonts w:ascii="Helvetica" w:eastAsia="Helvetica" w:hAnsi="Helvetica" w:cs="Helvetica"/>
                  <w:sz w:val="18"/>
                  <w:szCs w:val="18"/>
                </w:rPr>
                <w:t xml:space="preserve">Officer’s Certificate of the Registrant, dated as of August 4, 2016, including forms of global notes representing the Floating Rate Notes due </w:t>
              </w:r>
              <w:r>
                <w:rPr>
                  <w:rStyle w:val="a5"/>
                  <w:rFonts w:ascii="Helvetica" w:eastAsia="Helvetica" w:hAnsi="Helvetica" w:cs="Helvetica"/>
                  <w:sz w:val="18"/>
                  <w:szCs w:val="18"/>
                </w:rPr>
                <w:t>2019, 1.100% Notes due 2019, 1.550% Notes due 2021, 2.450% Notes due 2026 and 3.850% Notes due 2046.</w:t>
              </w:r>
            </w:hyperlink>
          </w:p>
        </w:tc>
        <w:tc>
          <w:tcPr>
            <w:tcW w:w="0" w:type="auto"/>
            <w:shd w:val="clear" w:color="auto" w:fill="auto"/>
            <w:tcMar>
              <w:top w:w="40" w:type="dxa"/>
              <w:left w:w="40" w:type="dxa"/>
              <w:bottom w:w="40" w:type="dxa"/>
              <w:right w:w="40" w:type="dxa"/>
            </w:tcMar>
            <w:vAlign w:val="bottom"/>
          </w:tcPr>
          <w:p w14:paraId="2A73BD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C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C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C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C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C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8/4/16</w:t>
            </w:r>
          </w:p>
        </w:tc>
      </w:tr>
      <w:tr w:rsidR="00FA5565" w14:paraId="2A73BDD8" w14:textId="77777777">
        <w:tc>
          <w:tcPr>
            <w:tcW w:w="0" w:type="auto"/>
            <w:shd w:val="clear" w:color="auto" w:fill="auto"/>
            <w:tcMar>
              <w:top w:w="40" w:type="dxa"/>
              <w:left w:w="40" w:type="dxa"/>
              <w:bottom w:w="40" w:type="dxa"/>
              <w:right w:w="40" w:type="dxa"/>
            </w:tcMar>
          </w:tcPr>
          <w:p w14:paraId="2A73BDC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4.15</w:t>
            </w:r>
          </w:p>
        </w:tc>
        <w:tc>
          <w:tcPr>
            <w:tcW w:w="0" w:type="auto"/>
            <w:shd w:val="clear" w:color="auto" w:fill="auto"/>
            <w:tcMar>
              <w:top w:w="40" w:type="dxa"/>
              <w:left w:w="40" w:type="dxa"/>
              <w:bottom w:w="40" w:type="dxa"/>
              <w:right w:w="40" w:type="dxa"/>
            </w:tcMar>
            <w:vAlign w:val="bottom"/>
          </w:tcPr>
          <w:p w14:paraId="2A73BDD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D1" w14:textId="77777777" w:rsidR="00FA5565" w:rsidRDefault="00D804D1">
            <w:pPr>
              <w:ind w:hanging="240"/>
              <w:jc w:val="both"/>
              <w:textAlignment w:val="top"/>
              <w:rPr>
                <w:rFonts w:ascii="Times New Roman" w:hAnsi="Times New Roman"/>
                <w:sz w:val="18"/>
                <w:szCs w:val="18"/>
              </w:rPr>
            </w:pPr>
            <w:hyperlink r:id="rId122" w:history="1">
              <w:r>
                <w:rPr>
                  <w:rStyle w:val="a5"/>
                  <w:rFonts w:ascii="Helvetica" w:eastAsia="Helvetica" w:hAnsi="Helvetica" w:cs="Helvetica"/>
                  <w:sz w:val="18"/>
                  <w:szCs w:val="18"/>
                </w:rPr>
                <w:t>Officer’s Certificate of the Registrant, dated as of February 9, 2017, including forms of global notes representing the Floating Rate Notes due 2019, Floating Ra</w:t>
              </w:r>
              <w:r>
                <w:rPr>
                  <w:rStyle w:val="a5"/>
                  <w:rFonts w:ascii="Helvetica" w:eastAsia="Helvetica" w:hAnsi="Helvetica" w:cs="Helvetica"/>
                  <w:sz w:val="18"/>
                  <w:szCs w:val="18"/>
                </w:rPr>
                <w:t>te Notes due 2020, Floating Rate Notes due 2022, 1.550% Notes due 2019, 1.900% Notes due 2020, 2.500% Notes due 2022, 3.000% Notes due 2024, 3.350% Notes due 2027 and 4.250% Notes due 2047.</w:t>
              </w:r>
            </w:hyperlink>
          </w:p>
        </w:tc>
        <w:tc>
          <w:tcPr>
            <w:tcW w:w="0" w:type="auto"/>
            <w:shd w:val="clear" w:color="auto" w:fill="auto"/>
            <w:tcMar>
              <w:top w:w="40" w:type="dxa"/>
              <w:left w:w="40" w:type="dxa"/>
              <w:bottom w:w="40" w:type="dxa"/>
              <w:right w:w="40" w:type="dxa"/>
            </w:tcMar>
            <w:vAlign w:val="bottom"/>
          </w:tcPr>
          <w:p w14:paraId="2A73BDD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D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D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D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D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2/9/17</w:t>
            </w:r>
          </w:p>
        </w:tc>
      </w:tr>
      <w:tr w:rsidR="00FA5565" w14:paraId="2A73BDE2" w14:textId="77777777">
        <w:tc>
          <w:tcPr>
            <w:tcW w:w="0" w:type="auto"/>
            <w:shd w:val="clear" w:color="auto" w:fill="auto"/>
            <w:tcMar>
              <w:top w:w="40" w:type="dxa"/>
              <w:left w:w="40" w:type="dxa"/>
              <w:bottom w:w="40" w:type="dxa"/>
              <w:right w:w="40" w:type="dxa"/>
            </w:tcMar>
          </w:tcPr>
          <w:p w14:paraId="2A73BDD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4.16</w:t>
            </w:r>
          </w:p>
        </w:tc>
        <w:tc>
          <w:tcPr>
            <w:tcW w:w="0" w:type="auto"/>
            <w:shd w:val="clear" w:color="auto" w:fill="auto"/>
            <w:tcMar>
              <w:top w:w="40" w:type="dxa"/>
              <w:left w:w="40" w:type="dxa"/>
              <w:bottom w:w="40" w:type="dxa"/>
              <w:right w:w="40" w:type="dxa"/>
            </w:tcMar>
            <w:vAlign w:val="bottom"/>
          </w:tcPr>
          <w:p w14:paraId="2A73BDD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DB" w14:textId="77777777" w:rsidR="00FA5565" w:rsidRDefault="00D804D1">
            <w:pPr>
              <w:ind w:hanging="240"/>
              <w:jc w:val="both"/>
              <w:textAlignment w:val="top"/>
              <w:rPr>
                <w:rFonts w:ascii="Times New Roman" w:hAnsi="Times New Roman"/>
                <w:sz w:val="18"/>
                <w:szCs w:val="18"/>
              </w:rPr>
            </w:pPr>
            <w:hyperlink r:id="rId123" w:history="1">
              <w:r>
                <w:rPr>
                  <w:rStyle w:val="a5"/>
                  <w:rFonts w:ascii="Helvetica" w:eastAsia="Helvetica" w:hAnsi="Helvetica" w:cs="Helvetica"/>
                  <w:sz w:val="18"/>
                  <w:szCs w:val="18"/>
                </w:rPr>
                <w:t>Officer’s Certificate of the Registrant, dated as of March 3, 2017, including form of global note representing 4.300% Notes due 2047.</w:t>
              </w:r>
            </w:hyperlink>
          </w:p>
        </w:tc>
        <w:tc>
          <w:tcPr>
            <w:tcW w:w="0" w:type="auto"/>
            <w:shd w:val="clear" w:color="auto" w:fill="auto"/>
            <w:tcMar>
              <w:top w:w="40" w:type="dxa"/>
              <w:left w:w="40" w:type="dxa"/>
              <w:bottom w:w="40" w:type="dxa"/>
              <w:right w:w="40" w:type="dxa"/>
            </w:tcMar>
            <w:vAlign w:val="bottom"/>
          </w:tcPr>
          <w:p w14:paraId="2A73BDD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D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D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D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E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E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3/3/17</w:t>
            </w:r>
          </w:p>
        </w:tc>
      </w:tr>
      <w:tr w:rsidR="00FA5565" w14:paraId="2A73BDEC" w14:textId="77777777">
        <w:tc>
          <w:tcPr>
            <w:tcW w:w="0" w:type="auto"/>
            <w:shd w:val="clear" w:color="auto" w:fill="auto"/>
            <w:tcMar>
              <w:top w:w="40" w:type="dxa"/>
              <w:left w:w="40" w:type="dxa"/>
              <w:bottom w:w="40" w:type="dxa"/>
              <w:right w:w="40" w:type="dxa"/>
            </w:tcMar>
          </w:tcPr>
          <w:p w14:paraId="2A73BDE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4.17</w:t>
            </w:r>
          </w:p>
        </w:tc>
        <w:tc>
          <w:tcPr>
            <w:tcW w:w="0" w:type="auto"/>
            <w:shd w:val="clear" w:color="auto" w:fill="auto"/>
            <w:tcMar>
              <w:top w:w="40" w:type="dxa"/>
              <w:left w:w="40" w:type="dxa"/>
              <w:bottom w:w="40" w:type="dxa"/>
              <w:right w:w="40" w:type="dxa"/>
            </w:tcMar>
            <w:vAlign w:val="bottom"/>
          </w:tcPr>
          <w:p w14:paraId="2A73BDE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E5" w14:textId="77777777" w:rsidR="00FA5565" w:rsidRDefault="00D804D1">
            <w:pPr>
              <w:ind w:hanging="240"/>
              <w:jc w:val="both"/>
              <w:textAlignment w:val="top"/>
              <w:rPr>
                <w:rFonts w:ascii="Times New Roman" w:hAnsi="Times New Roman"/>
                <w:sz w:val="18"/>
                <w:szCs w:val="18"/>
              </w:rPr>
            </w:pPr>
            <w:hyperlink r:id="rId124" w:history="1">
              <w:r>
                <w:rPr>
                  <w:rStyle w:val="a5"/>
                  <w:rFonts w:ascii="Helvetica" w:eastAsia="Helvetica" w:hAnsi="Helvetica" w:cs="Helvetica"/>
                  <w:sz w:val="18"/>
                  <w:szCs w:val="18"/>
                </w:rPr>
                <w:t xml:space="preserve">Officer’s Certificate of the Registrant, dated as of May 11, 2017, including forms of global notes representing the Floating Rate Notes due 2020, </w:t>
              </w:r>
              <w:r>
                <w:rPr>
                  <w:rStyle w:val="a5"/>
                  <w:rFonts w:ascii="Helvetica" w:eastAsia="Helvetica" w:hAnsi="Helvetica" w:cs="Helvetica"/>
                  <w:sz w:val="18"/>
                  <w:szCs w:val="18"/>
                </w:rPr>
                <w:t>Floating Rate Notes due 2022, 1.800% Notes due 2020, 2.300% Notes due 2022, 2.850% Notes due 2024 and 3.200% Notes due 2027.</w:t>
              </w:r>
            </w:hyperlink>
          </w:p>
        </w:tc>
        <w:tc>
          <w:tcPr>
            <w:tcW w:w="0" w:type="auto"/>
            <w:shd w:val="clear" w:color="auto" w:fill="auto"/>
            <w:tcMar>
              <w:top w:w="40" w:type="dxa"/>
              <w:left w:w="40" w:type="dxa"/>
              <w:bottom w:w="40" w:type="dxa"/>
              <w:right w:w="40" w:type="dxa"/>
            </w:tcMar>
            <w:vAlign w:val="bottom"/>
          </w:tcPr>
          <w:p w14:paraId="2A73BDE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E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E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E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E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5/11/17</w:t>
            </w:r>
          </w:p>
        </w:tc>
      </w:tr>
      <w:tr w:rsidR="00FA5565" w14:paraId="2A73BDF6" w14:textId="77777777">
        <w:tc>
          <w:tcPr>
            <w:tcW w:w="0" w:type="auto"/>
            <w:shd w:val="clear" w:color="auto" w:fill="auto"/>
            <w:tcMar>
              <w:top w:w="40" w:type="dxa"/>
              <w:left w:w="40" w:type="dxa"/>
              <w:bottom w:w="40" w:type="dxa"/>
              <w:right w:w="40" w:type="dxa"/>
            </w:tcMar>
          </w:tcPr>
          <w:p w14:paraId="2A73BDE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4.18</w:t>
            </w:r>
          </w:p>
        </w:tc>
        <w:tc>
          <w:tcPr>
            <w:tcW w:w="0" w:type="auto"/>
            <w:shd w:val="clear" w:color="auto" w:fill="auto"/>
            <w:tcMar>
              <w:top w:w="40" w:type="dxa"/>
              <w:left w:w="40" w:type="dxa"/>
              <w:bottom w:w="40" w:type="dxa"/>
              <w:right w:w="40" w:type="dxa"/>
            </w:tcMar>
            <w:vAlign w:val="bottom"/>
          </w:tcPr>
          <w:p w14:paraId="2A73BDE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EF" w14:textId="77777777" w:rsidR="00FA5565" w:rsidRDefault="00D804D1">
            <w:pPr>
              <w:ind w:hanging="240"/>
              <w:jc w:val="both"/>
              <w:textAlignment w:val="top"/>
              <w:rPr>
                <w:rFonts w:ascii="Times New Roman" w:hAnsi="Times New Roman"/>
                <w:sz w:val="18"/>
                <w:szCs w:val="18"/>
              </w:rPr>
            </w:pPr>
            <w:hyperlink r:id="rId125" w:history="1">
              <w:r>
                <w:rPr>
                  <w:rStyle w:val="a5"/>
                  <w:rFonts w:ascii="Helvetica" w:eastAsia="Helvetica" w:hAnsi="Helvetica" w:cs="Helvetica"/>
                  <w:sz w:val="18"/>
                  <w:szCs w:val="18"/>
                </w:rPr>
                <w:t>Officer’s Certificate of the Registrant, dated as of May 24, 2017, including forms of global notes representing the 0.875% Notes due 2025 and 1.375% Notes due 20</w:t>
              </w:r>
              <w:r>
                <w:rPr>
                  <w:rStyle w:val="a5"/>
                  <w:rFonts w:ascii="Helvetica" w:eastAsia="Helvetica" w:hAnsi="Helvetica" w:cs="Helvetica"/>
                  <w:sz w:val="18"/>
                  <w:szCs w:val="18"/>
                </w:rPr>
                <w:t>29.</w:t>
              </w:r>
            </w:hyperlink>
          </w:p>
        </w:tc>
        <w:tc>
          <w:tcPr>
            <w:tcW w:w="0" w:type="auto"/>
            <w:shd w:val="clear" w:color="auto" w:fill="auto"/>
            <w:tcMar>
              <w:top w:w="40" w:type="dxa"/>
              <w:left w:w="40" w:type="dxa"/>
              <w:bottom w:w="40" w:type="dxa"/>
              <w:right w:w="40" w:type="dxa"/>
            </w:tcMar>
            <w:vAlign w:val="bottom"/>
          </w:tcPr>
          <w:p w14:paraId="2A73BDF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F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F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F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F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F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5/24/17</w:t>
            </w:r>
          </w:p>
        </w:tc>
      </w:tr>
      <w:tr w:rsidR="00FA5565" w14:paraId="2A73BE00" w14:textId="77777777">
        <w:tc>
          <w:tcPr>
            <w:tcW w:w="0" w:type="auto"/>
            <w:shd w:val="clear" w:color="auto" w:fill="auto"/>
            <w:tcMar>
              <w:top w:w="40" w:type="dxa"/>
              <w:left w:w="40" w:type="dxa"/>
              <w:bottom w:w="40" w:type="dxa"/>
              <w:right w:w="40" w:type="dxa"/>
            </w:tcMar>
          </w:tcPr>
          <w:p w14:paraId="2A73BDF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4.19</w:t>
            </w:r>
          </w:p>
        </w:tc>
        <w:tc>
          <w:tcPr>
            <w:tcW w:w="0" w:type="auto"/>
            <w:shd w:val="clear" w:color="auto" w:fill="auto"/>
            <w:tcMar>
              <w:top w:w="40" w:type="dxa"/>
              <w:left w:w="40" w:type="dxa"/>
              <w:bottom w:w="40" w:type="dxa"/>
              <w:right w:w="40" w:type="dxa"/>
            </w:tcMar>
            <w:vAlign w:val="bottom"/>
          </w:tcPr>
          <w:p w14:paraId="2A73BDF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F9" w14:textId="77777777" w:rsidR="00FA5565" w:rsidRDefault="00D804D1">
            <w:pPr>
              <w:ind w:hanging="240"/>
              <w:jc w:val="both"/>
              <w:textAlignment w:val="top"/>
              <w:rPr>
                <w:rFonts w:ascii="Times New Roman" w:hAnsi="Times New Roman"/>
                <w:sz w:val="18"/>
                <w:szCs w:val="18"/>
              </w:rPr>
            </w:pPr>
            <w:hyperlink r:id="rId126" w:history="1">
              <w:r>
                <w:rPr>
                  <w:rStyle w:val="a5"/>
                  <w:rFonts w:ascii="Helvetica" w:eastAsia="Helvetica" w:hAnsi="Helvetica" w:cs="Helvetica"/>
                  <w:sz w:val="18"/>
                  <w:szCs w:val="18"/>
                </w:rPr>
                <w:t xml:space="preserve">Officer’s Certificate of the Registrant, dated as of June 20, 2017, including form of global note representing the </w:t>
              </w:r>
              <w:r>
                <w:rPr>
                  <w:rStyle w:val="a5"/>
                  <w:rFonts w:ascii="Helvetica" w:eastAsia="Helvetica" w:hAnsi="Helvetica" w:cs="Helvetica"/>
                  <w:sz w:val="18"/>
                  <w:szCs w:val="18"/>
                </w:rPr>
                <w:t>3.000% Notes due 2027.</w:t>
              </w:r>
            </w:hyperlink>
          </w:p>
        </w:tc>
        <w:tc>
          <w:tcPr>
            <w:tcW w:w="0" w:type="auto"/>
            <w:shd w:val="clear" w:color="auto" w:fill="auto"/>
            <w:tcMar>
              <w:top w:w="40" w:type="dxa"/>
              <w:left w:w="40" w:type="dxa"/>
              <w:bottom w:w="40" w:type="dxa"/>
              <w:right w:w="40" w:type="dxa"/>
            </w:tcMar>
            <w:vAlign w:val="bottom"/>
          </w:tcPr>
          <w:p w14:paraId="2A73BDF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F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DF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F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DF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DF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6/20/17</w:t>
            </w:r>
          </w:p>
        </w:tc>
      </w:tr>
      <w:tr w:rsidR="00FA5565" w14:paraId="2A73BE0A" w14:textId="77777777">
        <w:tc>
          <w:tcPr>
            <w:tcW w:w="0" w:type="auto"/>
            <w:shd w:val="clear" w:color="auto" w:fill="auto"/>
            <w:tcMar>
              <w:top w:w="40" w:type="dxa"/>
              <w:left w:w="40" w:type="dxa"/>
              <w:bottom w:w="40" w:type="dxa"/>
              <w:right w:w="40" w:type="dxa"/>
            </w:tcMar>
          </w:tcPr>
          <w:p w14:paraId="2A73BE0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4.20</w:t>
            </w:r>
          </w:p>
        </w:tc>
        <w:tc>
          <w:tcPr>
            <w:tcW w:w="0" w:type="auto"/>
            <w:shd w:val="clear" w:color="auto" w:fill="auto"/>
            <w:tcMar>
              <w:top w:w="40" w:type="dxa"/>
              <w:left w:w="40" w:type="dxa"/>
              <w:bottom w:w="40" w:type="dxa"/>
              <w:right w:w="40" w:type="dxa"/>
            </w:tcMar>
            <w:vAlign w:val="bottom"/>
          </w:tcPr>
          <w:p w14:paraId="2A73BE0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03" w14:textId="77777777" w:rsidR="00FA5565" w:rsidRDefault="00D804D1">
            <w:pPr>
              <w:ind w:hanging="240"/>
              <w:jc w:val="both"/>
              <w:textAlignment w:val="top"/>
              <w:rPr>
                <w:rFonts w:ascii="Times New Roman" w:hAnsi="Times New Roman"/>
                <w:sz w:val="18"/>
                <w:szCs w:val="18"/>
              </w:rPr>
            </w:pPr>
            <w:hyperlink r:id="rId127" w:history="1">
              <w:r>
                <w:rPr>
                  <w:rStyle w:val="a5"/>
                  <w:rFonts w:ascii="Helvetica" w:eastAsia="Helvetica" w:hAnsi="Helvetica" w:cs="Helvetica"/>
                  <w:sz w:val="18"/>
                  <w:szCs w:val="18"/>
                </w:rPr>
                <w:t xml:space="preserve">Officer’s Certificate of the Registrant, dated as of August 18, 2017, including form of global note </w:t>
              </w:r>
              <w:r>
                <w:rPr>
                  <w:rStyle w:val="a5"/>
                  <w:rFonts w:ascii="Helvetica" w:eastAsia="Helvetica" w:hAnsi="Helvetica" w:cs="Helvetica"/>
                  <w:sz w:val="18"/>
                  <w:szCs w:val="18"/>
                </w:rPr>
                <w:t>representing the 2.513% Notes due 2024.</w:t>
              </w:r>
            </w:hyperlink>
          </w:p>
        </w:tc>
        <w:tc>
          <w:tcPr>
            <w:tcW w:w="0" w:type="auto"/>
            <w:shd w:val="clear" w:color="auto" w:fill="auto"/>
            <w:tcMar>
              <w:top w:w="40" w:type="dxa"/>
              <w:left w:w="40" w:type="dxa"/>
              <w:bottom w:w="40" w:type="dxa"/>
              <w:right w:w="40" w:type="dxa"/>
            </w:tcMar>
            <w:vAlign w:val="bottom"/>
          </w:tcPr>
          <w:p w14:paraId="2A73BE0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0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E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0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E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0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8/18/17</w:t>
            </w:r>
          </w:p>
        </w:tc>
      </w:tr>
      <w:tr w:rsidR="00FA5565" w14:paraId="2A73BE14" w14:textId="77777777">
        <w:tc>
          <w:tcPr>
            <w:tcW w:w="0" w:type="auto"/>
            <w:shd w:val="clear" w:color="auto" w:fill="auto"/>
            <w:tcMar>
              <w:top w:w="40" w:type="dxa"/>
              <w:left w:w="40" w:type="dxa"/>
              <w:bottom w:w="40" w:type="dxa"/>
              <w:right w:w="40" w:type="dxa"/>
            </w:tcMar>
          </w:tcPr>
          <w:p w14:paraId="2A73BE0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4.21</w:t>
            </w:r>
          </w:p>
        </w:tc>
        <w:tc>
          <w:tcPr>
            <w:tcW w:w="0" w:type="auto"/>
            <w:shd w:val="clear" w:color="auto" w:fill="auto"/>
            <w:tcMar>
              <w:top w:w="40" w:type="dxa"/>
              <w:left w:w="40" w:type="dxa"/>
              <w:bottom w:w="40" w:type="dxa"/>
              <w:right w:w="40" w:type="dxa"/>
            </w:tcMar>
            <w:vAlign w:val="bottom"/>
          </w:tcPr>
          <w:p w14:paraId="2A73BE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0D" w14:textId="77777777" w:rsidR="00FA5565" w:rsidRDefault="00D804D1">
            <w:pPr>
              <w:ind w:hanging="240"/>
              <w:jc w:val="both"/>
              <w:textAlignment w:val="top"/>
              <w:rPr>
                <w:rFonts w:ascii="Times New Roman" w:hAnsi="Times New Roman"/>
                <w:sz w:val="18"/>
                <w:szCs w:val="18"/>
              </w:rPr>
            </w:pPr>
            <w:hyperlink r:id="rId128" w:history="1">
              <w:r>
                <w:rPr>
                  <w:rStyle w:val="a5"/>
                  <w:rFonts w:ascii="Helvetica" w:eastAsia="Helvetica" w:hAnsi="Helvetica" w:cs="Helvetica"/>
                  <w:sz w:val="18"/>
                  <w:szCs w:val="18"/>
                </w:rPr>
                <w:t>Officer’s Certificate of the Registrant, dated as of September 12, 2017, including forms of global notes representing the 1.500% Notes due 2019, 2.100% Notes due</w:t>
              </w:r>
              <w:r>
                <w:rPr>
                  <w:rStyle w:val="a5"/>
                  <w:rFonts w:ascii="Helvetica" w:eastAsia="Helvetica" w:hAnsi="Helvetica" w:cs="Helvetica"/>
                  <w:sz w:val="18"/>
                  <w:szCs w:val="18"/>
                </w:rPr>
                <w:t xml:space="preserve"> 2022, 2.900% Notes due 2027 and 3.750% Notes due 2047.</w:t>
              </w:r>
            </w:hyperlink>
          </w:p>
        </w:tc>
        <w:tc>
          <w:tcPr>
            <w:tcW w:w="0" w:type="auto"/>
            <w:shd w:val="clear" w:color="auto" w:fill="auto"/>
            <w:tcMar>
              <w:top w:w="40" w:type="dxa"/>
              <w:left w:w="40" w:type="dxa"/>
              <w:bottom w:w="40" w:type="dxa"/>
              <w:right w:w="40" w:type="dxa"/>
            </w:tcMar>
            <w:vAlign w:val="bottom"/>
          </w:tcPr>
          <w:p w14:paraId="2A73BE0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0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E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1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E1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1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9/12/17</w:t>
            </w:r>
          </w:p>
        </w:tc>
      </w:tr>
      <w:tr w:rsidR="00FA5565" w14:paraId="2A73BE1E" w14:textId="77777777">
        <w:tc>
          <w:tcPr>
            <w:tcW w:w="0" w:type="auto"/>
            <w:shd w:val="clear" w:color="auto" w:fill="auto"/>
            <w:tcMar>
              <w:top w:w="40" w:type="dxa"/>
              <w:left w:w="40" w:type="dxa"/>
              <w:bottom w:w="40" w:type="dxa"/>
              <w:right w:w="40" w:type="dxa"/>
            </w:tcMar>
          </w:tcPr>
          <w:p w14:paraId="2A73BE1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4.22</w:t>
            </w:r>
          </w:p>
        </w:tc>
        <w:tc>
          <w:tcPr>
            <w:tcW w:w="0" w:type="auto"/>
            <w:shd w:val="clear" w:color="auto" w:fill="auto"/>
            <w:tcMar>
              <w:top w:w="40" w:type="dxa"/>
              <w:left w:w="40" w:type="dxa"/>
              <w:bottom w:w="40" w:type="dxa"/>
              <w:right w:w="40" w:type="dxa"/>
            </w:tcMar>
            <w:vAlign w:val="bottom"/>
          </w:tcPr>
          <w:p w14:paraId="2A73BE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17" w14:textId="77777777" w:rsidR="00FA5565" w:rsidRDefault="00D804D1">
            <w:pPr>
              <w:ind w:hanging="240"/>
              <w:jc w:val="both"/>
              <w:textAlignment w:val="top"/>
              <w:rPr>
                <w:rFonts w:ascii="Times New Roman" w:hAnsi="Times New Roman"/>
                <w:sz w:val="18"/>
                <w:szCs w:val="18"/>
              </w:rPr>
            </w:pPr>
            <w:hyperlink r:id="rId129" w:history="1">
              <w:r>
                <w:rPr>
                  <w:rStyle w:val="a5"/>
                  <w:rFonts w:ascii="Helvetica" w:eastAsia="Helvetica" w:hAnsi="Helvetica" w:cs="Helvetica"/>
                  <w:sz w:val="18"/>
                  <w:szCs w:val="18"/>
                </w:rPr>
                <w:t xml:space="preserve">Officer’s Certificate of the Registrant, dated as of November 13, 2017, including forms of global notes representing the 1.800% Notes due 2019, 2.000% Notes due </w:t>
              </w:r>
              <w:r>
                <w:rPr>
                  <w:rStyle w:val="a5"/>
                  <w:rFonts w:ascii="Helvetica" w:eastAsia="Helvetica" w:hAnsi="Helvetica" w:cs="Helvetica"/>
                  <w:sz w:val="18"/>
                  <w:szCs w:val="18"/>
                </w:rPr>
                <w:t>2020, 2.400% Notes due 2023, 2.750% Notes due 2025, 3.000% Notes due 2027 and 3.750% Notes due 2047.</w:t>
              </w:r>
            </w:hyperlink>
          </w:p>
        </w:tc>
        <w:tc>
          <w:tcPr>
            <w:tcW w:w="0" w:type="auto"/>
            <w:shd w:val="clear" w:color="auto" w:fill="auto"/>
            <w:tcMar>
              <w:top w:w="40" w:type="dxa"/>
              <w:left w:w="40" w:type="dxa"/>
              <w:bottom w:w="40" w:type="dxa"/>
              <w:right w:w="40" w:type="dxa"/>
            </w:tcMar>
            <w:vAlign w:val="bottom"/>
          </w:tcPr>
          <w:p w14:paraId="2A73BE1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1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E1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1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E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1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11/13/17</w:t>
            </w:r>
          </w:p>
        </w:tc>
      </w:tr>
      <w:tr w:rsidR="00FA5565" w14:paraId="2A73BE28" w14:textId="77777777">
        <w:tc>
          <w:tcPr>
            <w:tcW w:w="0" w:type="auto"/>
            <w:shd w:val="clear" w:color="auto" w:fill="auto"/>
            <w:tcMar>
              <w:top w:w="40" w:type="dxa"/>
              <w:left w:w="40" w:type="dxa"/>
              <w:bottom w:w="40" w:type="dxa"/>
              <w:right w:w="40" w:type="dxa"/>
            </w:tcMar>
          </w:tcPr>
          <w:p w14:paraId="2A73BE1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4.23</w:t>
            </w:r>
          </w:p>
        </w:tc>
        <w:tc>
          <w:tcPr>
            <w:tcW w:w="0" w:type="auto"/>
            <w:shd w:val="clear" w:color="auto" w:fill="auto"/>
            <w:tcMar>
              <w:top w:w="40" w:type="dxa"/>
              <w:left w:w="40" w:type="dxa"/>
              <w:bottom w:w="40" w:type="dxa"/>
              <w:right w:w="40" w:type="dxa"/>
            </w:tcMar>
            <w:vAlign w:val="bottom"/>
          </w:tcPr>
          <w:p w14:paraId="2A73BE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21" w14:textId="77777777" w:rsidR="00FA5565" w:rsidRDefault="00D804D1">
            <w:pPr>
              <w:ind w:hanging="240"/>
              <w:jc w:val="both"/>
              <w:textAlignment w:val="top"/>
              <w:rPr>
                <w:rFonts w:ascii="Times New Roman" w:hAnsi="Times New Roman"/>
                <w:sz w:val="18"/>
                <w:szCs w:val="18"/>
              </w:rPr>
            </w:pPr>
            <w:hyperlink r:id="rId130" w:history="1">
              <w:r>
                <w:rPr>
                  <w:rStyle w:val="a5"/>
                  <w:rFonts w:ascii="Helvetica" w:eastAsia="Helvetica" w:hAnsi="Helvetica" w:cs="Helvetica"/>
                  <w:sz w:val="18"/>
                  <w:szCs w:val="18"/>
                </w:rPr>
                <w:t>Indenture, dated as of November 5, 2018, between the Registrant and The Bank of New York Mellon Trust Company, N.A., as Trustee.</w:t>
              </w:r>
            </w:hyperlink>
          </w:p>
        </w:tc>
        <w:tc>
          <w:tcPr>
            <w:tcW w:w="0" w:type="auto"/>
            <w:shd w:val="clear" w:color="auto" w:fill="auto"/>
            <w:tcMar>
              <w:top w:w="40" w:type="dxa"/>
              <w:left w:w="40" w:type="dxa"/>
              <w:bottom w:w="40" w:type="dxa"/>
              <w:right w:w="40" w:type="dxa"/>
            </w:tcMar>
            <w:vAlign w:val="bottom"/>
          </w:tcPr>
          <w:p w14:paraId="2A73BE2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2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S-3</w:t>
            </w:r>
          </w:p>
        </w:tc>
        <w:tc>
          <w:tcPr>
            <w:tcW w:w="0" w:type="auto"/>
            <w:shd w:val="clear" w:color="auto" w:fill="auto"/>
            <w:tcMar>
              <w:top w:w="40" w:type="dxa"/>
              <w:left w:w="40" w:type="dxa"/>
              <w:bottom w:w="40" w:type="dxa"/>
              <w:right w:w="40" w:type="dxa"/>
            </w:tcMar>
            <w:vAlign w:val="bottom"/>
          </w:tcPr>
          <w:p w14:paraId="2A73BE2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2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E2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2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11/5/18</w:t>
            </w:r>
          </w:p>
        </w:tc>
      </w:tr>
      <w:tr w:rsidR="00FA5565" w14:paraId="2A73BE32" w14:textId="77777777">
        <w:tc>
          <w:tcPr>
            <w:tcW w:w="0" w:type="auto"/>
            <w:shd w:val="clear" w:color="auto" w:fill="auto"/>
            <w:tcMar>
              <w:top w:w="40" w:type="dxa"/>
              <w:left w:w="40" w:type="dxa"/>
              <w:bottom w:w="40" w:type="dxa"/>
              <w:right w:w="40" w:type="dxa"/>
            </w:tcMar>
          </w:tcPr>
          <w:p w14:paraId="2A73BE2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4.24</w:t>
            </w:r>
          </w:p>
        </w:tc>
        <w:tc>
          <w:tcPr>
            <w:tcW w:w="0" w:type="auto"/>
            <w:shd w:val="clear" w:color="auto" w:fill="auto"/>
            <w:tcMar>
              <w:top w:w="40" w:type="dxa"/>
              <w:left w:w="40" w:type="dxa"/>
              <w:bottom w:w="40" w:type="dxa"/>
              <w:right w:w="40" w:type="dxa"/>
            </w:tcMar>
            <w:vAlign w:val="bottom"/>
          </w:tcPr>
          <w:p w14:paraId="2A73BE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2B" w14:textId="77777777" w:rsidR="00FA5565" w:rsidRDefault="00D804D1">
            <w:pPr>
              <w:ind w:hanging="240"/>
              <w:jc w:val="both"/>
              <w:textAlignment w:val="top"/>
              <w:rPr>
                <w:rFonts w:ascii="Times New Roman" w:hAnsi="Times New Roman"/>
                <w:sz w:val="18"/>
                <w:szCs w:val="18"/>
              </w:rPr>
            </w:pPr>
            <w:hyperlink r:id="rId131" w:history="1">
              <w:r>
                <w:rPr>
                  <w:rStyle w:val="a5"/>
                  <w:rFonts w:ascii="Helvetica" w:eastAsia="Helvetica" w:hAnsi="Helvetica" w:cs="Helvetica"/>
                  <w:sz w:val="18"/>
                  <w:szCs w:val="18"/>
                </w:rPr>
                <w:t xml:space="preserve">Officer’s Certificate of the Registrant, dated as of September 11, 2019, including forms of global notes representing the 1.700% Notes due 2022, </w:t>
              </w:r>
              <w:r>
                <w:rPr>
                  <w:rStyle w:val="a5"/>
                  <w:rFonts w:ascii="Helvetica" w:eastAsia="Helvetica" w:hAnsi="Helvetica" w:cs="Helvetica"/>
                  <w:sz w:val="18"/>
                  <w:szCs w:val="18"/>
                </w:rPr>
                <w:t>1.800% Notes due 2024, 2.050% Notes due 2026, 2.200% Notes due 2029 and 2.950% Notes due 2049.</w:t>
              </w:r>
            </w:hyperlink>
          </w:p>
        </w:tc>
        <w:tc>
          <w:tcPr>
            <w:tcW w:w="0" w:type="auto"/>
            <w:shd w:val="clear" w:color="auto" w:fill="auto"/>
            <w:tcMar>
              <w:top w:w="40" w:type="dxa"/>
              <w:left w:w="40" w:type="dxa"/>
              <w:bottom w:w="40" w:type="dxa"/>
              <w:right w:w="40" w:type="dxa"/>
            </w:tcMar>
            <w:vAlign w:val="bottom"/>
          </w:tcPr>
          <w:p w14:paraId="2A73BE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2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E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2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E3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3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9/11/19</w:t>
            </w:r>
          </w:p>
        </w:tc>
      </w:tr>
      <w:tr w:rsidR="00FA5565" w14:paraId="2A73BE3C" w14:textId="77777777">
        <w:tc>
          <w:tcPr>
            <w:tcW w:w="0" w:type="auto"/>
            <w:shd w:val="clear" w:color="auto" w:fill="auto"/>
            <w:tcMar>
              <w:top w:w="40" w:type="dxa"/>
              <w:left w:w="40" w:type="dxa"/>
              <w:bottom w:w="40" w:type="dxa"/>
              <w:right w:w="40" w:type="dxa"/>
            </w:tcMar>
          </w:tcPr>
          <w:p w14:paraId="2A73BE3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4.25*</w:t>
            </w:r>
          </w:p>
        </w:tc>
        <w:tc>
          <w:tcPr>
            <w:tcW w:w="0" w:type="auto"/>
            <w:shd w:val="clear" w:color="auto" w:fill="auto"/>
            <w:tcMar>
              <w:top w:w="40" w:type="dxa"/>
              <w:left w:w="40" w:type="dxa"/>
              <w:bottom w:w="40" w:type="dxa"/>
              <w:right w:w="40" w:type="dxa"/>
            </w:tcMar>
            <w:vAlign w:val="bottom"/>
          </w:tcPr>
          <w:p w14:paraId="2A73BE3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35" w14:textId="77777777" w:rsidR="00FA5565" w:rsidRDefault="00D804D1">
            <w:pPr>
              <w:ind w:hanging="240"/>
              <w:jc w:val="both"/>
              <w:textAlignment w:val="top"/>
              <w:rPr>
                <w:rFonts w:ascii="Times New Roman" w:hAnsi="Times New Roman"/>
                <w:sz w:val="18"/>
                <w:szCs w:val="18"/>
              </w:rPr>
            </w:pPr>
            <w:hyperlink r:id="rId132" w:history="1">
              <w:r>
                <w:rPr>
                  <w:rStyle w:val="a5"/>
                  <w:rFonts w:ascii="Helvetica" w:eastAsia="Helvetica" w:hAnsi="Helvetica" w:cs="Helvetica"/>
                  <w:sz w:val="18"/>
                  <w:szCs w:val="18"/>
                </w:rPr>
                <w:t>Apple Inc. Deferred Compensation Plan.</w:t>
              </w:r>
            </w:hyperlink>
          </w:p>
        </w:tc>
        <w:tc>
          <w:tcPr>
            <w:tcW w:w="0" w:type="auto"/>
            <w:shd w:val="clear" w:color="auto" w:fill="auto"/>
            <w:tcMar>
              <w:top w:w="40" w:type="dxa"/>
              <w:left w:w="40" w:type="dxa"/>
              <w:bottom w:w="40" w:type="dxa"/>
              <w:right w:w="40" w:type="dxa"/>
            </w:tcMar>
            <w:vAlign w:val="bottom"/>
          </w:tcPr>
          <w:p w14:paraId="2A73BE3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3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S-8</w:t>
            </w:r>
          </w:p>
        </w:tc>
        <w:tc>
          <w:tcPr>
            <w:tcW w:w="0" w:type="auto"/>
            <w:shd w:val="clear" w:color="auto" w:fill="auto"/>
            <w:tcMar>
              <w:top w:w="40" w:type="dxa"/>
              <w:left w:w="40" w:type="dxa"/>
              <w:bottom w:w="40" w:type="dxa"/>
              <w:right w:w="40" w:type="dxa"/>
            </w:tcMar>
            <w:vAlign w:val="bottom"/>
          </w:tcPr>
          <w:p w14:paraId="2A73BE3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3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4.1</w:t>
            </w:r>
          </w:p>
        </w:tc>
        <w:tc>
          <w:tcPr>
            <w:tcW w:w="0" w:type="auto"/>
            <w:shd w:val="clear" w:color="auto" w:fill="auto"/>
            <w:tcMar>
              <w:top w:w="40" w:type="dxa"/>
              <w:left w:w="40" w:type="dxa"/>
              <w:bottom w:w="40" w:type="dxa"/>
              <w:right w:w="40" w:type="dxa"/>
            </w:tcMar>
            <w:vAlign w:val="bottom"/>
          </w:tcPr>
          <w:p w14:paraId="2A73BE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3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8/23/18</w:t>
            </w:r>
          </w:p>
        </w:tc>
      </w:tr>
      <w:tr w:rsidR="00FA5565" w14:paraId="2A73BE46" w14:textId="77777777">
        <w:tc>
          <w:tcPr>
            <w:tcW w:w="0" w:type="auto"/>
            <w:shd w:val="clear" w:color="auto" w:fill="auto"/>
            <w:tcMar>
              <w:top w:w="40" w:type="dxa"/>
              <w:left w:w="40" w:type="dxa"/>
              <w:bottom w:w="40" w:type="dxa"/>
              <w:right w:w="40" w:type="dxa"/>
            </w:tcMar>
          </w:tcPr>
          <w:p w14:paraId="2A73BE3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w:t>
            </w:r>
          </w:p>
        </w:tc>
        <w:tc>
          <w:tcPr>
            <w:tcW w:w="0" w:type="auto"/>
            <w:shd w:val="clear" w:color="auto" w:fill="auto"/>
            <w:tcMar>
              <w:top w:w="40" w:type="dxa"/>
              <w:left w:w="40" w:type="dxa"/>
              <w:bottom w:w="40" w:type="dxa"/>
              <w:right w:w="40" w:type="dxa"/>
            </w:tcMar>
            <w:vAlign w:val="bottom"/>
          </w:tcPr>
          <w:p w14:paraId="2A73BE3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3F" w14:textId="77777777" w:rsidR="00FA5565" w:rsidRDefault="00D804D1">
            <w:pPr>
              <w:ind w:hanging="240"/>
              <w:jc w:val="both"/>
              <w:textAlignment w:val="top"/>
              <w:rPr>
                <w:rFonts w:ascii="Times New Roman" w:hAnsi="Times New Roman"/>
                <w:sz w:val="18"/>
                <w:szCs w:val="18"/>
              </w:rPr>
            </w:pPr>
            <w:hyperlink r:id="rId133" w:history="1">
              <w:r>
                <w:rPr>
                  <w:rStyle w:val="a5"/>
                  <w:rFonts w:ascii="Helvetica" w:eastAsia="Helvetica" w:hAnsi="Helvetica" w:cs="Helvetica"/>
                  <w:sz w:val="18"/>
                  <w:szCs w:val="18"/>
                </w:rPr>
                <w:t>Employee Stock Purchase Plan, as amended and restated as of March 10, 2015.</w:t>
              </w:r>
            </w:hyperlink>
          </w:p>
        </w:tc>
        <w:tc>
          <w:tcPr>
            <w:tcW w:w="0" w:type="auto"/>
            <w:shd w:val="clear" w:color="auto" w:fill="auto"/>
            <w:tcMar>
              <w:top w:w="40" w:type="dxa"/>
              <w:left w:w="40" w:type="dxa"/>
              <w:bottom w:w="40" w:type="dxa"/>
              <w:right w:w="40" w:type="dxa"/>
            </w:tcMar>
            <w:vAlign w:val="bottom"/>
          </w:tcPr>
          <w:p w14:paraId="2A73BE4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4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E4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4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w:t>
            </w:r>
          </w:p>
        </w:tc>
        <w:tc>
          <w:tcPr>
            <w:tcW w:w="0" w:type="auto"/>
            <w:shd w:val="clear" w:color="auto" w:fill="auto"/>
            <w:tcMar>
              <w:top w:w="40" w:type="dxa"/>
              <w:left w:w="40" w:type="dxa"/>
              <w:bottom w:w="40" w:type="dxa"/>
              <w:right w:w="40" w:type="dxa"/>
            </w:tcMar>
            <w:vAlign w:val="bottom"/>
          </w:tcPr>
          <w:p w14:paraId="2A73BE4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4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3/13/15</w:t>
            </w:r>
          </w:p>
        </w:tc>
      </w:tr>
      <w:tr w:rsidR="00FA5565" w14:paraId="2A73BE50" w14:textId="77777777">
        <w:tc>
          <w:tcPr>
            <w:tcW w:w="0" w:type="auto"/>
            <w:shd w:val="clear" w:color="auto" w:fill="auto"/>
            <w:tcMar>
              <w:top w:w="40" w:type="dxa"/>
              <w:left w:w="40" w:type="dxa"/>
              <w:bottom w:w="40" w:type="dxa"/>
              <w:right w:w="40" w:type="dxa"/>
            </w:tcMar>
          </w:tcPr>
          <w:p w14:paraId="2A73BE4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10.2*</w:t>
            </w:r>
          </w:p>
        </w:tc>
        <w:tc>
          <w:tcPr>
            <w:tcW w:w="0" w:type="auto"/>
            <w:shd w:val="clear" w:color="auto" w:fill="auto"/>
            <w:tcMar>
              <w:top w:w="40" w:type="dxa"/>
              <w:left w:w="40" w:type="dxa"/>
              <w:bottom w:w="40" w:type="dxa"/>
              <w:right w:w="40" w:type="dxa"/>
            </w:tcMar>
            <w:vAlign w:val="bottom"/>
          </w:tcPr>
          <w:p w14:paraId="2A73BE4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49" w14:textId="77777777" w:rsidR="00FA5565" w:rsidRDefault="00D804D1">
            <w:pPr>
              <w:ind w:hanging="240"/>
              <w:jc w:val="both"/>
              <w:textAlignment w:val="top"/>
              <w:rPr>
                <w:rFonts w:ascii="Times New Roman" w:hAnsi="Times New Roman"/>
                <w:sz w:val="18"/>
                <w:szCs w:val="18"/>
              </w:rPr>
            </w:pPr>
            <w:hyperlink r:id="rId134" w:history="1">
              <w:r>
                <w:rPr>
                  <w:rStyle w:val="a5"/>
                  <w:rFonts w:ascii="Helvetica" w:eastAsia="Helvetica" w:hAnsi="Helvetica" w:cs="Helvetica"/>
                  <w:sz w:val="18"/>
                  <w:szCs w:val="18"/>
                </w:rPr>
                <w:t>Form of Indemnification Agreement between the Registrant and each director and executive officer of the Registrant.</w:t>
              </w:r>
            </w:hyperlink>
          </w:p>
        </w:tc>
        <w:tc>
          <w:tcPr>
            <w:tcW w:w="0" w:type="auto"/>
            <w:shd w:val="clear" w:color="auto" w:fill="auto"/>
            <w:tcMar>
              <w:top w:w="40" w:type="dxa"/>
              <w:left w:w="40" w:type="dxa"/>
              <w:bottom w:w="40" w:type="dxa"/>
              <w:right w:w="40" w:type="dxa"/>
            </w:tcMar>
            <w:vAlign w:val="bottom"/>
          </w:tcPr>
          <w:p w14:paraId="2A73BE4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4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10-Q</w:t>
            </w:r>
          </w:p>
        </w:tc>
        <w:tc>
          <w:tcPr>
            <w:tcW w:w="0" w:type="auto"/>
            <w:shd w:val="clear" w:color="auto" w:fill="auto"/>
            <w:tcMar>
              <w:top w:w="40" w:type="dxa"/>
              <w:left w:w="40" w:type="dxa"/>
              <w:bottom w:w="40" w:type="dxa"/>
              <w:right w:w="40" w:type="dxa"/>
            </w:tcMar>
            <w:vAlign w:val="bottom"/>
          </w:tcPr>
          <w:p w14:paraId="2A73BE4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4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10.2</w:t>
            </w:r>
          </w:p>
        </w:tc>
        <w:tc>
          <w:tcPr>
            <w:tcW w:w="0" w:type="auto"/>
            <w:shd w:val="clear" w:color="auto" w:fill="auto"/>
            <w:tcMar>
              <w:top w:w="40" w:type="dxa"/>
              <w:left w:w="40" w:type="dxa"/>
              <w:bottom w:w="40" w:type="dxa"/>
              <w:right w:w="40" w:type="dxa"/>
            </w:tcMar>
            <w:vAlign w:val="bottom"/>
          </w:tcPr>
          <w:p w14:paraId="2A73BE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4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6/27/09</w:t>
            </w:r>
          </w:p>
        </w:tc>
      </w:tr>
      <w:tr w:rsidR="00FA5565" w14:paraId="2A73BE5A" w14:textId="77777777">
        <w:tc>
          <w:tcPr>
            <w:tcW w:w="0" w:type="auto"/>
            <w:shd w:val="clear" w:color="auto" w:fill="auto"/>
            <w:tcMar>
              <w:top w:w="40" w:type="dxa"/>
              <w:left w:w="40" w:type="dxa"/>
              <w:bottom w:w="40" w:type="dxa"/>
              <w:right w:w="40" w:type="dxa"/>
            </w:tcMar>
          </w:tcPr>
          <w:p w14:paraId="2A73BE5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10.3*</w:t>
            </w:r>
          </w:p>
        </w:tc>
        <w:tc>
          <w:tcPr>
            <w:tcW w:w="0" w:type="auto"/>
            <w:shd w:val="clear" w:color="auto" w:fill="auto"/>
            <w:tcMar>
              <w:top w:w="40" w:type="dxa"/>
              <w:left w:w="40" w:type="dxa"/>
              <w:bottom w:w="40" w:type="dxa"/>
              <w:right w:w="40" w:type="dxa"/>
            </w:tcMar>
            <w:vAlign w:val="bottom"/>
          </w:tcPr>
          <w:p w14:paraId="2A73BE5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53" w14:textId="77777777" w:rsidR="00FA5565" w:rsidRDefault="00D804D1">
            <w:pPr>
              <w:ind w:hanging="240"/>
              <w:jc w:val="both"/>
              <w:textAlignment w:val="top"/>
              <w:rPr>
                <w:rFonts w:ascii="Times New Roman" w:hAnsi="Times New Roman"/>
                <w:sz w:val="18"/>
                <w:szCs w:val="18"/>
              </w:rPr>
            </w:pPr>
            <w:hyperlink r:id="rId135" w:history="1">
              <w:r>
                <w:rPr>
                  <w:rStyle w:val="a5"/>
                  <w:rFonts w:ascii="Helvetica" w:eastAsia="Helvetica" w:hAnsi="Helvetica" w:cs="Helvetica"/>
                  <w:sz w:val="18"/>
                  <w:szCs w:val="18"/>
                </w:rPr>
                <w:t>Apple Inc. Non-Employee Director Stock Plan, as amended and restated as of February 13, 2018.</w:t>
              </w:r>
            </w:hyperlink>
          </w:p>
        </w:tc>
        <w:tc>
          <w:tcPr>
            <w:tcW w:w="0" w:type="auto"/>
            <w:shd w:val="clear" w:color="auto" w:fill="auto"/>
            <w:tcMar>
              <w:top w:w="40" w:type="dxa"/>
              <w:left w:w="40" w:type="dxa"/>
              <w:bottom w:w="40" w:type="dxa"/>
              <w:right w:w="40" w:type="dxa"/>
            </w:tcMar>
            <w:vAlign w:val="bottom"/>
          </w:tcPr>
          <w:p w14:paraId="2A73BE5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5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E5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5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w:t>
            </w:r>
          </w:p>
        </w:tc>
        <w:tc>
          <w:tcPr>
            <w:tcW w:w="0" w:type="auto"/>
            <w:shd w:val="clear" w:color="auto" w:fill="auto"/>
            <w:tcMar>
              <w:top w:w="40" w:type="dxa"/>
              <w:left w:w="40" w:type="dxa"/>
              <w:bottom w:w="40" w:type="dxa"/>
              <w:right w:w="40" w:type="dxa"/>
            </w:tcMar>
            <w:vAlign w:val="bottom"/>
          </w:tcPr>
          <w:p w14:paraId="2A73BE5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5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2/14/18</w:t>
            </w:r>
          </w:p>
        </w:tc>
      </w:tr>
      <w:tr w:rsidR="00FA5565" w14:paraId="2A73BE64" w14:textId="77777777">
        <w:tc>
          <w:tcPr>
            <w:tcW w:w="0" w:type="auto"/>
            <w:shd w:val="clear" w:color="auto" w:fill="auto"/>
            <w:tcMar>
              <w:top w:w="40" w:type="dxa"/>
              <w:left w:w="40" w:type="dxa"/>
              <w:bottom w:w="40" w:type="dxa"/>
              <w:right w:w="40" w:type="dxa"/>
            </w:tcMar>
          </w:tcPr>
          <w:p w14:paraId="2A73BE5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10.4*</w:t>
            </w:r>
          </w:p>
        </w:tc>
        <w:tc>
          <w:tcPr>
            <w:tcW w:w="0" w:type="auto"/>
            <w:shd w:val="clear" w:color="auto" w:fill="auto"/>
            <w:tcMar>
              <w:top w:w="40" w:type="dxa"/>
              <w:left w:w="40" w:type="dxa"/>
              <w:bottom w:w="40" w:type="dxa"/>
              <w:right w:w="40" w:type="dxa"/>
            </w:tcMar>
            <w:vAlign w:val="bottom"/>
          </w:tcPr>
          <w:p w14:paraId="2A73BE5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5D" w14:textId="77777777" w:rsidR="00FA5565" w:rsidRDefault="00D804D1">
            <w:pPr>
              <w:ind w:hanging="240"/>
              <w:jc w:val="both"/>
              <w:textAlignment w:val="top"/>
              <w:rPr>
                <w:rFonts w:ascii="Times New Roman" w:hAnsi="Times New Roman"/>
                <w:sz w:val="18"/>
                <w:szCs w:val="18"/>
              </w:rPr>
            </w:pPr>
            <w:hyperlink r:id="rId136" w:history="1">
              <w:r>
                <w:rPr>
                  <w:rStyle w:val="a5"/>
                  <w:rFonts w:ascii="Helvetica" w:eastAsia="Helvetica" w:hAnsi="Helvetica" w:cs="Helvetica"/>
                  <w:sz w:val="18"/>
                  <w:szCs w:val="18"/>
                </w:rPr>
                <w:t>2003 Employee Stock Plan, as amended through February 25, 2010.</w:t>
              </w:r>
            </w:hyperlink>
          </w:p>
        </w:tc>
        <w:tc>
          <w:tcPr>
            <w:tcW w:w="0" w:type="auto"/>
            <w:shd w:val="clear" w:color="auto" w:fill="auto"/>
            <w:tcMar>
              <w:top w:w="40" w:type="dxa"/>
              <w:left w:w="40" w:type="dxa"/>
              <w:bottom w:w="40" w:type="dxa"/>
              <w:right w:w="40" w:type="dxa"/>
            </w:tcMar>
            <w:vAlign w:val="bottom"/>
          </w:tcPr>
          <w:p w14:paraId="2A73BE5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5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8-K</w:t>
            </w:r>
          </w:p>
        </w:tc>
        <w:tc>
          <w:tcPr>
            <w:tcW w:w="0" w:type="auto"/>
            <w:shd w:val="clear" w:color="auto" w:fill="auto"/>
            <w:tcMar>
              <w:top w:w="40" w:type="dxa"/>
              <w:left w:w="40" w:type="dxa"/>
              <w:bottom w:w="40" w:type="dxa"/>
              <w:right w:w="40" w:type="dxa"/>
            </w:tcMar>
            <w:vAlign w:val="bottom"/>
          </w:tcPr>
          <w:p w14:paraId="2A73BE6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61"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w:t>
            </w:r>
          </w:p>
        </w:tc>
        <w:tc>
          <w:tcPr>
            <w:tcW w:w="0" w:type="auto"/>
            <w:shd w:val="clear" w:color="auto" w:fill="auto"/>
            <w:tcMar>
              <w:top w:w="40" w:type="dxa"/>
              <w:left w:w="40" w:type="dxa"/>
              <w:bottom w:w="40" w:type="dxa"/>
              <w:right w:w="40" w:type="dxa"/>
            </w:tcMar>
            <w:vAlign w:val="bottom"/>
          </w:tcPr>
          <w:p w14:paraId="2A73BE6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6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3/1/10</w:t>
            </w:r>
          </w:p>
        </w:tc>
      </w:tr>
      <w:tr w:rsidR="00FA5565" w14:paraId="2A73BE6E" w14:textId="77777777">
        <w:tc>
          <w:tcPr>
            <w:tcW w:w="0" w:type="auto"/>
            <w:shd w:val="clear" w:color="auto" w:fill="auto"/>
            <w:tcMar>
              <w:top w:w="40" w:type="dxa"/>
              <w:left w:w="40" w:type="dxa"/>
              <w:bottom w:w="40" w:type="dxa"/>
              <w:right w:w="40" w:type="dxa"/>
            </w:tcMar>
          </w:tcPr>
          <w:p w14:paraId="2A73BE6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10.5*</w:t>
            </w:r>
          </w:p>
        </w:tc>
        <w:tc>
          <w:tcPr>
            <w:tcW w:w="0" w:type="auto"/>
            <w:shd w:val="clear" w:color="auto" w:fill="auto"/>
            <w:tcMar>
              <w:top w:w="40" w:type="dxa"/>
              <w:left w:w="40" w:type="dxa"/>
              <w:bottom w:w="40" w:type="dxa"/>
              <w:right w:w="40" w:type="dxa"/>
            </w:tcMar>
            <w:vAlign w:val="bottom"/>
          </w:tcPr>
          <w:p w14:paraId="2A73BE6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67" w14:textId="77777777" w:rsidR="00FA5565" w:rsidRDefault="00D804D1">
            <w:pPr>
              <w:ind w:hanging="240"/>
              <w:jc w:val="both"/>
              <w:textAlignment w:val="top"/>
              <w:rPr>
                <w:rFonts w:ascii="Times New Roman" w:hAnsi="Times New Roman"/>
                <w:sz w:val="18"/>
                <w:szCs w:val="18"/>
              </w:rPr>
            </w:pPr>
            <w:hyperlink r:id="rId137" w:history="1">
              <w:r>
                <w:rPr>
                  <w:rStyle w:val="a5"/>
                  <w:rFonts w:ascii="Helvetica" w:eastAsia="Helvetica" w:hAnsi="Helvetica" w:cs="Helvetica"/>
                  <w:sz w:val="18"/>
                  <w:szCs w:val="18"/>
                </w:rPr>
                <w:t>Form of Restricted Stock Unit Award Agreement under 2003 Employee Stock Plan effective as of November 16, 2010.</w:t>
              </w:r>
            </w:hyperlink>
          </w:p>
        </w:tc>
        <w:tc>
          <w:tcPr>
            <w:tcW w:w="0" w:type="auto"/>
            <w:shd w:val="clear" w:color="auto" w:fill="auto"/>
            <w:tcMar>
              <w:top w:w="40" w:type="dxa"/>
              <w:left w:w="40" w:type="dxa"/>
              <w:bottom w:w="40" w:type="dxa"/>
              <w:right w:w="40" w:type="dxa"/>
            </w:tcMar>
            <w:vAlign w:val="bottom"/>
          </w:tcPr>
          <w:p w14:paraId="2A73BE6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6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10-Q</w:t>
            </w:r>
          </w:p>
        </w:tc>
        <w:tc>
          <w:tcPr>
            <w:tcW w:w="0" w:type="auto"/>
            <w:shd w:val="clear" w:color="auto" w:fill="auto"/>
            <w:tcMar>
              <w:top w:w="40" w:type="dxa"/>
              <w:left w:w="40" w:type="dxa"/>
              <w:bottom w:w="40" w:type="dxa"/>
              <w:right w:w="40" w:type="dxa"/>
            </w:tcMar>
            <w:vAlign w:val="bottom"/>
          </w:tcPr>
          <w:p w14:paraId="2A73BE6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6B"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10.10</w:t>
            </w:r>
          </w:p>
        </w:tc>
        <w:tc>
          <w:tcPr>
            <w:tcW w:w="0" w:type="auto"/>
            <w:shd w:val="clear" w:color="auto" w:fill="auto"/>
            <w:tcMar>
              <w:top w:w="40" w:type="dxa"/>
              <w:left w:w="40" w:type="dxa"/>
              <w:bottom w:w="40" w:type="dxa"/>
              <w:right w:w="40" w:type="dxa"/>
            </w:tcMar>
            <w:vAlign w:val="bottom"/>
          </w:tcPr>
          <w:p w14:paraId="2A73BE6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6D"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12/25/10</w:t>
            </w:r>
          </w:p>
        </w:tc>
      </w:tr>
      <w:tr w:rsidR="00FA5565" w14:paraId="2A73BE78" w14:textId="77777777">
        <w:tc>
          <w:tcPr>
            <w:tcW w:w="0" w:type="auto"/>
            <w:shd w:val="clear" w:color="auto" w:fill="auto"/>
            <w:tcMar>
              <w:top w:w="40" w:type="dxa"/>
              <w:left w:w="40" w:type="dxa"/>
              <w:bottom w:w="40" w:type="dxa"/>
              <w:right w:w="40" w:type="dxa"/>
            </w:tcMar>
          </w:tcPr>
          <w:p w14:paraId="2A73BE6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10.6*</w:t>
            </w:r>
          </w:p>
        </w:tc>
        <w:tc>
          <w:tcPr>
            <w:tcW w:w="0" w:type="auto"/>
            <w:shd w:val="clear" w:color="auto" w:fill="auto"/>
            <w:tcMar>
              <w:top w:w="40" w:type="dxa"/>
              <w:left w:w="40" w:type="dxa"/>
              <w:bottom w:w="40" w:type="dxa"/>
              <w:right w:w="40" w:type="dxa"/>
            </w:tcMar>
            <w:vAlign w:val="bottom"/>
          </w:tcPr>
          <w:p w14:paraId="2A73BE7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71" w14:textId="77777777" w:rsidR="00FA5565" w:rsidRDefault="00D804D1">
            <w:pPr>
              <w:ind w:hanging="240"/>
              <w:jc w:val="both"/>
              <w:textAlignment w:val="top"/>
              <w:rPr>
                <w:rFonts w:ascii="Times New Roman" w:hAnsi="Times New Roman"/>
                <w:sz w:val="18"/>
                <w:szCs w:val="18"/>
              </w:rPr>
            </w:pPr>
            <w:hyperlink r:id="rId138" w:history="1">
              <w:r>
                <w:rPr>
                  <w:rStyle w:val="a5"/>
                  <w:rFonts w:ascii="Helvetica" w:eastAsia="Helvetica" w:hAnsi="Helvetica" w:cs="Helvetica"/>
                  <w:sz w:val="18"/>
                  <w:szCs w:val="18"/>
                </w:rPr>
                <w:t>2014 Employee Stock Plan, as amended and restated as of October 1, 2017.</w:t>
              </w:r>
            </w:hyperlink>
          </w:p>
        </w:tc>
        <w:tc>
          <w:tcPr>
            <w:tcW w:w="0" w:type="auto"/>
            <w:shd w:val="clear" w:color="auto" w:fill="auto"/>
            <w:tcMar>
              <w:top w:w="40" w:type="dxa"/>
              <w:left w:w="40" w:type="dxa"/>
              <w:bottom w:w="40" w:type="dxa"/>
              <w:right w:w="40" w:type="dxa"/>
            </w:tcMar>
            <w:vAlign w:val="bottom"/>
          </w:tcPr>
          <w:p w14:paraId="2A73BE7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73"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10-K</w:t>
            </w:r>
          </w:p>
        </w:tc>
        <w:tc>
          <w:tcPr>
            <w:tcW w:w="0" w:type="auto"/>
            <w:shd w:val="clear" w:color="auto" w:fill="auto"/>
            <w:tcMar>
              <w:top w:w="40" w:type="dxa"/>
              <w:left w:w="40" w:type="dxa"/>
              <w:bottom w:w="40" w:type="dxa"/>
              <w:right w:w="40" w:type="dxa"/>
            </w:tcMar>
            <w:vAlign w:val="bottom"/>
          </w:tcPr>
          <w:p w14:paraId="2A73BE7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7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10.8</w:t>
            </w:r>
          </w:p>
        </w:tc>
        <w:tc>
          <w:tcPr>
            <w:tcW w:w="0" w:type="auto"/>
            <w:shd w:val="clear" w:color="auto" w:fill="auto"/>
            <w:tcMar>
              <w:top w:w="40" w:type="dxa"/>
              <w:left w:w="40" w:type="dxa"/>
              <w:bottom w:w="40" w:type="dxa"/>
              <w:right w:w="40" w:type="dxa"/>
            </w:tcMar>
            <w:vAlign w:val="bottom"/>
          </w:tcPr>
          <w:p w14:paraId="2A73BE7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7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9/30/17</w:t>
            </w:r>
          </w:p>
        </w:tc>
      </w:tr>
    </w:tbl>
    <w:p w14:paraId="2A73BE79" w14:textId="77777777" w:rsidR="00FA5565" w:rsidRDefault="00FA5565">
      <w:pPr>
        <w:rPr>
          <w:rFonts w:ascii="Times New Roman" w:hAnsi="Times New Roman"/>
          <w:sz w:val="20"/>
          <w:szCs w:val="20"/>
        </w:rPr>
      </w:pPr>
    </w:p>
    <w:p w14:paraId="2A73BE7A"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62</w:t>
      </w:r>
    </w:p>
    <w:p w14:paraId="2A73BE7B" w14:textId="77777777" w:rsidR="00FA5565" w:rsidRDefault="00D804D1">
      <w:r>
        <w:rPr>
          <w:rFonts w:ascii="Times New Roman" w:hAnsi="Times New Roman"/>
          <w:sz w:val="16"/>
          <w:szCs w:val="16"/>
        </w:rPr>
        <w:pict w14:anchorId="2A73C0DA">
          <v:rect id="_x0000_i1088" style="width:415.3pt;height:1.5pt" o:hralign="center" o:hrstd="t" o:hr="t" fillcolor="#a0a0a0" stroked="f"/>
        </w:pict>
      </w:r>
    </w:p>
    <w:p w14:paraId="2A73BE7C" w14:textId="77777777" w:rsidR="00FA5565" w:rsidRDefault="00FA5565">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692"/>
        <w:gridCol w:w="130"/>
        <w:gridCol w:w="5178"/>
        <w:gridCol w:w="130"/>
        <w:gridCol w:w="526"/>
        <w:gridCol w:w="130"/>
        <w:gridCol w:w="614"/>
        <w:gridCol w:w="130"/>
        <w:gridCol w:w="776"/>
      </w:tblGrid>
      <w:tr w:rsidR="00FA5565" w14:paraId="2A73BE7E" w14:textId="77777777">
        <w:tc>
          <w:tcPr>
            <w:tcW w:w="0" w:type="auto"/>
            <w:gridSpan w:val="9"/>
            <w:shd w:val="clear" w:color="auto" w:fill="auto"/>
            <w:vAlign w:val="center"/>
          </w:tcPr>
          <w:p w14:paraId="2A73BE7D" w14:textId="77777777" w:rsidR="00FA5565" w:rsidRDefault="00FA5565">
            <w:pPr>
              <w:rPr>
                <w:rFonts w:ascii="Times New Roman" w:hAnsi="Times New Roman"/>
                <w:sz w:val="20"/>
                <w:szCs w:val="20"/>
              </w:rPr>
            </w:pPr>
          </w:p>
        </w:tc>
      </w:tr>
      <w:tr w:rsidR="00FA5565" w14:paraId="2A73BE88" w14:textId="77777777">
        <w:tc>
          <w:tcPr>
            <w:tcW w:w="450" w:type="pct"/>
            <w:shd w:val="clear" w:color="auto" w:fill="auto"/>
            <w:vAlign w:val="center"/>
          </w:tcPr>
          <w:p w14:paraId="2A73BE7F" w14:textId="77777777" w:rsidR="00FA5565" w:rsidRDefault="00FA5565">
            <w:pPr>
              <w:rPr>
                <w:rFonts w:ascii="Times New Roman" w:hAnsi="Times New Roman"/>
                <w:sz w:val="20"/>
                <w:szCs w:val="20"/>
              </w:rPr>
            </w:pPr>
          </w:p>
        </w:tc>
        <w:tc>
          <w:tcPr>
            <w:tcW w:w="50" w:type="pct"/>
            <w:shd w:val="clear" w:color="auto" w:fill="auto"/>
            <w:vAlign w:val="center"/>
          </w:tcPr>
          <w:p w14:paraId="2A73BE80" w14:textId="77777777" w:rsidR="00FA5565" w:rsidRDefault="00FA5565">
            <w:pPr>
              <w:rPr>
                <w:rFonts w:ascii="Times New Roman" w:hAnsi="Times New Roman"/>
                <w:sz w:val="20"/>
                <w:szCs w:val="20"/>
              </w:rPr>
            </w:pPr>
          </w:p>
        </w:tc>
        <w:tc>
          <w:tcPr>
            <w:tcW w:w="3150" w:type="pct"/>
            <w:shd w:val="clear" w:color="auto" w:fill="auto"/>
            <w:vAlign w:val="center"/>
          </w:tcPr>
          <w:p w14:paraId="2A73BE81" w14:textId="77777777" w:rsidR="00FA5565" w:rsidRDefault="00FA5565">
            <w:pPr>
              <w:rPr>
                <w:rFonts w:ascii="Times New Roman" w:hAnsi="Times New Roman"/>
                <w:sz w:val="20"/>
                <w:szCs w:val="20"/>
              </w:rPr>
            </w:pPr>
          </w:p>
        </w:tc>
        <w:tc>
          <w:tcPr>
            <w:tcW w:w="50" w:type="pct"/>
            <w:shd w:val="clear" w:color="auto" w:fill="auto"/>
            <w:vAlign w:val="center"/>
          </w:tcPr>
          <w:p w14:paraId="2A73BE82" w14:textId="77777777" w:rsidR="00FA5565" w:rsidRDefault="00FA5565">
            <w:pPr>
              <w:rPr>
                <w:rFonts w:ascii="Times New Roman" w:hAnsi="Times New Roman"/>
                <w:sz w:val="20"/>
                <w:szCs w:val="20"/>
              </w:rPr>
            </w:pPr>
          </w:p>
        </w:tc>
        <w:tc>
          <w:tcPr>
            <w:tcW w:w="350" w:type="pct"/>
            <w:shd w:val="clear" w:color="auto" w:fill="auto"/>
            <w:vAlign w:val="center"/>
          </w:tcPr>
          <w:p w14:paraId="2A73BE83" w14:textId="77777777" w:rsidR="00FA5565" w:rsidRDefault="00FA5565">
            <w:pPr>
              <w:rPr>
                <w:rFonts w:ascii="Times New Roman" w:hAnsi="Times New Roman"/>
                <w:sz w:val="20"/>
                <w:szCs w:val="20"/>
              </w:rPr>
            </w:pPr>
          </w:p>
        </w:tc>
        <w:tc>
          <w:tcPr>
            <w:tcW w:w="50" w:type="pct"/>
            <w:shd w:val="clear" w:color="auto" w:fill="auto"/>
            <w:vAlign w:val="center"/>
          </w:tcPr>
          <w:p w14:paraId="2A73BE84" w14:textId="77777777" w:rsidR="00FA5565" w:rsidRDefault="00FA5565">
            <w:pPr>
              <w:rPr>
                <w:rFonts w:ascii="Times New Roman" w:hAnsi="Times New Roman"/>
                <w:sz w:val="20"/>
                <w:szCs w:val="20"/>
              </w:rPr>
            </w:pPr>
          </w:p>
        </w:tc>
        <w:tc>
          <w:tcPr>
            <w:tcW w:w="350" w:type="pct"/>
            <w:shd w:val="clear" w:color="auto" w:fill="auto"/>
            <w:vAlign w:val="center"/>
          </w:tcPr>
          <w:p w14:paraId="2A73BE85" w14:textId="77777777" w:rsidR="00FA5565" w:rsidRDefault="00FA5565">
            <w:pPr>
              <w:rPr>
                <w:rFonts w:ascii="Times New Roman" w:hAnsi="Times New Roman"/>
                <w:sz w:val="20"/>
                <w:szCs w:val="20"/>
              </w:rPr>
            </w:pPr>
          </w:p>
        </w:tc>
        <w:tc>
          <w:tcPr>
            <w:tcW w:w="50" w:type="pct"/>
            <w:shd w:val="clear" w:color="auto" w:fill="auto"/>
            <w:vAlign w:val="center"/>
          </w:tcPr>
          <w:p w14:paraId="2A73BE86" w14:textId="77777777" w:rsidR="00FA5565" w:rsidRDefault="00FA5565">
            <w:pPr>
              <w:rPr>
                <w:rFonts w:ascii="Times New Roman" w:hAnsi="Times New Roman"/>
                <w:sz w:val="20"/>
                <w:szCs w:val="20"/>
              </w:rPr>
            </w:pPr>
          </w:p>
        </w:tc>
        <w:tc>
          <w:tcPr>
            <w:tcW w:w="500" w:type="pct"/>
            <w:shd w:val="clear" w:color="auto" w:fill="auto"/>
            <w:vAlign w:val="center"/>
          </w:tcPr>
          <w:p w14:paraId="2A73BE87" w14:textId="77777777" w:rsidR="00FA5565" w:rsidRDefault="00FA5565">
            <w:pPr>
              <w:rPr>
                <w:rFonts w:ascii="Times New Roman" w:hAnsi="Times New Roman"/>
                <w:sz w:val="20"/>
                <w:szCs w:val="20"/>
              </w:rPr>
            </w:pPr>
          </w:p>
        </w:tc>
      </w:tr>
      <w:tr w:rsidR="00FA5565" w14:paraId="2A73BE8C" w14:textId="77777777">
        <w:tc>
          <w:tcPr>
            <w:tcW w:w="0" w:type="auto"/>
            <w:gridSpan w:val="3"/>
            <w:shd w:val="clear" w:color="auto" w:fill="auto"/>
            <w:tcMar>
              <w:top w:w="40" w:type="dxa"/>
              <w:left w:w="40" w:type="dxa"/>
              <w:bottom w:w="40" w:type="dxa"/>
              <w:right w:w="40" w:type="dxa"/>
            </w:tcMar>
            <w:vAlign w:val="bottom"/>
          </w:tcPr>
          <w:p w14:paraId="2A73BE8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8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2A73BE8B"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Incorporated by Reference</w:t>
            </w:r>
          </w:p>
        </w:tc>
      </w:tr>
      <w:tr w:rsidR="00FA5565" w14:paraId="2A73BE9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2A73BE8D"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Exhibit Number</w:t>
            </w:r>
          </w:p>
        </w:tc>
        <w:tc>
          <w:tcPr>
            <w:tcW w:w="0" w:type="auto"/>
            <w:shd w:val="clear" w:color="auto" w:fill="auto"/>
            <w:tcMar>
              <w:top w:w="40" w:type="dxa"/>
              <w:left w:w="40" w:type="dxa"/>
              <w:bottom w:w="40" w:type="dxa"/>
              <w:right w:w="40" w:type="dxa"/>
            </w:tcMar>
            <w:vAlign w:val="bottom"/>
          </w:tcPr>
          <w:p w14:paraId="2A73BE8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E8F"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Exhibit Description</w:t>
            </w:r>
          </w:p>
        </w:tc>
        <w:tc>
          <w:tcPr>
            <w:tcW w:w="0" w:type="auto"/>
            <w:shd w:val="clear" w:color="auto" w:fill="auto"/>
            <w:tcMar>
              <w:top w:w="40" w:type="dxa"/>
              <w:left w:w="40" w:type="dxa"/>
              <w:bottom w:w="40" w:type="dxa"/>
              <w:right w:w="40" w:type="dxa"/>
            </w:tcMar>
            <w:vAlign w:val="bottom"/>
          </w:tcPr>
          <w:p w14:paraId="2A73BE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E91"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Form</w:t>
            </w:r>
          </w:p>
        </w:tc>
        <w:tc>
          <w:tcPr>
            <w:tcW w:w="0" w:type="auto"/>
            <w:shd w:val="clear" w:color="auto" w:fill="auto"/>
            <w:tcMar>
              <w:top w:w="40" w:type="dxa"/>
              <w:left w:w="40" w:type="dxa"/>
              <w:bottom w:w="40" w:type="dxa"/>
              <w:right w:w="40" w:type="dxa"/>
            </w:tcMar>
            <w:vAlign w:val="bottom"/>
          </w:tcPr>
          <w:p w14:paraId="2A73BE9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E93"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Exhibit</w:t>
            </w:r>
          </w:p>
        </w:tc>
        <w:tc>
          <w:tcPr>
            <w:tcW w:w="0" w:type="auto"/>
            <w:shd w:val="clear" w:color="auto" w:fill="auto"/>
            <w:tcMar>
              <w:top w:w="40" w:type="dxa"/>
              <w:left w:w="40" w:type="dxa"/>
              <w:bottom w:w="40" w:type="dxa"/>
              <w:right w:w="40" w:type="dxa"/>
            </w:tcMar>
            <w:vAlign w:val="bottom"/>
          </w:tcPr>
          <w:p w14:paraId="2A73BE9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E95"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Filing Date/</w:t>
            </w:r>
          </w:p>
          <w:p w14:paraId="2A73BE96" w14:textId="77777777" w:rsidR="00FA5565" w:rsidRDefault="00D804D1">
            <w:pPr>
              <w:textAlignment w:val="bottom"/>
              <w:rPr>
                <w:rFonts w:ascii="Times New Roman" w:hAnsi="Times New Roman"/>
                <w:sz w:val="16"/>
                <w:szCs w:val="16"/>
              </w:rPr>
            </w:pPr>
            <w:r>
              <w:rPr>
                <w:rFonts w:ascii="Helvetica" w:eastAsia="Helvetica" w:hAnsi="Helvetica" w:cs="Helvetica"/>
                <w:b/>
                <w:bCs/>
                <w:sz w:val="16"/>
                <w:szCs w:val="16"/>
              </w:rPr>
              <w:t>Period End Date</w:t>
            </w:r>
          </w:p>
        </w:tc>
      </w:tr>
      <w:tr w:rsidR="00FA5565" w14:paraId="2A73BEA1" w14:textId="77777777">
        <w:tc>
          <w:tcPr>
            <w:tcW w:w="0" w:type="auto"/>
            <w:shd w:val="clear" w:color="auto" w:fill="auto"/>
            <w:tcMar>
              <w:top w:w="40" w:type="dxa"/>
              <w:left w:w="40" w:type="dxa"/>
              <w:bottom w:w="40" w:type="dxa"/>
              <w:right w:w="40" w:type="dxa"/>
            </w:tcMar>
          </w:tcPr>
          <w:p w14:paraId="2A73BE9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10.7*</w:t>
            </w:r>
          </w:p>
        </w:tc>
        <w:tc>
          <w:tcPr>
            <w:tcW w:w="0" w:type="auto"/>
            <w:shd w:val="clear" w:color="auto" w:fill="auto"/>
            <w:tcMar>
              <w:top w:w="40" w:type="dxa"/>
              <w:left w:w="40" w:type="dxa"/>
              <w:bottom w:w="40" w:type="dxa"/>
              <w:right w:w="40" w:type="dxa"/>
            </w:tcMar>
            <w:vAlign w:val="bottom"/>
          </w:tcPr>
          <w:p w14:paraId="2A73BE9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9A" w14:textId="77777777" w:rsidR="00FA5565" w:rsidRDefault="00D804D1">
            <w:pPr>
              <w:ind w:hanging="240"/>
              <w:jc w:val="both"/>
              <w:textAlignment w:val="top"/>
              <w:rPr>
                <w:rFonts w:ascii="Times New Roman" w:hAnsi="Times New Roman"/>
                <w:sz w:val="18"/>
                <w:szCs w:val="18"/>
              </w:rPr>
            </w:pPr>
            <w:hyperlink r:id="rId139" w:history="1">
              <w:r>
                <w:rPr>
                  <w:rStyle w:val="a5"/>
                  <w:rFonts w:ascii="Helvetica" w:eastAsia="Helvetica" w:hAnsi="Helvetica" w:cs="Helvetica"/>
                  <w:sz w:val="18"/>
                  <w:szCs w:val="18"/>
                </w:rPr>
                <w:t>Form of Amendment, effective as of August 26, 2014, to Restricted Stock Unit Award Agreements and Performance Award Agreements outstanding as of August 26, 201</w:t>
              </w:r>
              <w:r>
                <w:rPr>
                  <w:rStyle w:val="a5"/>
                  <w:rFonts w:ascii="Helvetica" w:eastAsia="Helvetica" w:hAnsi="Helvetica" w:cs="Helvetica"/>
                  <w:sz w:val="18"/>
                  <w:szCs w:val="18"/>
                </w:rPr>
                <w:t>4.</w:t>
              </w:r>
            </w:hyperlink>
          </w:p>
        </w:tc>
        <w:tc>
          <w:tcPr>
            <w:tcW w:w="0" w:type="auto"/>
            <w:shd w:val="clear" w:color="auto" w:fill="auto"/>
            <w:tcMar>
              <w:top w:w="40" w:type="dxa"/>
              <w:left w:w="40" w:type="dxa"/>
              <w:bottom w:w="40" w:type="dxa"/>
              <w:right w:w="40" w:type="dxa"/>
            </w:tcMar>
            <w:vAlign w:val="bottom"/>
          </w:tcPr>
          <w:p w14:paraId="2A73BE9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9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10-K</w:t>
            </w:r>
          </w:p>
        </w:tc>
        <w:tc>
          <w:tcPr>
            <w:tcW w:w="0" w:type="auto"/>
            <w:shd w:val="clear" w:color="auto" w:fill="auto"/>
            <w:tcMar>
              <w:top w:w="40" w:type="dxa"/>
              <w:left w:w="40" w:type="dxa"/>
              <w:bottom w:w="40" w:type="dxa"/>
              <w:right w:w="40" w:type="dxa"/>
            </w:tcMar>
            <w:vAlign w:val="bottom"/>
          </w:tcPr>
          <w:p w14:paraId="2A73BE9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9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10.13</w:t>
            </w:r>
          </w:p>
        </w:tc>
        <w:tc>
          <w:tcPr>
            <w:tcW w:w="0" w:type="auto"/>
            <w:shd w:val="clear" w:color="auto" w:fill="auto"/>
            <w:tcMar>
              <w:top w:w="40" w:type="dxa"/>
              <w:left w:w="40" w:type="dxa"/>
              <w:bottom w:w="40" w:type="dxa"/>
              <w:right w:w="40" w:type="dxa"/>
            </w:tcMar>
            <w:vAlign w:val="bottom"/>
          </w:tcPr>
          <w:p w14:paraId="2A73BE9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A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9/27/14</w:t>
            </w:r>
          </w:p>
        </w:tc>
      </w:tr>
      <w:tr w:rsidR="00FA5565" w14:paraId="2A73BEAB" w14:textId="77777777">
        <w:tc>
          <w:tcPr>
            <w:tcW w:w="0" w:type="auto"/>
            <w:shd w:val="clear" w:color="auto" w:fill="auto"/>
            <w:tcMar>
              <w:top w:w="40" w:type="dxa"/>
              <w:left w:w="40" w:type="dxa"/>
              <w:bottom w:w="40" w:type="dxa"/>
              <w:right w:w="40" w:type="dxa"/>
            </w:tcMar>
          </w:tcPr>
          <w:p w14:paraId="2A73BEA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10.8*</w:t>
            </w:r>
          </w:p>
        </w:tc>
        <w:tc>
          <w:tcPr>
            <w:tcW w:w="0" w:type="auto"/>
            <w:shd w:val="clear" w:color="auto" w:fill="auto"/>
            <w:tcMar>
              <w:top w:w="40" w:type="dxa"/>
              <w:left w:w="40" w:type="dxa"/>
              <w:bottom w:w="40" w:type="dxa"/>
              <w:right w:w="40" w:type="dxa"/>
            </w:tcMar>
            <w:vAlign w:val="bottom"/>
          </w:tcPr>
          <w:p w14:paraId="2A73BEA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A4" w14:textId="77777777" w:rsidR="00FA5565" w:rsidRDefault="00D804D1">
            <w:pPr>
              <w:ind w:hanging="240"/>
              <w:jc w:val="both"/>
              <w:textAlignment w:val="top"/>
              <w:rPr>
                <w:rFonts w:ascii="Times New Roman" w:hAnsi="Times New Roman"/>
                <w:sz w:val="18"/>
                <w:szCs w:val="18"/>
              </w:rPr>
            </w:pPr>
            <w:hyperlink r:id="rId140" w:history="1">
              <w:r>
                <w:rPr>
                  <w:rStyle w:val="a5"/>
                  <w:rFonts w:ascii="Helvetica" w:eastAsia="Helvetica" w:hAnsi="Helvetica" w:cs="Helvetica"/>
                  <w:sz w:val="18"/>
                  <w:szCs w:val="18"/>
                </w:rPr>
                <w:t>Form of Restricted Stock Unit Award Agreement under 2014 Employee Stock Plan effective as of October 5, 2015.</w:t>
              </w:r>
            </w:hyperlink>
          </w:p>
        </w:tc>
        <w:tc>
          <w:tcPr>
            <w:tcW w:w="0" w:type="auto"/>
            <w:shd w:val="clear" w:color="auto" w:fill="auto"/>
            <w:tcMar>
              <w:top w:w="40" w:type="dxa"/>
              <w:left w:w="40" w:type="dxa"/>
              <w:bottom w:w="40" w:type="dxa"/>
              <w:right w:w="40" w:type="dxa"/>
            </w:tcMar>
            <w:vAlign w:val="bottom"/>
          </w:tcPr>
          <w:p w14:paraId="2A73BEA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A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10-Q</w:t>
            </w:r>
          </w:p>
        </w:tc>
        <w:tc>
          <w:tcPr>
            <w:tcW w:w="0" w:type="auto"/>
            <w:shd w:val="clear" w:color="auto" w:fill="auto"/>
            <w:tcMar>
              <w:top w:w="40" w:type="dxa"/>
              <w:left w:w="40" w:type="dxa"/>
              <w:bottom w:w="40" w:type="dxa"/>
              <w:right w:w="40" w:type="dxa"/>
            </w:tcMar>
            <w:vAlign w:val="bottom"/>
          </w:tcPr>
          <w:p w14:paraId="2A73BEA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A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10.16</w:t>
            </w:r>
          </w:p>
        </w:tc>
        <w:tc>
          <w:tcPr>
            <w:tcW w:w="0" w:type="auto"/>
            <w:shd w:val="clear" w:color="auto" w:fill="auto"/>
            <w:tcMar>
              <w:top w:w="40" w:type="dxa"/>
              <w:left w:w="40" w:type="dxa"/>
              <w:bottom w:w="40" w:type="dxa"/>
              <w:right w:w="40" w:type="dxa"/>
            </w:tcMar>
            <w:vAlign w:val="bottom"/>
          </w:tcPr>
          <w:p w14:paraId="2A73BEA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AA"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3/26/16</w:t>
            </w:r>
          </w:p>
        </w:tc>
      </w:tr>
      <w:tr w:rsidR="00FA5565" w14:paraId="2A73BEB5" w14:textId="77777777">
        <w:tc>
          <w:tcPr>
            <w:tcW w:w="0" w:type="auto"/>
            <w:shd w:val="clear" w:color="auto" w:fill="auto"/>
            <w:tcMar>
              <w:top w:w="40" w:type="dxa"/>
              <w:left w:w="40" w:type="dxa"/>
              <w:bottom w:w="40" w:type="dxa"/>
              <w:right w:w="40" w:type="dxa"/>
            </w:tcMar>
          </w:tcPr>
          <w:p w14:paraId="2A73BEA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10.9*</w:t>
            </w:r>
          </w:p>
        </w:tc>
        <w:tc>
          <w:tcPr>
            <w:tcW w:w="0" w:type="auto"/>
            <w:shd w:val="clear" w:color="auto" w:fill="auto"/>
            <w:tcMar>
              <w:top w:w="40" w:type="dxa"/>
              <w:left w:w="40" w:type="dxa"/>
              <w:bottom w:w="40" w:type="dxa"/>
              <w:right w:w="40" w:type="dxa"/>
            </w:tcMar>
            <w:vAlign w:val="bottom"/>
          </w:tcPr>
          <w:p w14:paraId="2A73BEA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AE" w14:textId="77777777" w:rsidR="00FA5565" w:rsidRDefault="00D804D1">
            <w:pPr>
              <w:ind w:hanging="240"/>
              <w:jc w:val="both"/>
              <w:textAlignment w:val="top"/>
              <w:rPr>
                <w:rFonts w:ascii="Times New Roman" w:hAnsi="Times New Roman"/>
                <w:sz w:val="18"/>
                <w:szCs w:val="18"/>
              </w:rPr>
            </w:pPr>
            <w:hyperlink r:id="rId141" w:history="1">
              <w:r>
                <w:rPr>
                  <w:rStyle w:val="a5"/>
                  <w:rFonts w:ascii="Helvetica" w:eastAsia="Helvetica" w:hAnsi="Helvetica" w:cs="Helvetica"/>
                  <w:sz w:val="18"/>
                  <w:szCs w:val="18"/>
                </w:rPr>
                <w:t>Form of Restricted Stock Unit Award Agreement under 2014 Employee Stock Plan effective as of October 14, 2016.</w:t>
              </w:r>
            </w:hyperlink>
          </w:p>
        </w:tc>
        <w:tc>
          <w:tcPr>
            <w:tcW w:w="0" w:type="auto"/>
            <w:shd w:val="clear" w:color="auto" w:fill="auto"/>
            <w:tcMar>
              <w:top w:w="40" w:type="dxa"/>
              <w:left w:w="40" w:type="dxa"/>
              <w:bottom w:w="40" w:type="dxa"/>
              <w:right w:w="40" w:type="dxa"/>
            </w:tcMar>
            <w:vAlign w:val="bottom"/>
          </w:tcPr>
          <w:p w14:paraId="2A73BEA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B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10-K</w:t>
            </w:r>
          </w:p>
        </w:tc>
        <w:tc>
          <w:tcPr>
            <w:tcW w:w="0" w:type="auto"/>
            <w:shd w:val="clear" w:color="auto" w:fill="auto"/>
            <w:tcMar>
              <w:top w:w="40" w:type="dxa"/>
              <w:left w:w="40" w:type="dxa"/>
              <w:bottom w:w="40" w:type="dxa"/>
              <w:right w:w="40" w:type="dxa"/>
            </w:tcMar>
            <w:vAlign w:val="bottom"/>
          </w:tcPr>
          <w:p w14:paraId="2A73BE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B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10.18</w:t>
            </w:r>
          </w:p>
        </w:tc>
        <w:tc>
          <w:tcPr>
            <w:tcW w:w="0" w:type="auto"/>
            <w:shd w:val="clear" w:color="auto" w:fill="auto"/>
            <w:tcMar>
              <w:top w:w="40" w:type="dxa"/>
              <w:left w:w="40" w:type="dxa"/>
              <w:bottom w:w="40" w:type="dxa"/>
              <w:right w:w="40" w:type="dxa"/>
            </w:tcMar>
            <w:vAlign w:val="bottom"/>
          </w:tcPr>
          <w:p w14:paraId="2A73BEB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B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9/24/16</w:t>
            </w:r>
          </w:p>
        </w:tc>
      </w:tr>
      <w:tr w:rsidR="00FA5565" w14:paraId="2A73BEBF" w14:textId="77777777">
        <w:tc>
          <w:tcPr>
            <w:tcW w:w="0" w:type="auto"/>
            <w:shd w:val="clear" w:color="auto" w:fill="auto"/>
            <w:tcMar>
              <w:top w:w="40" w:type="dxa"/>
              <w:left w:w="40" w:type="dxa"/>
              <w:bottom w:w="40" w:type="dxa"/>
              <w:right w:w="40" w:type="dxa"/>
            </w:tcMar>
          </w:tcPr>
          <w:p w14:paraId="2A73BEB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10.10*</w:t>
            </w:r>
          </w:p>
        </w:tc>
        <w:tc>
          <w:tcPr>
            <w:tcW w:w="0" w:type="auto"/>
            <w:shd w:val="clear" w:color="auto" w:fill="auto"/>
            <w:tcMar>
              <w:top w:w="40" w:type="dxa"/>
              <w:left w:w="40" w:type="dxa"/>
              <w:bottom w:w="40" w:type="dxa"/>
              <w:right w:w="40" w:type="dxa"/>
            </w:tcMar>
            <w:vAlign w:val="bottom"/>
          </w:tcPr>
          <w:p w14:paraId="2A73BEB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B8" w14:textId="77777777" w:rsidR="00FA5565" w:rsidRDefault="00D804D1">
            <w:pPr>
              <w:ind w:hanging="240"/>
              <w:jc w:val="both"/>
              <w:textAlignment w:val="top"/>
              <w:rPr>
                <w:rFonts w:ascii="Times New Roman" w:hAnsi="Times New Roman"/>
                <w:sz w:val="18"/>
                <w:szCs w:val="18"/>
              </w:rPr>
            </w:pPr>
            <w:hyperlink r:id="rId142" w:history="1">
              <w:r>
                <w:rPr>
                  <w:rStyle w:val="a5"/>
                  <w:rFonts w:ascii="Helvetica" w:eastAsia="Helvetica" w:hAnsi="Helvetica" w:cs="Helvetica"/>
                  <w:sz w:val="18"/>
                  <w:szCs w:val="18"/>
                </w:rPr>
                <w:t>Form of Restricted Stock Unit Award Agreement under 2014 Employee Stock Plan effective as of September 26, 2017.</w:t>
              </w:r>
            </w:hyperlink>
          </w:p>
        </w:tc>
        <w:tc>
          <w:tcPr>
            <w:tcW w:w="0" w:type="auto"/>
            <w:shd w:val="clear" w:color="auto" w:fill="auto"/>
            <w:tcMar>
              <w:top w:w="40" w:type="dxa"/>
              <w:left w:w="40" w:type="dxa"/>
              <w:bottom w:w="40" w:type="dxa"/>
              <w:right w:w="40" w:type="dxa"/>
            </w:tcMar>
            <w:vAlign w:val="bottom"/>
          </w:tcPr>
          <w:p w14:paraId="2A73BEB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BA"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10-K</w:t>
            </w:r>
          </w:p>
        </w:tc>
        <w:tc>
          <w:tcPr>
            <w:tcW w:w="0" w:type="auto"/>
            <w:shd w:val="clear" w:color="auto" w:fill="auto"/>
            <w:tcMar>
              <w:top w:w="40" w:type="dxa"/>
              <w:left w:w="40" w:type="dxa"/>
              <w:bottom w:w="40" w:type="dxa"/>
              <w:right w:w="40" w:type="dxa"/>
            </w:tcMar>
            <w:vAlign w:val="bottom"/>
          </w:tcPr>
          <w:p w14:paraId="2A73BEB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B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10.20</w:t>
            </w:r>
          </w:p>
        </w:tc>
        <w:tc>
          <w:tcPr>
            <w:tcW w:w="0" w:type="auto"/>
            <w:shd w:val="clear" w:color="auto" w:fill="auto"/>
            <w:tcMar>
              <w:top w:w="40" w:type="dxa"/>
              <w:left w:w="40" w:type="dxa"/>
              <w:bottom w:w="40" w:type="dxa"/>
              <w:right w:w="40" w:type="dxa"/>
            </w:tcMar>
            <w:vAlign w:val="bottom"/>
          </w:tcPr>
          <w:p w14:paraId="2A73BEB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B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9/30/17</w:t>
            </w:r>
          </w:p>
        </w:tc>
      </w:tr>
      <w:tr w:rsidR="00FA5565" w14:paraId="2A73BEC9" w14:textId="77777777">
        <w:tc>
          <w:tcPr>
            <w:tcW w:w="0" w:type="auto"/>
            <w:shd w:val="clear" w:color="auto" w:fill="auto"/>
            <w:tcMar>
              <w:top w:w="40" w:type="dxa"/>
              <w:left w:w="40" w:type="dxa"/>
              <w:bottom w:w="40" w:type="dxa"/>
              <w:right w:w="40" w:type="dxa"/>
            </w:tcMar>
          </w:tcPr>
          <w:p w14:paraId="2A73BEC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10.11*</w:t>
            </w:r>
          </w:p>
        </w:tc>
        <w:tc>
          <w:tcPr>
            <w:tcW w:w="0" w:type="auto"/>
            <w:shd w:val="clear" w:color="auto" w:fill="auto"/>
            <w:tcMar>
              <w:top w:w="40" w:type="dxa"/>
              <w:left w:w="40" w:type="dxa"/>
              <w:bottom w:w="40" w:type="dxa"/>
              <w:right w:w="40" w:type="dxa"/>
            </w:tcMar>
            <w:vAlign w:val="bottom"/>
          </w:tcPr>
          <w:p w14:paraId="2A73BE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C2" w14:textId="77777777" w:rsidR="00FA5565" w:rsidRDefault="00D804D1">
            <w:pPr>
              <w:ind w:hanging="240"/>
              <w:jc w:val="both"/>
              <w:textAlignment w:val="top"/>
              <w:rPr>
                <w:rFonts w:ascii="Times New Roman" w:hAnsi="Times New Roman"/>
                <w:sz w:val="18"/>
                <w:szCs w:val="18"/>
              </w:rPr>
            </w:pPr>
            <w:hyperlink r:id="rId143" w:history="1">
              <w:r>
                <w:rPr>
                  <w:rStyle w:val="a5"/>
                  <w:rFonts w:ascii="Helvetica" w:eastAsia="Helvetica" w:hAnsi="Helvetica" w:cs="Helvetica"/>
                  <w:sz w:val="18"/>
                  <w:szCs w:val="18"/>
                </w:rPr>
                <w:t>Form of Performance Award Agreement under 2014 Employee Stock Plan effective as of September 26, 2017.</w:t>
              </w:r>
            </w:hyperlink>
          </w:p>
        </w:tc>
        <w:tc>
          <w:tcPr>
            <w:tcW w:w="0" w:type="auto"/>
            <w:shd w:val="clear" w:color="auto" w:fill="auto"/>
            <w:tcMar>
              <w:top w:w="40" w:type="dxa"/>
              <w:left w:w="40" w:type="dxa"/>
              <w:bottom w:w="40" w:type="dxa"/>
              <w:right w:w="40" w:type="dxa"/>
            </w:tcMar>
            <w:vAlign w:val="bottom"/>
          </w:tcPr>
          <w:p w14:paraId="2A73BEC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C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10-K</w:t>
            </w:r>
          </w:p>
        </w:tc>
        <w:tc>
          <w:tcPr>
            <w:tcW w:w="0" w:type="auto"/>
            <w:shd w:val="clear" w:color="auto" w:fill="auto"/>
            <w:tcMar>
              <w:top w:w="40" w:type="dxa"/>
              <w:left w:w="40" w:type="dxa"/>
              <w:bottom w:w="40" w:type="dxa"/>
              <w:right w:w="40" w:type="dxa"/>
            </w:tcMar>
            <w:vAlign w:val="bottom"/>
          </w:tcPr>
          <w:p w14:paraId="2A73BEC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C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10.21</w:t>
            </w:r>
          </w:p>
        </w:tc>
        <w:tc>
          <w:tcPr>
            <w:tcW w:w="0" w:type="auto"/>
            <w:shd w:val="clear" w:color="auto" w:fill="auto"/>
            <w:tcMar>
              <w:top w:w="40" w:type="dxa"/>
              <w:left w:w="40" w:type="dxa"/>
              <w:bottom w:w="40" w:type="dxa"/>
              <w:right w:w="40" w:type="dxa"/>
            </w:tcMar>
            <w:vAlign w:val="bottom"/>
          </w:tcPr>
          <w:p w14:paraId="2A73BEC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C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9/30/17</w:t>
            </w:r>
          </w:p>
        </w:tc>
      </w:tr>
      <w:tr w:rsidR="00FA5565" w14:paraId="2A73BED3" w14:textId="77777777">
        <w:tc>
          <w:tcPr>
            <w:tcW w:w="0" w:type="auto"/>
            <w:shd w:val="clear" w:color="auto" w:fill="auto"/>
            <w:tcMar>
              <w:top w:w="40" w:type="dxa"/>
              <w:left w:w="40" w:type="dxa"/>
              <w:bottom w:w="40" w:type="dxa"/>
              <w:right w:w="40" w:type="dxa"/>
            </w:tcMar>
          </w:tcPr>
          <w:p w14:paraId="2A73BECA"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10.12*</w:t>
            </w:r>
          </w:p>
        </w:tc>
        <w:tc>
          <w:tcPr>
            <w:tcW w:w="0" w:type="auto"/>
            <w:shd w:val="clear" w:color="auto" w:fill="auto"/>
            <w:tcMar>
              <w:top w:w="40" w:type="dxa"/>
              <w:left w:w="40" w:type="dxa"/>
              <w:bottom w:w="40" w:type="dxa"/>
              <w:right w:w="40" w:type="dxa"/>
            </w:tcMar>
            <w:vAlign w:val="bottom"/>
          </w:tcPr>
          <w:p w14:paraId="2A73BEC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CC" w14:textId="77777777" w:rsidR="00FA5565" w:rsidRDefault="00D804D1">
            <w:pPr>
              <w:ind w:hanging="240"/>
              <w:jc w:val="both"/>
              <w:textAlignment w:val="top"/>
              <w:rPr>
                <w:rFonts w:ascii="Times New Roman" w:hAnsi="Times New Roman"/>
                <w:sz w:val="18"/>
                <w:szCs w:val="18"/>
              </w:rPr>
            </w:pPr>
            <w:hyperlink r:id="rId144" w:history="1">
              <w:r>
                <w:rPr>
                  <w:rStyle w:val="a5"/>
                  <w:rFonts w:ascii="Helvetica" w:eastAsia="Helvetica" w:hAnsi="Helvetica" w:cs="Helvetica"/>
                  <w:sz w:val="18"/>
                  <w:szCs w:val="18"/>
                </w:rPr>
                <w:t>Form of Restricted Stock Unit Award Agreement under Non-Employee Director Stock Plan effective as of February 13, 2018.</w:t>
              </w:r>
            </w:hyperlink>
          </w:p>
        </w:tc>
        <w:tc>
          <w:tcPr>
            <w:tcW w:w="0" w:type="auto"/>
            <w:shd w:val="clear" w:color="auto" w:fill="auto"/>
            <w:tcMar>
              <w:top w:w="40" w:type="dxa"/>
              <w:left w:w="40" w:type="dxa"/>
              <w:bottom w:w="40" w:type="dxa"/>
              <w:right w:w="40" w:type="dxa"/>
            </w:tcMar>
            <w:vAlign w:val="bottom"/>
          </w:tcPr>
          <w:p w14:paraId="2A73BEC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C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10-Q</w:t>
            </w:r>
          </w:p>
        </w:tc>
        <w:tc>
          <w:tcPr>
            <w:tcW w:w="0" w:type="auto"/>
            <w:shd w:val="clear" w:color="auto" w:fill="auto"/>
            <w:tcMar>
              <w:top w:w="40" w:type="dxa"/>
              <w:left w:w="40" w:type="dxa"/>
              <w:bottom w:w="40" w:type="dxa"/>
              <w:right w:w="40" w:type="dxa"/>
            </w:tcMar>
            <w:vAlign w:val="bottom"/>
          </w:tcPr>
          <w:p w14:paraId="2A73BE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D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10.2</w:t>
            </w:r>
          </w:p>
        </w:tc>
        <w:tc>
          <w:tcPr>
            <w:tcW w:w="0" w:type="auto"/>
            <w:shd w:val="clear" w:color="auto" w:fill="auto"/>
            <w:tcMar>
              <w:top w:w="40" w:type="dxa"/>
              <w:left w:w="40" w:type="dxa"/>
              <w:bottom w:w="40" w:type="dxa"/>
              <w:right w:w="40" w:type="dxa"/>
            </w:tcMar>
            <w:vAlign w:val="bottom"/>
          </w:tcPr>
          <w:p w14:paraId="2A73BE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D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3/31/18</w:t>
            </w:r>
          </w:p>
        </w:tc>
      </w:tr>
      <w:tr w:rsidR="00FA5565" w14:paraId="2A73BEDD" w14:textId="77777777">
        <w:tc>
          <w:tcPr>
            <w:tcW w:w="0" w:type="auto"/>
            <w:shd w:val="clear" w:color="auto" w:fill="auto"/>
            <w:tcMar>
              <w:top w:w="40" w:type="dxa"/>
              <w:left w:w="40" w:type="dxa"/>
              <w:bottom w:w="40" w:type="dxa"/>
              <w:right w:w="40" w:type="dxa"/>
            </w:tcMar>
          </w:tcPr>
          <w:p w14:paraId="2A73BED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10.13*</w:t>
            </w:r>
          </w:p>
        </w:tc>
        <w:tc>
          <w:tcPr>
            <w:tcW w:w="0" w:type="auto"/>
            <w:shd w:val="clear" w:color="auto" w:fill="auto"/>
            <w:tcMar>
              <w:top w:w="40" w:type="dxa"/>
              <w:left w:w="40" w:type="dxa"/>
              <w:bottom w:w="40" w:type="dxa"/>
              <w:right w:w="40" w:type="dxa"/>
            </w:tcMar>
            <w:vAlign w:val="bottom"/>
          </w:tcPr>
          <w:p w14:paraId="2A73BED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D6" w14:textId="77777777" w:rsidR="00FA5565" w:rsidRDefault="00D804D1">
            <w:pPr>
              <w:ind w:hanging="240"/>
              <w:jc w:val="both"/>
              <w:textAlignment w:val="top"/>
              <w:rPr>
                <w:rFonts w:ascii="Times New Roman" w:hAnsi="Times New Roman"/>
                <w:sz w:val="18"/>
                <w:szCs w:val="18"/>
              </w:rPr>
            </w:pPr>
            <w:hyperlink r:id="rId145" w:history="1">
              <w:r>
                <w:rPr>
                  <w:rStyle w:val="a5"/>
                  <w:rFonts w:ascii="Helvetica" w:eastAsia="Helvetica" w:hAnsi="Helvetica" w:cs="Helvetica"/>
                  <w:sz w:val="18"/>
                  <w:szCs w:val="18"/>
                </w:rPr>
                <w:t>Form of Restricted Stock Unit Award Agreement under 2014 Employee Stock Plan effective as of August 21, 2018.</w:t>
              </w:r>
            </w:hyperlink>
          </w:p>
        </w:tc>
        <w:tc>
          <w:tcPr>
            <w:tcW w:w="0" w:type="auto"/>
            <w:shd w:val="clear" w:color="auto" w:fill="auto"/>
            <w:tcMar>
              <w:top w:w="40" w:type="dxa"/>
              <w:left w:w="40" w:type="dxa"/>
              <w:bottom w:w="40" w:type="dxa"/>
              <w:right w:w="40" w:type="dxa"/>
            </w:tcMar>
            <w:vAlign w:val="bottom"/>
          </w:tcPr>
          <w:p w14:paraId="2A73BE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D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10-K</w:t>
            </w:r>
          </w:p>
        </w:tc>
        <w:tc>
          <w:tcPr>
            <w:tcW w:w="0" w:type="auto"/>
            <w:shd w:val="clear" w:color="auto" w:fill="auto"/>
            <w:tcMar>
              <w:top w:w="40" w:type="dxa"/>
              <w:left w:w="40" w:type="dxa"/>
              <w:bottom w:w="40" w:type="dxa"/>
              <w:right w:w="40" w:type="dxa"/>
            </w:tcMar>
            <w:vAlign w:val="bottom"/>
          </w:tcPr>
          <w:p w14:paraId="2A73BED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DA"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10.17</w:t>
            </w:r>
          </w:p>
        </w:tc>
        <w:tc>
          <w:tcPr>
            <w:tcW w:w="0" w:type="auto"/>
            <w:shd w:val="clear" w:color="auto" w:fill="auto"/>
            <w:tcMar>
              <w:top w:w="40" w:type="dxa"/>
              <w:left w:w="40" w:type="dxa"/>
              <w:bottom w:w="40" w:type="dxa"/>
              <w:right w:w="40" w:type="dxa"/>
            </w:tcMar>
            <w:vAlign w:val="bottom"/>
          </w:tcPr>
          <w:p w14:paraId="2A73BE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D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9/29/18</w:t>
            </w:r>
          </w:p>
        </w:tc>
      </w:tr>
      <w:tr w:rsidR="00FA5565" w14:paraId="2A73BEE7" w14:textId="77777777">
        <w:tc>
          <w:tcPr>
            <w:tcW w:w="0" w:type="auto"/>
            <w:shd w:val="clear" w:color="auto" w:fill="auto"/>
            <w:tcMar>
              <w:top w:w="40" w:type="dxa"/>
              <w:left w:w="40" w:type="dxa"/>
              <w:bottom w:w="40" w:type="dxa"/>
              <w:right w:w="40" w:type="dxa"/>
            </w:tcMar>
          </w:tcPr>
          <w:p w14:paraId="2A73BED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10.14*</w:t>
            </w:r>
          </w:p>
        </w:tc>
        <w:tc>
          <w:tcPr>
            <w:tcW w:w="0" w:type="auto"/>
            <w:shd w:val="clear" w:color="auto" w:fill="auto"/>
            <w:tcMar>
              <w:top w:w="40" w:type="dxa"/>
              <w:left w:w="40" w:type="dxa"/>
              <w:bottom w:w="40" w:type="dxa"/>
              <w:right w:w="40" w:type="dxa"/>
            </w:tcMar>
            <w:vAlign w:val="bottom"/>
          </w:tcPr>
          <w:p w14:paraId="2A73BED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E0" w14:textId="77777777" w:rsidR="00FA5565" w:rsidRDefault="00D804D1">
            <w:pPr>
              <w:ind w:hanging="240"/>
              <w:jc w:val="both"/>
              <w:textAlignment w:val="top"/>
              <w:rPr>
                <w:rFonts w:ascii="Times New Roman" w:hAnsi="Times New Roman"/>
                <w:sz w:val="18"/>
                <w:szCs w:val="18"/>
              </w:rPr>
            </w:pPr>
            <w:hyperlink r:id="rId146" w:history="1">
              <w:r>
                <w:rPr>
                  <w:rStyle w:val="a5"/>
                  <w:rFonts w:ascii="Helvetica" w:eastAsia="Helvetica" w:hAnsi="Helvetica" w:cs="Helvetica"/>
                  <w:sz w:val="18"/>
                  <w:szCs w:val="18"/>
                </w:rPr>
                <w:t>Form of Performance Award Agreement under 2014 Employee Stock Plan effective as of August 21, 2018.</w:t>
              </w:r>
            </w:hyperlink>
          </w:p>
        </w:tc>
        <w:tc>
          <w:tcPr>
            <w:tcW w:w="0" w:type="auto"/>
            <w:shd w:val="clear" w:color="auto" w:fill="auto"/>
            <w:tcMar>
              <w:top w:w="40" w:type="dxa"/>
              <w:left w:w="40" w:type="dxa"/>
              <w:bottom w:w="40" w:type="dxa"/>
              <w:right w:w="40" w:type="dxa"/>
            </w:tcMar>
            <w:vAlign w:val="bottom"/>
          </w:tcPr>
          <w:p w14:paraId="2A73BE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E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10-K</w:t>
            </w:r>
          </w:p>
        </w:tc>
        <w:tc>
          <w:tcPr>
            <w:tcW w:w="0" w:type="auto"/>
            <w:shd w:val="clear" w:color="auto" w:fill="auto"/>
            <w:tcMar>
              <w:top w:w="40" w:type="dxa"/>
              <w:left w:w="40" w:type="dxa"/>
              <w:bottom w:w="40" w:type="dxa"/>
              <w:right w:w="40" w:type="dxa"/>
            </w:tcMar>
            <w:vAlign w:val="bottom"/>
          </w:tcPr>
          <w:p w14:paraId="2A73BEE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E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10.18</w:t>
            </w:r>
          </w:p>
        </w:tc>
        <w:tc>
          <w:tcPr>
            <w:tcW w:w="0" w:type="auto"/>
            <w:shd w:val="clear" w:color="auto" w:fill="auto"/>
            <w:tcMar>
              <w:top w:w="40" w:type="dxa"/>
              <w:left w:w="40" w:type="dxa"/>
              <w:bottom w:w="40" w:type="dxa"/>
              <w:right w:w="40" w:type="dxa"/>
            </w:tcMar>
            <w:vAlign w:val="bottom"/>
          </w:tcPr>
          <w:p w14:paraId="2A73BEE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E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9/29/18</w:t>
            </w:r>
          </w:p>
        </w:tc>
      </w:tr>
      <w:tr w:rsidR="00FA5565" w14:paraId="2A73BEF1" w14:textId="77777777">
        <w:tc>
          <w:tcPr>
            <w:tcW w:w="0" w:type="auto"/>
            <w:shd w:val="clear" w:color="auto" w:fill="auto"/>
            <w:tcMar>
              <w:top w:w="40" w:type="dxa"/>
              <w:left w:w="40" w:type="dxa"/>
              <w:bottom w:w="40" w:type="dxa"/>
              <w:right w:w="40" w:type="dxa"/>
            </w:tcMar>
          </w:tcPr>
          <w:p w14:paraId="2A73BEE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10.15*, **</w:t>
            </w:r>
          </w:p>
        </w:tc>
        <w:tc>
          <w:tcPr>
            <w:tcW w:w="0" w:type="auto"/>
            <w:shd w:val="clear" w:color="auto" w:fill="auto"/>
            <w:tcMar>
              <w:top w:w="40" w:type="dxa"/>
              <w:left w:w="40" w:type="dxa"/>
              <w:bottom w:w="40" w:type="dxa"/>
              <w:right w:w="40" w:type="dxa"/>
            </w:tcMar>
            <w:vAlign w:val="bottom"/>
          </w:tcPr>
          <w:p w14:paraId="2A73BEE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EA" w14:textId="77777777" w:rsidR="00FA5565" w:rsidRDefault="00D804D1">
            <w:pPr>
              <w:ind w:hanging="240"/>
              <w:jc w:val="both"/>
              <w:textAlignment w:val="top"/>
              <w:rPr>
                <w:rFonts w:ascii="Times New Roman" w:hAnsi="Times New Roman"/>
                <w:sz w:val="18"/>
                <w:szCs w:val="18"/>
              </w:rPr>
            </w:pPr>
            <w:hyperlink r:id="rId147" w:history="1">
              <w:r>
                <w:rPr>
                  <w:rStyle w:val="a5"/>
                  <w:rFonts w:ascii="Helvetica" w:eastAsia="Helvetica" w:hAnsi="Helvetica" w:cs="Helvetica"/>
                  <w:sz w:val="18"/>
                  <w:szCs w:val="18"/>
                </w:rPr>
                <w:t>Form of Restricted Stock Unit Award Agreement under 2014 Employee Stock Plan effective as of September 29, 2019.</w:t>
              </w:r>
            </w:hyperlink>
          </w:p>
        </w:tc>
        <w:tc>
          <w:tcPr>
            <w:tcW w:w="0" w:type="auto"/>
            <w:shd w:val="clear" w:color="auto" w:fill="auto"/>
            <w:tcMar>
              <w:top w:w="40" w:type="dxa"/>
              <w:left w:w="40" w:type="dxa"/>
              <w:bottom w:w="40" w:type="dxa"/>
              <w:right w:w="40" w:type="dxa"/>
            </w:tcMar>
            <w:vAlign w:val="bottom"/>
          </w:tcPr>
          <w:p w14:paraId="2A73BEE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E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E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E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E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F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EFB" w14:textId="77777777">
        <w:tc>
          <w:tcPr>
            <w:tcW w:w="0" w:type="auto"/>
            <w:shd w:val="clear" w:color="auto" w:fill="auto"/>
            <w:tcMar>
              <w:top w:w="40" w:type="dxa"/>
              <w:left w:w="40" w:type="dxa"/>
              <w:bottom w:w="40" w:type="dxa"/>
              <w:right w:w="40" w:type="dxa"/>
            </w:tcMar>
          </w:tcPr>
          <w:p w14:paraId="2A73BEF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10.16*, **</w:t>
            </w:r>
          </w:p>
        </w:tc>
        <w:tc>
          <w:tcPr>
            <w:tcW w:w="0" w:type="auto"/>
            <w:shd w:val="clear" w:color="auto" w:fill="auto"/>
            <w:tcMar>
              <w:top w:w="40" w:type="dxa"/>
              <w:left w:w="40" w:type="dxa"/>
              <w:bottom w:w="40" w:type="dxa"/>
              <w:right w:w="40" w:type="dxa"/>
            </w:tcMar>
            <w:vAlign w:val="bottom"/>
          </w:tcPr>
          <w:p w14:paraId="2A73BEF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F4" w14:textId="77777777" w:rsidR="00FA5565" w:rsidRDefault="00D804D1">
            <w:pPr>
              <w:ind w:hanging="240"/>
              <w:jc w:val="both"/>
              <w:textAlignment w:val="top"/>
              <w:rPr>
                <w:rFonts w:ascii="Times New Roman" w:hAnsi="Times New Roman"/>
                <w:sz w:val="18"/>
                <w:szCs w:val="18"/>
              </w:rPr>
            </w:pPr>
            <w:hyperlink r:id="rId148" w:history="1">
              <w:r>
                <w:rPr>
                  <w:rStyle w:val="a5"/>
                  <w:rFonts w:ascii="Helvetica" w:eastAsia="Helvetica" w:hAnsi="Helvetica" w:cs="Helvetica"/>
                  <w:sz w:val="18"/>
                  <w:szCs w:val="18"/>
                </w:rPr>
                <w:t>Form of Performance Award Agreement under 2014 Employee Stock Plan effective as of September 29, 2019.</w:t>
              </w:r>
            </w:hyperlink>
          </w:p>
        </w:tc>
        <w:tc>
          <w:tcPr>
            <w:tcW w:w="0" w:type="auto"/>
            <w:shd w:val="clear" w:color="auto" w:fill="auto"/>
            <w:tcMar>
              <w:top w:w="40" w:type="dxa"/>
              <w:left w:w="40" w:type="dxa"/>
              <w:bottom w:w="40" w:type="dxa"/>
              <w:right w:w="40" w:type="dxa"/>
            </w:tcMar>
            <w:vAlign w:val="bottom"/>
          </w:tcPr>
          <w:p w14:paraId="2A73BEF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F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F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F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F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EF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05" w14:textId="77777777">
        <w:tc>
          <w:tcPr>
            <w:tcW w:w="0" w:type="auto"/>
            <w:shd w:val="clear" w:color="auto" w:fill="auto"/>
            <w:tcMar>
              <w:top w:w="40" w:type="dxa"/>
              <w:left w:w="40" w:type="dxa"/>
              <w:bottom w:w="40" w:type="dxa"/>
              <w:right w:w="40" w:type="dxa"/>
            </w:tcMar>
          </w:tcPr>
          <w:p w14:paraId="2A73BEF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21.1**</w:t>
            </w:r>
          </w:p>
        </w:tc>
        <w:tc>
          <w:tcPr>
            <w:tcW w:w="0" w:type="auto"/>
            <w:shd w:val="clear" w:color="auto" w:fill="auto"/>
            <w:tcMar>
              <w:top w:w="40" w:type="dxa"/>
              <w:left w:w="40" w:type="dxa"/>
              <w:bottom w:w="40" w:type="dxa"/>
              <w:right w:w="40" w:type="dxa"/>
            </w:tcMar>
            <w:vAlign w:val="bottom"/>
          </w:tcPr>
          <w:p w14:paraId="2A73BE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EFE" w14:textId="77777777" w:rsidR="00FA5565" w:rsidRDefault="00D804D1">
            <w:pPr>
              <w:ind w:hanging="240"/>
              <w:jc w:val="both"/>
              <w:textAlignment w:val="top"/>
              <w:rPr>
                <w:rFonts w:ascii="Times New Roman" w:hAnsi="Times New Roman"/>
                <w:sz w:val="18"/>
                <w:szCs w:val="18"/>
              </w:rPr>
            </w:pPr>
            <w:hyperlink r:id="rId149" w:history="1">
              <w:r>
                <w:rPr>
                  <w:rStyle w:val="a5"/>
                  <w:rFonts w:ascii="Helvetica" w:eastAsia="Helvetica" w:hAnsi="Helvetica" w:cs="Helvetica"/>
                  <w:sz w:val="18"/>
                  <w:szCs w:val="18"/>
                </w:rPr>
                <w:t>Subsidiaries of the Registrant.</w:t>
              </w:r>
            </w:hyperlink>
          </w:p>
        </w:tc>
        <w:tc>
          <w:tcPr>
            <w:tcW w:w="0" w:type="auto"/>
            <w:shd w:val="clear" w:color="auto" w:fill="auto"/>
            <w:tcMar>
              <w:top w:w="40" w:type="dxa"/>
              <w:left w:w="40" w:type="dxa"/>
              <w:bottom w:w="40" w:type="dxa"/>
              <w:right w:w="40" w:type="dxa"/>
            </w:tcMar>
            <w:vAlign w:val="bottom"/>
          </w:tcPr>
          <w:p w14:paraId="2A73BEF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0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0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0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0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0F" w14:textId="77777777">
        <w:tc>
          <w:tcPr>
            <w:tcW w:w="0" w:type="auto"/>
            <w:shd w:val="clear" w:color="auto" w:fill="auto"/>
            <w:tcMar>
              <w:top w:w="40" w:type="dxa"/>
              <w:left w:w="40" w:type="dxa"/>
              <w:bottom w:w="40" w:type="dxa"/>
              <w:right w:w="40" w:type="dxa"/>
            </w:tcMar>
          </w:tcPr>
          <w:p w14:paraId="2A73BF06"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23.1**</w:t>
            </w:r>
          </w:p>
        </w:tc>
        <w:tc>
          <w:tcPr>
            <w:tcW w:w="0" w:type="auto"/>
            <w:shd w:val="clear" w:color="auto" w:fill="auto"/>
            <w:tcMar>
              <w:top w:w="40" w:type="dxa"/>
              <w:left w:w="40" w:type="dxa"/>
              <w:bottom w:w="40" w:type="dxa"/>
              <w:right w:w="40" w:type="dxa"/>
            </w:tcMar>
            <w:vAlign w:val="bottom"/>
          </w:tcPr>
          <w:p w14:paraId="2A73BF0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08" w14:textId="77777777" w:rsidR="00FA5565" w:rsidRDefault="00D804D1">
            <w:pPr>
              <w:ind w:hanging="240"/>
              <w:jc w:val="both"/>
              <w:textAlignment w:val="top"/>
              <w:rPr>
                <w:rFonts w:ascii="Times New Roman" w:hAnsi="Times New Roman"/>
                <w:sz w:val="18"/>
                <w:szCs w:val="18"/>
              </w:rPr>
            </w:pPr>
            <w:hyperlink r:id="rId150" w:history="1">
              <w:r>
                <w:rPr>
                  <w:rStyle w:val="a5"/>
                  <w:rFonts w:ascii="Helvetica" w:eastAsia="Helvetica" w:hAnsi="Helvetica" w:cs="Helvetica"/>
                  <w:sz w:val="18"/>
                  <w:szCs w:val="18"/>
                </w:rPr>
                <w:t>Consent of Independent Registered Public Accounting Firm.</w:t>
              </w:r>
            </w:hyperlink>
          </w:p>
        </w:tc>
        <w:tc>
          <w:tcPr>
            <w:tcW w:w="0" w:type="auto"/>
            <w:shd w:val="clear" w:color="auto" w:fill="auto"/>
            <w:tcMar>
              <w:top w:w="40" w:type="dxa"/>
              <w:left w:w="40" w:type="dxa"/>
              <w:bottom w:w="40" w:type="dxa"/>
              <w:right w:w="40" w:type="dxa"/>
            </w:tcMar>
            <w:vAlign w:val="bottom"/>
          </w:tcPr>
          <w:p w14:paraId="2A73BF0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0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0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0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0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19" w14:textId="77777777">
        <w:tc>
          <w:tcPr>
            <w:tcW w:w="0" w:type="auto"/>
            <w:shd w:val="clear" w:color="auto" w:fill="auto"/>
            <w:tcMar>
              <w:top w:w="40" w:type="dxa"/>
              <w:left w:w="40" w:type="dxa"/>
              <w:bottom w:w="40" w:type="dxa"/>
              <w:right w:w="40" w:type="dxa"/>
            </w:tcMar>
          </w:tcPr>
          <w:p w14:paraId="2A73BF1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24.1**</w:t>
            </w:r>
          </w:p>
        </w:tc>
        <w:tc>
          <w:tcPr>
            <w:tcW w:w="0" w:type="auto"/>
            <w:shd w:val="clear" w:color="auto" w:fill="auto"/>
            <w:tcMar>
              <w:top w:w="40" w:type="dxa"/>
              <w:left w:w="40" w:type="dxa"/>
              <w:bottom w:w="40" w:type="dxa"/>
              <w:right w:w="40" w:type="dxa"/>
            </w:tcMar>
            <w:vAlign w:val="bottom"/>
          </w:tcPr>
          <w:p w14:paraId="2A73BF1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12" w14:textId="77777777" w:rsidR="00FA5565" w:rsidRDefault="00D804D1">
            <w:pPr>
              <w:ind w:hanging="240"/>
              <w:jc w:val="both"/>
              <w:textAlignment w:val="top"/>
              <w:rPr>
                <w:rFonts w:ascii="Times New Roman" w:hAnsi="Times New Roman"/>
                <w:sz w:val="18"/>
                <w:szCs w:val="18"/>
              </w:rPr>
            </w:pPr>
            <w:hyperlink r:id="rId151" w:anchor="sD978B07E3ACF587FB647B87491D4BEC6" w:history="1">
              <w:r>
                <w:rPr>
                  <w:rStyle w:val="a5"/>
                  <w:rFonts w:ascii="Helvetica" w:eastAsia="Helvetica" w:hAnsi="Helvetica" w:cs="Helvetica"/>
                  <w:sz w:val="18"/>
                  <w:szCs w:val="18"/>
                </w:rPr>
                <w:t>Power of Attorney (included on the Signatures page of this Annual Report on Form 10-K).</w:t>
              </w:r>
            </w:hyperlink>
          </w:p>
        </w:tc>
        <w:tc>
          <w:tcPr>
            <w:tcW w:w="0" w:type="auto"/>
            <w:shd w:val="clear" w:color="auto" w:fill="auto"/>
            <w:tcMar>
              <w:top w:w="40" w:type="dxa"/>
              <w:left w:w="40" w:type="dxa"/>
              <w:bottom w:w="40" w:type="dxa"/>
              <w:right w:w="40" w:type="dxa"/>
            </w:tcMar>
            <w:vAlign w:val="bottom"/>
          </w:tcPr>
          <w:p w14:paraId="2A73BF1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1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1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1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1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23" w14:textId="77777777">
        <w:tc>
          <w:tcPr>
            <w:tcW w:w="0" w:type="auto"/>
            <w:shd w:val="clear" w:color="auto" w:fill="auto"/>
            <w:tcMar>
              <w:top w:w="40" w:type="dxa"/>
              <w:left w:w="40" w:type="dxa"/>
              <w:bottom w:w="40" w:type="dxa"/>
              <w:right w:w="40" w:type="dxa"/>
            </w:tcMar>
          </w:tcPr>
          <w:p w14:paraId="2A73BF1A"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31.1**</w:t>
            </w:r>
          </w:p>
        </w:tc>
        <w:tc>
          <w:tcPr>
            <w:tcW w:w="0" w:type="auto"/>
            <w:shd w:val="clear" w:color="auto" w:fill="auto"/>
            <w:tcMar>
              <w:top w:w="40" w:type="dxa"/>
              <w:left w:w="40" w:type="dxa"/>
              <w:bottom w:w="40" w:type="dxa"/>
              <w:right w:w="40" w:type="dxa"/>
            </w:tcMar>
            <w:vAlign w:val="bottom"/>
          </w:tcPr>
          <w:p w14:paraId="2A73BF1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1C" w14:textId="77777777" w:rsidR="00FA5565" w:rsidRDefault="00D804D1">
            <w:pPr>
              <w:ind w:hanging="240"/>
              <w:jc w:val="both"/>
              <w:textAlignment w:val="top"/>
              <w:rPr>
                <w:rFonts w:ascii="Times New Roman" w:hAnsi="Times New Roman"/>
                <w:sz w:val="18"/>
                <w:szCs w:val="18"/>
              </w:rPr>
            </w:pPr>
            <w:hyperlink r:id="rId152" w:history="1">
              <w:r>
                <w:rPr>
                  <w:rStyle w:val="a5"/>
                  <w:rFonts w:ascii="Helvetica" w:eastAsia="Helvetica" w:hAnsi="Helvetica" w:cs="Helvetica"/>
                  <w:sz w:val="18"/>
                  <w:szCs w:val="18"/>
                </w:rPr>
                <w:t>Rule 13a-14(a) / 15d-14(a) Certification of Chief Executive Officer.</w:t>
              </w:r>
            </w:hyperlink>
          </w:p>
        </w:tc>
        <w:tc>
          <w:tcPr>
            <w:tcW w:w="0" w:type="auto"/>
            <w:shd w:val="clear" w:color="auto" w:fill="auto"/>
            <w:tcMar>
              <w:top w:w="40" w:type="dxa"/>
              <w:left w:w="40" w:type="dxa"/>
              <w:bottom w:w="40" w:type="dxa"/>
              <w:right w:w="40" w:type="dxa"/>
            </w:tcMar>
            <w:vAlign w:val="bottom"/>
          </w:tcPr>
          <w:p w14:paraId="2A73BF1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1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1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2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2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2D" w14:textId="77777777">
        <w:tc>
          <w:tcPr>
            <w:tcW w:w="0" w:type="auto"/>
            <w:shd w:val="clear" w:color="auto" w:fill="auto"/>
            <w:tcMar>
              <w:top w:w="40" w:type="dxa"/>
              <w:left w:w="40" w:type="dxa"/>
              <w:bottom w:w="40" w:type="dxa"/>
              <w:right w:w="40" w:type="dxa"/>
            </w:tcMar>
          </w:tcPr>
          <w:p w14:paraId="2A73BF24"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31.2**</w:t>
            </w:r>
          </w:p>
        </w:tc>
        <w:tc>
          <w:tcPr>
            <w:tcW w:w="0" w:type="auto"/>
            <w:shd w:val="clear" w:color="auto" w:fill="auto"/>
            <w:tcMar>
              <w:top w:w="40" w:type="dxa"/>
              <w:left w:w="40" w:type="dxa"/>
              <w:bottom w:w="40" w:type="dxa"/>
              <w:right w:w="40" w:type="dxa"/>
            </w:tcMar>
            <w:vAlign w:val="bottom"/>
          </w:tcPr>
          <w:p w14:paraId="2A73BF2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26" w14:textId="77777777" w:rsidR="00FA5565" w:rsidRDefault="00D804D1">
            <w:pPr>
              <w:ind w:hanging="240"/>
              <w:jc w:val="both"/>
              <w:textAlignment w:val="top"/>
              <w:rPr>
                <w:rFonts w:ascii="Times New Roman" w:hAnsi="Times New Roman"/>
                <w:sz w:val="18"/>
                <w:szCs w:val="18"/>
              </w:rPr>
            </w:pPr>
            <w:hyperlink r:id="rId153" w:history="1">
              <w:r>
                <w:rPr>
                  <w:rStyle w:val="a5"/>
                  <w:rFonts w:ascii="Helvetica" w:eastAsia="Helvetica" w:hAnsi="Helvetica" w:cs="Helvetica"/>
                  <w:sz w:val="18"/>
                  <w:szCs w:val="18"/>
                </w:rPr>
                <w:t>Rule 13a-14(a) / 15d-14(a) Certification of Chief Financial Officer.</w:t>
              </w:r>
            </w:hyperlink>
          </w:p>
        </w:tc>
        <w:tc>
          <w:tcPr>
            <w:tcW w:w="0" w:type="auto"/>
            <w:shd w:val="clear" w:color="auto" w:fill="auto"/>
            <w:tcMar>
              <w:top w:w="40" w:type="dxa"/>
              <w:left w:w="40" w:type="dxa"/>
              <w:bottom w:w="40" w:type="dxa"/>
              <w:right w:w="40" w:type="dxa"/>
            </w:tcMar>
            <w:vAlign w:val="bottom"/>
          </w:tcPr>
          <w:p w14:paraId="2A73BF2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2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2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2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37" w14:textId="77777777">
        <w:tc>
          <w:tcPr>
            <w:tcW w:w="0" w:type="auto"/>
            <w:shd w:val="clear" w:color="auto" w:fill="auto"/>
            <w:tcMar>
              <w:top w:w="40" w:type="dxa"/>
              <w:left w:w="40" w:type="dxa"/>
              <w:bottom w:w="40" w:type="dxa"/>
              <w:right w:w="40" w:type="dxa"/>
            </w:tcMar>
          </w:tcPr>
          <w:p w14:paraId="2A73BF2E"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32.1***</w:t>
            </w:r>
          </w:p>
        </w:tc>
        <w:tc>
          <w:tcPr>
            <w:tcW w:w="0" w:type="auto"/>
            <w:shd w:val="clear" w:color="auto" w:fill="auto"/>
            <w:tcMar>
              <w:top w:w="40" w:type="dxa"/>
              <w:left w:w="40" w:type="dxa"/>
              <w:bottom w:w="40" w:type="dxa"/>
              <w:right w:w="40" w:type="dxa"/>
            </w:tcMar>
            <w:vAlign w:val="bottom"/>
          </w:tcPr>
          <w:p w14:paraId="2A73BF2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30" w14:textId="77777777" w:rsidR="00FA5565" w:rsidRDefault="00D804D1">
            <w:pPr>
              <w:ind w:hanging="240"/>
              <w:jc w:val="both"/>
              <w:textAlignment w:val="top"/>
              <w:rPr>
                <w:rFonts w:ascii="Times New Roman" w:hAnsi="Times New Roman"/>
                <w:sz w:val="18"/>
                <w:szCs w:val="18"/>
              </w:rPr>
            </w:pPr>
            <w:hyperlink r:id="rId154" w:history="1">
              <w:r>
                <w:rPr>
                  <w:rStyle w:val="a5"/>
                  <w:rFonts w:ascii="Helvetica" w:eastAsia="Helvetica" w:hAnsi="Helvetica" w:cs="Helvetica"/>
                  <w:sz w:val="18"/>
                  <w:szCs w:val="18"/>
                </w:rPr>
                <w:t>Section 1350 Certifications of Chief Executive Officer and Chief Financial Officer.</w:t>
              </w:r>
            </w:hyperlink>
          </w:p>
        </w:tc>
        <w:tc>
          <w:tcPr>
            <w:tcW w:w="0" w:type="auto"/>
            <w:shd w:val="clear" w:color="auto" w:fill="auto"/>
            <w:tcMar>
              <w:top w:w="40" w:type="dxa"/>
              <w:left w:w="40" w:type="dxa"/>
              <w:bottom w:w="40" w:type="dxa"/>
              <w:right w:w="40" w:type="dxa"/>
            </w:tcMar>
            <w:vAlign w:val="bottom"/>
          </w:tcPr>
          <w:p w14:paraId="2A73BF3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3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3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3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3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3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41" w14:textId="77777777">
        <w:tc>
          <w:tcPr>
            <w:tcW w:w="0" w:type="auto"/>
            <w:shd w:val="clear" w:color="auto" w:fill="auto"/>
            <w:tcMar>
              <w:top w:w="40" w:type="dxa"/>
              <w:left w:w="40" w:type="dxa"/>
              <w:bottom w:w="40" w:type="dxa"/>
              <w:right w:w="40" w:type="dxa"/>
            </w:tcMar>
          </w:tcPr>
          <w:p w14:paraId="2A73BF3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101**</w:t>
            </w:r>
          </w:p>
        </w:tc>
        <w:tc>
          <w:tcPr>
            <w:tcW w:w="0" w:type="auto"/>
            <w:shd w:val="clear" w:color="auto" w:fill="auto"/>
            <w:tcMar>
              <w:top w:w="40" w:type="dxa"/>
              <w:left w:w="40" w:type="dxa"/>
              <w:bottom w:w="40" w:type="dxa"/>
              <w:right w:w="40" w:type="dxa"/>
            </w:tcMar>
            <w:vAlign w:val="bottom"/>
          </w:tcPr>
          <w:p w14:paraId="2A73BF3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3A" w14:textId="77777777" w:rsidR="00FA5565" w:rsidRDefault="00D804D1">
            <w:pPr>
              <w:ind w:hanging="240"/>
              <w:jc w:val="both"/>
              <w:textAlignment w:val="top"/>
              <w:rPr>
                <w:rFonts w:ascii="Times New Roman" w:hAnsi="Times New Roman"/>
                <w:sz w:val="18"/>
                <w:szCs w:val="18"/>
              </w:rPr>
            </w:pPr>
            <w:r>
              <w:rPr>
                <w:rFonts w:ascii="Helvetica" w:eastAsia="Helvetica" w:hAnsi="Helvetica" w:cs="Helvetica"/>
                <w:sz w:val="18"/>
                <w:szCs w:val="18"/>
              </w:rPr>
              <w:t>Inline XBRL Document Set for the consolid</w:t>
            </w:r>
            <w:r>
              <w:rPr>
                <w:rFonts w:ascii="Helvetica" w:eastAsia="Helvetica" w:hAnsi="Helvetica" w:cs="Helvetica"/>
                <w:sz w:val="18"/>
                <w:szCs w:val="18"/>
              </w:rPr>
              <w:t>ated financial statements and accompanying notes in Part II, Item 8, “Financial Statements and Supplementary Data” of this Annual Report on Form 10-K.</w:t>
            </w:r>
          </w:p>
        </w:tc>
        <w:tc>
          <w:tcPr>
            <w:tcW w:w="0" w:type="auto"/>
            <w:shd w:val="clear" w:color="auto" w:fill="auto"/>
            <w:tcMar>
              <w:top w:w="40" w:type="dxa"/>
              <w:left w:w="40" w:type="dxa"/>
              <w:bottom w:w="40" w:type="dxa"/>
              <w:right w:w="40" w:type="dxa"/>
            </w:tcMar>
            <w:vAlign w:val="bottom"/>
          </w:tcPr>
          <w:p w14:paraId="2A73BF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3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3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4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4B" w14:textId="77777777">
        <w:tc>
          <w:tcPr>
            <w:tcW w:w="0" w:type="auto"/>
            <w:shd w:val="clear" w:color="auto" w:fill="auto"/>
            <w:tcMar>
              <w:top w:w="40" w:type="dxa"/>
              <w:left w:w="40" w:type="dxa"/>
              <w:bottom w:w="40" w:type="dxa"/>
              <w:right w:w="40" w:type="dxa"/>
            </w:tcMar>
          </w:tcPr>
          <w:p w14:paraId="2A73BF4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104**</w:t>
            </w:r>
          </w:p>
        </w:tc>
        <w:tc>
          <w:tcPr>
            <w:tcW w:w="0" w:type="auto"/>
            <w:shd w:val="clear" w:color="auto" w:fill="auto"/>
            <w:tcMar>
              <w:top w:w="40" w:type="dxa"/>
              <w:left w:w="40" w:type="dxa"/>
              <w:bottom w:w="40" w:type="dxa"/>
              <w:right w:w="40" w:type="dxa"/>
            </w:tcMar>
            <w:vAlign w:val="bottom"/>
          </w:tcPr>
          <w:p w14:paraId="2A73BF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44" w14:textId="77777777" w:rsidR="00FA5565" w:rsidRDefault="00D804D1">
            <w:pPr>
              <w:ind w:hanging="240"/>
              <w:jc w:val="both"/>
              <w:textAlignment w:val="top"/>
              <w:rPr>
                <w:rFonts w:ascii="Times New Roman" w:hAnsi="Times New Roman"/>
                <w:sz w:val="18"/>
                <w:szCs w:val="18"/>
              </w:rPr>
            </w:pPr>
            <w:r>
              <w:rPr>
                <w:rFonts w:ascii="Helvetica" w:eastAsia="Helvetica" w:hAnsi="Helvetica" w:cs="Helvetica"/>
                <w:sz w:val="18"/>
                <w:szCs w:val="18"/>
              </w:rPr>
              <w:t xml:space="preserve">Inline XBRL for the cover page of this Annual Report on Form 10-K, included in </w:t>
            </w:r>
            <w:r>
              <w:rPr>
                <w:rFonts w:ascii="Helvetica" w:eastAsia="Helvetica" w:hAnsi="Helvetica" w:cs="Helvetica"/>
                <w:sz w:val="18"/>
                <w:szCs w:val="18"/>
              </w:rPr>
              <w:t>the Exhibit 101 Inline XBRL Document Set.</w:t>
            </w:r>
          </w:p>
        </w:tc>
        <w:tc>
          <w:tcPr>
            <w:tcW w:w="0" w:type="auto"/>
            <w:shd w:val="clear" w:color="auto" w:fill="auto"/>
            <w:tcMar>
              <w:top w:w="40" w:type="dxa"/>
              <w:left w:w="40" w:type="dxa"/>
              <w:bottom w:w="40" w:type="dxa"/>
              <w:right w:w="40" w:type="dxa"/>
            </w:tcMar>
            <w:vAlign w:val="bottom"/>
          </w:tcPr>
          <w:p w14:paraId="2A73BF4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4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4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4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bl>
    <w:p w14:paraId="2A73BF4C"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999"/>
      </w:tblGrid>
      <w:tr w:rsidR="00FA5565" w14:paraId="2A73BF4F" w14:textId="77777777">
        <w:trPr>
          <w:tblCellSpacing w:w="0" w:type="dxa"/>
        </w:trPr>
        <w:tc>
          <w:tcPr>
            <w:tcW w:w="960" w:type="dxa"/>
            <w:shd w:val="clear" w:color="auto" w:fill="auto"/>
            <w:vAlign w:val="center"/>
          </w:tcPr>
          <w:p w14:paraId="2A73BF4D" w14:textId="77777777" w:rsidR="00FA5565" w:rsidRDefault="00FA5565">
            <w:pPr>
              <w:rPr>
                <w:rFonts w:ascii="Times New Roman" w:hAnsi="Times New Roman"/>
                <w:sz w:val="20"/>
                <w:szCs w:val="20"/>
              </w:rPr>
            </w:pPr>
          </w:p>
        </w:tc>
        <w:tc>
          <w:tcPr>
            <w:tcW w:w="0" w:type="auto"/>
            <w:shd w:val="clear" w:color="auto" w:fill="auto"/>
            <w:vAlign w:val="center"/>
          </w:tcPr>
          <w:p w14:paraId="2A73BF4E" w14:textId="77777777" w:rsidR="00FA5565" w:rsidRDefault="00FA5565">
            <w:pPr>
              <w:rPr>
                <w:rFonts w:ascii="Times New Roman" w:hAnsi="Times New Roman"/>
                <w:sz w:val="20"/>
                <w:szCs w:val="20"/>
              </w:rPr>
            </w:pPr>
          </w:p>
        </w:tc>
      </w:tr>
      <w:tr w:rsidR="00FA5565" w14:paraId="2A73BF52" w14:textId="77777777">
        <w:trPr>
          <w:tblCellSpacing w:w="0" w:type="dxa"/>
        </w:trPr>
        <w:tc>
          <w:tcPr>
            <w:tcW w:w="0" w:type="auto"/>
            <w:shd w:val="clear" w:color="auto" w:fill="auto"/>
          </w:tcPr>
          <w:p w14:paraId="2A73BF50"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Pr>
          <w:p w14:paraId="2A73BF51"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Indicates management contract or compensatory plan or arrangement.</w:t>
            </w:r>
          </w:p>
        </w:tc>
      </w:tr>
    </w:tbl>
    <w:p w14:paraId="2A73BF53"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041"/>
      </w:tblGrid>
      <w:tr w:rsidR="00FA5565" w14:paraId="2A73BF56" w14:textId="77777777">
        <w:trPr>
          <w:tblCellSpacing w:w="0" w:type="dxa"/>
        </w:trPr>
        <w:tc>
          <w:tcPr>
            <w:tcW w:w="960" w:type="dxa"/>
            <w:shd w:val="clear" w:color="auto" w:fill="auto"/>
            <w:vAlign w:val="center"/>
          </w:tcPr>
          <w:p w14:paraId="2A73BF54" w14:textId="77777777" w:rsidR="00FA5565" w:rsidRDefault="00FA5565">
            <w:pPr>
              <w:rPr>
                <w:rFonts w:ascii="Times New Roman" w:hAnsi="Times New Roman"/>
                <w:sz w:val="20"/>
                <w:szCs w:val="20"/>
              </w:rPr>
            </w:pPr>
          </w:p>
        </w:tc>
        <w:tc>
          <w:tcPr>
            <w:tcW w:w="0" w:type="auto"/>
            <w:shd w:val="clear" w:color="auto" w:fill="auto"/>
            <w:vAlign w:val="center"/>
          </w:tcPr>
          <w:p w14:paraId="2A73BF55" w14:textId="77777777" w:rsidR="00FA5565" w:rsidRDefault="00FA5565">
            <w:pPr>
              <w:rPr>
                <w:rFonts w:ascii="Times New Roman" w:hAnsi="Times New Roman"/>
                <w:sz w:val="20"/>
                <w:szCs w:val="20"/>
              </w:rPr>
            </w:pPr>
          </w:p>
        </w:tc>
      </w:tr>
      <w:tr w:rsidR="00FA5565" w14:paraId="2A73BF59" w14:textId="77777777">
        <w:trPr>
          <w:tblCellSpacing w:w="0" w:type="dxa"/>
        </w:trPr>
        <w:tc>
          <w:tcPr>
            <w:tcW w:w="0" w:type="auto"/>
            <w:shd w:val="clear" w:color="auto" w:fill="auto"/>
          </w:tcPr>
          <w:p w14:paraId="2A73BF57"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Pr>
          <w:p w14:paraId="2A73BF58"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Filed herewith.</w:t>
            </w:r>
          </w:p>
        </w:tc>
      </w:tr>
    </w:tbl>
    <w:p w14:paraId="2A73BF5A"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406"/>
      </w:tblGrid>
      <w:tr w:rsidR="00FA5565" w14:paraId="2A73BF5D" w14:textId="77777777">
        <w:trPr>
          <w:tblCellSpacing w:w="0" w:type="dxa"/>
        </w:trPr>
        <w:tc>
          <w:tcPr>
            <w:tcW w:w="960" w:type="dxa"/>
            <w:shd w:val="clear" w:color="auto" w:fill="auto"/>
            <w:vAlign w:val="center"/>
          </w:tcPr>
          <w:p w14:paraId="2A73BF5B" w14:textId="77777777" w:rsidR="00FA5565" w:rsidRDefault="00FA5565">
            <w:pPr>
              <w:rPr>
                <w:rFonts w:ascii="Times New Roman" w:hAnsi="Times New Roman"/>
                <w:sz w:val="20"/>
                <w:szCs w:val="20"/>
              </w:rPr>
            </w:pPr>
          </w:p>
        </w:tc>
        <w:tc>
          <w:tcPr>
            <w:tcW w:w="0" w:type="auto"/>
            <w:shd w:val="clear" w:color="auto" w:fill="auto"/>
            <w:vAlign w:val="center"/>
          </w:tcPr>
          <w:p w14:paraId="2A73BF5C" w14:textId="77777777" w:rsidR="00FA5565" w:rsidRDefault="00FA5565">
            <w:pPr>
              <w:rPr>
                <w:rFonts w:ascii="Times New Roman" w:hAnsi="Times New Roman"/>
                <w:sz w:val="20"/>
                <w:szCs w:val="20"/>
              </w:rPr>
            </w:pPr>
          </w:p>
        </w:tc>
      </w:tr>
      <w:tr w:rsidR="00FA5565" w14:paraId="2A73BF60" w14:textId="77777777">
        <w:trPr>
          <w:tblCellSpacing w:w="0" w:type="dxa"/>
        </w:trPr>
        <w:tc>
          <w:tcPr>
            <w:tcW w:w="0" w:type="auto"/>
            <w:shd w:val="clear" w:color="auto" w:fill="auto"/>
          </w:tcPr>
          <w:p w14:paraId="2A73BF5E"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w:t>
            </w:r>
          </w:p>
        </w:tc>
        <w:tc>
          <w:tcPr>
            <w:tcW w:w="0" w:type="auto"/>
            <w:shd w:val="clear" w:color="auto" w:fill="auto"/>
          </w:tcPr>
          <w:p w14:paraId="2A73BF5F"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Furnished herewith.</w:t>
            </w:r>
          </w:p>
        </w:tc>
      </w:tr>
    </w:tbl>
    <w:p w14:paraId="2A73BF61"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A5565" w14:paraId="2A73BF64" w14:textId="77777777">
        <w:trPr>
          <w:tblCellSpacing w:w="0" w:type="dxa"/>
        </w:trPr>
        <w:tc>
          <w:tcPr>
            <w:tcW w:w="960" w:type="dxa"/>
            <w:shd w:val="clear" w:color="auto" w:fill="auto"/>
            <w:vAlign w:val="center"/>
          </w:tcPr>
          <w:p w14:paraId="2A73BF62" w14:textId="77777777" w:rsidR="00FA5565" w:rsidRDefault="00FA5565">
            <w:pPr>
              <w:rPr>
                <w:rFonts w:ascii="Times New Roman" w:hAnsi="Times New Roman"/>
                <w:sz w:val="20"/>
                <w:szCs w:val="20"/>
              </w:rPr>
            </w:pPr>
          </w:p>
        </w:tc>
        <w:tc>
          <w:tcPr>
            <w:tcW w:w="0" w:type="auto"/>
            <w:shd w:val="clear" w:color="auto" w:fill="auto"/>
            <w:vAlign w:val="center"/>
          </w:tcPr>
          <w:p w14:paraId="2A73BF63" w14:textId="77777777" w:rsidR="00FA5565" w:rsidRDefault="00FA5565">
            <w:pPr>
              <w:rPr>
                <w:rFonts w:ascii="Times New Roman" w:hAnsi="Times New Roman"/>
                <w:sz w:val="20"/>
                <w:szCs w:val="20"/>
              </w:rPr>
            </w:pPr>
          </w:p>
        </w:tc>
      </w:tr>
      <w:tr w:rsidR="00FA5565" w14:paraId="2A73BF67" w14:textId="77777777">
        <w:trPr>
          <w:tblCellSpacing w:w="0" w:type="dxa"/>
        </w:trPr>
        <w:tc>
          <w:tcPr>
            <w:tcW w:w="0" w:type="auto"/>
            <w:shd w:val="clear" w:color="auto" w:fill="auto"/>
          </w:tcPr>
          <w:p w14:paraId="2A73BF65" w14:textId="77777777" w:rsidR="00FA5565" w:rsidRDefault="00D804D1">
            <w:pPr>
              <w:spacing w:line="288" w:lineRule="auto"/>
              <w:textAlignment w:val="top"/>
              <w:rPr>
                <w:rFonts w:ascii="Times New Roman" w:hAnsi="Times New Roman"/>
                <w:sz w:val="16"/>
                <w:szCs w:val="16"/>
              </w:rPr>
            </w:pPr>
            <w:r>
              <w:rPr>
                <w:rFonts w:ascii="Helvetica" w:eastAsia="Helvetica" w:hAnsi="Helvetica" w:cs="Helvetica"/>
                <w:sz w:val="16"/>
                <w:szCs w:val="16"/>
              </w:rPr>
              <w:t>(1)</w:t>
            </w:r>
          </w:p>
        </w:tc>
        <w:tc>
          <w:tcPr>
            <w:tcW w:w="0" w:type="auto"/>
            <w:shd w:val="clear" w:color="auto" w:fill="auto"/>
          </w:tcPr>
          <w:p w14:paraId="2A73BF66" w14:textId="77777777" w:rsidR="00FA5565" w:rsidRDefault="00D804D1">
            <w:pPr>
              <w:spacing w:line="288" w:lineRule="auto"/>
              <w:jc w:val="both"/>
              <w:textAlignment w:val="top"/>
              <w:rPr>
                <w:rFonts w:ascii="Times New Roman" w:hAnsi="Times New Roman"/>
                <w:sz w:val="16"/>
                <w:szCs w:val="16"/>
              </w:rPr>
            </w:pPr>
            <w:r>
              <w:rPr>
                <w:rFonts w:ascii="Helvetica" w:eastAsia="Helvetica" w:hAnsi="Helvetica" w:cs="Helvetica"/>
                <w:sz w:val="16"/>
                <w:szCs w:val="16"/>
              </w:rPr>
              <w:t xml:space="preserve">Certain instruments defining the rights of holders of </w:t>
            </w:r>
            <w:r>
              <w:rPr>
                <w:rFonts w:ascii="Helvetica" w:eastAsia="Helvetica" w:hAnsi="Helvetica" w:cs="Helvetica"/>
                <w:sz w:val="16"/>
                <w:szCs w:val="16"/>
              </w:rPr>
              <w:t>long-term debt securities of the Registrant are omitted pursuant to Item 601(b)(4)(iii) of Regulation S-K. The Registrant hereby undertakes to furnish to the SEC, upon request, copies of any such instruments.</w:t>
            </w:r>
          </w:p>
        </w:tc>
      </w:tr>
    </w:tbl>
    <w:p w14:paraId="2A73BF68" w14:textId="77777777" w:rsidR="00FA5565" w:rsidRDefault="00FA5565">
      <w:pPr>
        <w:rPr>
          <w:vanish/>
        </w:rPr>
      </w:pPr>
    </w:p>
    <w:tbl>
      <w:tblPr>
        <w:tblW w:w="0" w:type="auto"/>
        <w:tblCellSpacing w:w="0" w:type="dxa"/>
        <w:tblCellMar>
          <w:left w:w="0" w:type="dxa"/>
          <w:right w:w="0" w:type="dxa"/>
        </w:tblCellMar>
        <w:tblLook w:val="04A0" w:firstRow="1" w:lastRow="0" w:firstColumn="1" w:lastColumn="0" w:noHBand="0" w:noVBand="1"/>
      </w:tblPr>
      <w:tblGrid>
        <w:gridCol w:w="1200"/>
        <w:gridCol w:w="1761"/>
      </w:tblGrid>
      <w:tr w:rsidR="00FA5565" w14:paraId="2A73BF6B" w14:textId="77777777">
        <w:trPr>
          <w:tblCellSpacing w:w="0" w:type="dxa"/>
        </w:trPr>
        <w:tc>
          <w:tcPr>
            <w:tcW w:w="1200" w:type="dxa"/>
            <w:shd w:val="clear" w:color="auto" w:fill="auto"/>
            <w:vAlign w:val="center"/>
          </w:tcPr>
          <w:p w14:paraId="2A73BF69" w14:textId="77777777" w:rsidR="00FA5565" w:rsidRDefault="00FA5565">
            <w:pPr>
              <w:rPr>
                <w:rFonts w:ascii="Times New Roman" w:hAnsi="Times New Roman"/>
                <w:sz w:val="20"/>
                <w:szCs w:val="20"/>
              </w:rPr>
            </w:pPr>
          </w:p>
        </w:tc>
        <w:tc>
          <w:tcPr>
            <w:tcW w:w="0" w:type="auto"/>
            <w:shd w:val="clear" w:color="auto" w:fill="auto"/>
            <w:vAlign w:val="center"/>
          </w:tcPr>
          <w:p w14:paraId="2A73BF6A" w14:textId="77777777" w:rsidR="00FA5565" w:rsidRDefault="00FA5565">
            <w:pPr>
              <w:rPr>
                <w:rFonts w:ascii="Times New Roman" w:hAnsi="Times New Roman"/>
                <w:sz w:val="20"/>
                <w:szCs w:val="20"/>
              </w:rPr>
            </w:pPr>
          </w:p>
        </w:tc>
      </w:tr>
      <w:tr w:rsidR="00FA5565" w14:paraId="2A73BF6E" w14:textId="77777777">
        <w:trPr>
          <w:tblCellSpacing w:w="0" w:type="dxa"/>
        </w:trPr>
        <w:tc>
          <w:tcPr>
            <w:tcW w:w="0" w:type="auto"/>
            <w:shd w:val="clear" w:color="auto" w:fill="auto"/>
          </w:tcPr>
          <w:p w14:paraId="2A73BF6C" w14:textId="77777777" w:rsidR="00FA5565" w:rsidRDefault="00D804D1">
            <w:pPr>
              <w:spacing w:line="288" w:lineRule="auto"/>
              <w:textAlignment w:val="top"/>
              <w:rPr>
                <w:rFonts w:ascii="Times New Roman" w:hAnsi="Times New Roman"/>
                <w:sz w:val="18"/>
                <w:szCs w:val="18"/>
              </w:rPr>
            </w:pPr>
            <w:r>
              <w:rPr>
                <w:rFonts w:ascii="Helvetica" w:eastAsia="Helvetica" w:hAnsi="Helvetica" w:cs="Helvetica"/>
                <w:b/>
                <w:bCs/>
                <w:sz w:val="18"/>
                <w:szCs w:val="18"/>
              </w:rPr>
              <w:t>Item 16.</w:t>
            </w:r>
          </w:p>
        </w:tc>
        <w:tc>
          <w:tcPr>
            <w:tcW w:w="0" w:type="auto"/>
            <w:shd w:val="clear" w:color="auto" w:fill="auto"/>
          </w:tcPr>
          <w:p w14:paraId="2A73BF6D" w14:textId="77777777" w:rsidR="00FA5565" w:rsidRDefault="00D804D1">
            <w:pPr>
              <w:spacing w:line="288" w:lineRule="auto"/>
              <w:jc w:val="both"/>
              <w:textAlignment w:val="top"/>
              <w:rPr>
                <w:rFonts w:ascii="Times New Roman" w:hAnsi="Times New Roman"/>
                <w:sz w:val="18"/>
                <w:szCs w:val="18"/>
              </w:rPr>
            </w:pPr>
            <w:r>
              <w:rPr>
                <w:rFonts w:ascii="Helvetica" w:eastAsia="Helvetica" w:hAnsi="Helvetica" w:cs="Helvetica"/>
                <w:b/>
                <w:bCs/>
                <w:sz w:val="18"/>
                <w:szCs w:val="18"/>
              </w:rPr>
              <w:t>Form 10-K Summary</w:t>
            </w:r>
          </w:p>
        </w:tc>
      </w:tr>
    </w:tbl>
    <w:p w14:paraId="2A73BF6F"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None.</w:t>
      </w:r>
    </w:p>
    <w:p w14:paraId="2A73BF70" w14:textId="77777777" w:rsidR="00FA5565" w:rsidRDefault="00FA5565">
      <w:pPr>
        <w:rPr>
          <w:rFonts w:ascii="Times New Roman" w:hAnsi="Times New Roman"/>
          <w:sz w:val="20"/>
          <w:szCs w:val="20"/>
        </w:rPr>
      </w:pPr>
    </w:p>
    <w:p w14:paraId="2A73BF71"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63</w:t>
      </w:r>
    </w:p>
    <w:p w14:paraId="2A73BF72" w14:textId="77777777" w:rsidR="00FA5565" w:rsidRDefault="00D804D1">
      <w:r>
        <w:rPr>
          <w:rFonts w:ascii="Times New Roman" w:hAnsi="Times New Roman"/>
          <w:sz w:val="16"/>
          <w:szCs w:val="16"/>
        </w:rPr>
        <w:pict w14:anchorId="2A73C0DB">
          <v:rect id="_x0000_i1089" style="width:415.3pt;height:1.5pt" o:hralign="center" o:hrstd="t" o:hr="t" fillcolor="#a0a0a0" stroked="f"/>
        </w:pict>
      </w:r>
    </w:p>
    <w:p w14:paraId="2A73BF73" w14:textId="77777777" w:rsidR="00FA5565" w:rsidRDefault="00FA5565">
      <w:pPr>
        <w:rPr>
          <w:rFonts w:ascii="Times New Roman" w:hAnsi="Times New Roman"/>
          <w:sz w:val="20"/>
          <w:szCs w:val="20"/>
        </w:rPr>
      </w:pPr>
    </w:p>
    <w:p w14:paraId="2A73BF74"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SIGNATURES</w:t>
      </w:r>
    </w:p>
    <w:p w14:paraId="2A73BF75"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Pursuant to the requirements of Section 13 or 15(d) of the Securities Exchange Act of 1934, the Registrant has duly caused this report to be signed on its behalf by the undersigned, thereunto duly </w:t>
      </w:r>
      <w:r>
        <w:rPr>
          <w:rFonts w:ascii="Helvetica" w:eastAsia="Helvetica" w:hAnsi="Helvetica" w:cs="Helvetica"/>
          <w:sz w:val="18"/>
          <w:szCs w:val="18"/>
        </w:rPr>
        <w:t>authorized.</w:t>
      </w:r>
    </w:p>
    <w:p w14:paraId="2A73BF76"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Date: October 30, 2019</w:t>
      </w:r>
    </w:p>
    <w:tbl>
      <w:tblPr>
        <w:tblW w:w="5000" w:type="pct"/>
        <w:tblCellMar>
          <w:left w:w="0" w:type="dxa"/>
          <w:right w:w="0" w:type="dxa"/>
        </w:tblCellMar>
        <w:tblLook w:val="04A0" w:firstRow="1" w:lastRow="0" w:firstColumn="1" w:lastColumn="0" w:noHBand="0" w:noVBand="1"/>
      </w:tblPr>
      <w:tblGrid>
        <w:gridCol w:w="4814"/>
        <w:gridCol w:w="341"/>
        <w:gridCol w:w="163"/>
        <w:gridCol w:w="2988"/>
      </w:tblGrid>
      <w:tr w:rsidR="00FA5565" w14:paraId="2A73BF78" w14:textId="77777777">
        <w:tc>
          <w:tcPr>
            <w:tcW w:w="0" w:type="auto"/>
            <w:gridSpan w:val="4"/>
            <w:shd w:val="clear" w:color="auto" w:fill="auto"/>
            <w:vAlign w:val="center"/>
          </w:tcPr>
          <w:p w14:paraId="2A73BF77" w14:textId="77777777" w:rsidR="00FA5565" w:rsidRDefault="00FA5565">
            <w:pPr>
              <w:rPr>
                <w:rFonts w:ascii="Times New Roman" w:hAnsi="Times New Roman"/>
                <w:sz w:val="20"/>
                <w:szCs w:val="20"/>
              </w:rPr>
            </w:pPr>
          </w:p>
        </w:tc>
      </w:tr>
      <w:tr w:rsidR="00FA5565" w14:paraId="2A73BF7D" w14:textId="77777777">
        <w:tc>
          <w:tcPr>
            <w:tcW w:w="2900" w:type="pct"/>
            <w:shd w:val="clear" w:color="auto" w:fill="auto"/>
            <w:vAlign w:val="center"/>
          </w:tcPr>
          <w:p w14:paraId="2A73BF79" w14:textId="77777777" w:rsidR="00FA5565" w:rsidRDefault="00FA5565">
            <w:pPr>
              <w:rPr>
                <w:rFonts w:ascii="Times New Roman" w:hAnsi="Times New Roman"/>
                <w:sz w:val="20"/>
                <w:szCs w:val="20"/>
              </w:rPr>
            </w:pPr>
          </w:p>
        </w:tc>
        <w:tc>
          <w:tcPr>
            <w:tcW w:w="200" w:type="pct"/>
            <w:shd w:val="clear" w:color="auto" w:fill="auto"/>
            <w:vAlign w:val="center"/>
          </w:tcPr>
          <w:p w14:paraId="2A73BF7A" w14:textId="77777777" w:rsidR="00FA5565" w:rsidRDefault="00FA5565">
            <w:pPr>
              <w:rPr>
                <w:rFonts w:ascii="Times New Roman" w:hAnsi="Times New Roman"/>
                <w:sz w:val="20"/>
                <w:szCs w:val="20"/>
              </w:rPr>
            </w:pPr>
          </w:p>
        </w:tc>
        <w:tc>
          <w:tcPr>
            <w:tcW w:w="100" w:type="pct"/>
            <w:shd w:val="clear" w:color="auto" w:fill="auto"/>
            <w:vAlign w:val="center"/>
          </w:tcPr>
          <w:p w14:paraId="2A73BF7B" w14:textId="77777777" w:rsidR="00FA5565" w:rsidRDefault="00FA5565">
            <w:pPr>
              <w:rPr>
                <w:rFonts w:ascii="Times New Roman" w:hAnsi="Times New Roman"/>
                <w:sz w:val="20"/>
                <w:szCs w:val="20"/>
              </w:rPr>
            </w:pPr>
          </w:p>
        </w:tc>
        <w:tc>
          <w:tcPr>
            <w:tcW w:w="1800" w:type="pct"/>
            <w:shd w:val="clear" w:color="auto" w:fill="auto"/>
            <w:vAlign w:val="center"/>
          </w:tcPr>
          <w:p w14:paraId="2A73BF7C" w14:textId="77777777" w:rsidR="00FA5565" w:rsidRDefault="00FA5565">
            <w:pPr>
              <w:rPr>
                <w:rFonts w:ascii="Times New Roman" w:hAnsi="Times New Roman"/>
                <w:sz w:val="20"/>
                <w:szCs w:val="20"/>
              </w:rPr>
            </w:pPr>
          </w:p>
        </w:tc>
      </w:tr>
      <w:tr w:rsidR="00FA5565" w14:paraId="2A73BF80" w14:textId="77777777">
        <w:tc>
          <w:tcPr>
            <w:tcW w:w="0" w:type="auto"/>
            <w:shd w:val="clear" w:color="auto" w:fill="auto"/>
            <w:tcMar>
              <w:top w:w="40" w:type="dxa"/>
              <w:left w:w="40" w:type="dxa"/>
              <w:bottom w:w="40" w:type="dxa"/>
              <w:right w:w="40" w:type="dxa"/>
            </w:tcMar>
            <w:vAlign w:val="bottom"/>
          </w:tcPr>
          <w:p w14:paraId="2A73BF7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tcPr>
          <w:p w14:paraId="2A73BF7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Apple Inc.</w:t>
            </w:r>
          </w:p>
        </w:tc>
      </w:tr>
      <w:tr w:rsidR="00FA5565" w14:paraId="2A73BF85" w14:textId="77777777">
        <w:tc>
          <w:tcPr>
            <w:tcW w:w="0" w:type="auto"/>
            <w:shd w:val="clear" w:color="auto" w:fill="auto"/>
            <w:tcMar>
              <w:top w:w="40" w:type="dxa"/>
              <w:left w:w="40" w:type="dxa"/>
              <w:bottom w:w="40" w:type="dxa"/>
              <w:right w:w="40" w:type="dxa"/>
            </w:tcMar>
            <w:vAlign w:val="bottom"/>
          </w:tcPr>
          <w:p w14:paraId="2A73BF8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8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8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8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8A" w14:textId="77777777">
        <w:tc>
          <w:tcPr>
            <w:tcW w:w="0" w:type="auto"/>
            <w:shd w:val="clear" w:color="auto" w:fill="auto"/>
            <w:tcMar>
              <w:top w:w="40" w:type="dxa"/>
              <w:left w:w="40" w:type="dxa"/>
              <w:bottom w:w="40" w:type="dxa"/>
              <w:right w:w="40" w:type="dxa"/>
            </w:tcMar>
            <w:vAlign w:val="bottom"/>
          </w:tcPr>
          <w:p w14:paraId="2A73BF8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87"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F8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tcPr>
          <w:p w14:paraId="2A73BF8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/s/ Luca Maestri</w:t>
            </w:r>
          </w:p>
        </w:tc>
      </w:tr>
      <w:tr w:rsidR="00FA5565" w14:paraId="2A73BF8F" w14:textId="77777777">
        <w:tc>
          <w:tcPr>
            <w:tcW w:w="0" w:type="auto"/>
            <w:shd w:val="clear" w:color="auto" w:fill="auto"/>
            <w:tcMar>
              <w:top w:w="40" w:type="dxa"/>
              <w:left w:w="40" w:type="dxa"/>
              <w:bottom w:w="40" w:type="dxa"/>
              <w:right w:w="40" w:type="dxa"/>
            </w:tcMar>
            <w:vAlign w:val="bottom"/>
          </w:tcPr>
          <w:p w14:paraId="2A73BF8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8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8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8E"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Luca Maestri</w:t>
            </w:r>
          </w:p>
        </w:tc>
      </w:tr>
      <w:tr w:rsidR="00FA5565" w14:paraId="2A73BF95" w14:textId="77777777">
        <w:tc>
          <w:tcPr>
            <w:tcW w:w="0" w:type="auto"/>
            <w:shd w:val="clear" w:color="auto" w:fill="auto"/>
            <w:tcMar>
              <w:top w:w="40" w:type="dxa"/>
              <w:left w:w="40" w:type="dxa"/>
              <w:bottom w:w="40" w:type="dxa"/>
              <w:right w:w="40" w:type="dxa"/>
            </w:tcMar>
            <w:vAlign w:val="bottom"/>
          </w:tcPr>
          <w:p w14:paraId="2A73BF9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9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9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9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Senior Vice President,</w:t>
            </w:r>
          </w:p>
          <w:p w14:paraId="2A73BF9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Chief Financial Officer</w:t>
            </w:r>
          </w:p>
        </w:tc>
      </w:tr>
    </w:tbl>
    <w:p w14:paraId="2A73BF96" w14:textId="77777777" w:rsidR="00FA5565" w:rsidRDefault="00D804D1">
      <w:pPr>
        <w:spacing w:line="288" w:lineRule="auto"/>
        <w:jc w:val="center"/>
        <w:rPr>
          <w:rFonts w:ascii="Times New Roman" w:hAnsi="Times New Roman"/>
          <w:sz w:val="18"/>
          <w:szCs w:val="18"/>
        </w:rPr>
      </w:pPr>
      <w:r>
        <w:rPr>
          <w:rFonts w:ascii="Helvetica" w:eastAsia="Helvetica" w:hAnsi="Helvetica" w:cs="Helvetica"/>
          <w:b/>
          <w:bCs/>
          <w:sz w:val="18"/>
          <w:szCs w:val="18"/>
        </w:rPr>
        <w:t>Power of Attorney</w:t>
      </w:r>
    </w:p>
    <w:p w14:paraId="2A73BF97"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 xml:space="preserve">KNOW ALL PERSONS BY THESE PRESENTS, that each person whose </w:t>
      </w:r>
      <w:r>
        <w:rPr>
          <w:rFonts w:ascii="Helvetica" w:eastAsia="Helvetica" w:hAnsi="Helvetica" w:cs="Helvetica"/>
          <w:sz w:val="18"/>
          <w:szCs w:val="18"/>
        </w:rPr>
        <w:t>signature appears below constitutes and appoints Timothy D. Cook and Luca Maestri, jointly and severally, his or her attorneys-in-fact, each with the power of substitution, for him or her in any and all capacities, to sign any amendments to this Annual Rep</w:t>
      </w:r>
      <w:r>
        <w:rPr>
          <w:rFonts w:ascii="Helvetica" w:eastAsia="Helvetica" w:hAnsi="Helvetica" w:cs="Helvetica"/>
          <w:sz w:val="18"/>
          <w:szCs w:val="18"/>
        </w:rPr>
        <w:t>ort on Form 10-K, and to file the same, with exhibits thereto and other documents in connection therewith, with the Securities and Exchange Commission, hereby ratifying and confirming all that each of said attorneys-in-fact, or his substitute or substitute</w:t>
      </w:r>
      <w:r>
        <w:rPr>
          <w:rFonts w:ascii="Helvetica" w:eastAsia="Helvetica" w:hAnsi="Helvetica" w:cs="Helvetica"/>
          <w:sz w:val="18"/>
          <w:szCs w:val="18"/>
        </w:rPr>
        <w:t>s, may do or cause to be done by virtue hereof.</w:t>
      </w:r>
    </w:p>
    <w:p w14:paraId="2A73BF98" w14:textId="77777777" w:rsidR="00FA5565" w:rsidRDefault="00D804D1">
      <w:pPr>
        <w:spacing w:line="288" w:lineRule="auto"/>
        <w:jc w:val="both"/>
        <w:rPr>
          <w:rFonts w:ascii="Times New Roman" w:hAnsi="Times New Roman"/>
          <w:sz w:val="18"/>
          <w:szCs w:val="18"/>
        </w:rPr>
      </w:pPr>
      <w:r>
        <w:rPr>
          <w:rFonts w:ascii="Helvetica" w:eastAsia="Helvetica" w:hAnsi="Helvetica" w:cs="Helvetica"/>
          <w:sz w:val="18"/>
          <w:szCs w:val="18"/>
        </w:rPr>
        <w:t>Pursuant to the requirements of the Securities Exchange Act of 1934, this report has been signed below by the following persons on behalf of the Registrant and in the capacities and on the dates indicated:</w:t>
      </w:r>
    </w:p>
    <w:tbl>
      <w:tblPr>
        <w:tblW w:w="5000" w:type="pct"/>
        <w:tblCellMar>
          <w:left w:w="0" w:type="dxa"/>
          <w:right w:w="0" w:type="dxa"/>
        </w:tblCellMar>
        <w:tblLook w:val="04A0" w:firstRow="1" w:lastRow="0" w:firstColumn="1" w:lastColumn="0" w:noHBand="0" w:noVBand="1"/>
      </w:tblPr>
      <w:tblGrid>
        <w:gridCol w:w="3374"/>
        <w:gridCol w:w="130"/>
        <w:gridCol w:w="3374"/>
        <w:gridCol w:w="130"/>
        <w:gridCol w:w="1298"/>
      </w:tblGrid>
      <w:tr w:rsidR="00FA5565" w14:paraId="2A73BF9A" w14:textId="77777777">
        <w:tc>
          <w:tcPr>
            <w:tcW w:w="0" w:type="auto"/>
            <w:gridSpan w:val="5"/>
            <w:shd w:val="clear" w:color="auto" w:fill="auto"/>
            <w:vAlign w:val="center"/>
          </w:tcPr>
          <w:p w14:paraId="2A73BF99" w14:textId="77777777" w:rsidR="00FA5565" w:rsidRDefault="00FA5565">
            <w:pPr>
              <w:rPr>
                <w:rFonts w:ascii="Times New Roman" w:hAnsi="Times New Roman"/>
                <w:sz w:val="20"/>
                <w:szCs w:val="20"/>
              </w:rPr>
            </w:pPr>
          </w:p>
        </w:tc>
      </w:tr>
      <w:tr w:rsidR="00FA5565" w14:paraId="2A73BFA0" w14:textId="77777777">
        <w:tc>
          <w:tcPr>
            <w:tcW w:w="2050" w:type="pct"/>
            <w:shd w:val="clear" w:color="auto" w:fill="auto"/>
            <w:vAlign w:val="center"/>
          </w:tcPr>
          <w:p w14:paraId="2A73BF9B" w14:textId="77777777" w:rsidR="00FA5565" w:rsidRDefault="00FA5565">
            <w:pPr>
              <w:rPr>
                <w:rFonts w:ascii="Times New Roman" w:hAnsi="Times New Roman"/>
                <w:sz w:val="20"/>
                <w:szCs w:val="20"/>
              </w:rPr>
            </w:pPr>
          </w:p>
        </w:tc>
        <w:tc>
          <w:tcPr>
            <w:tcW w:w="50" w:type="pct"/>
            <w:shd w:val="clear" w:color="auto" w:fill="auto"/>
            <w:vAlign w:val="center"/>
          </w:tcPr>
          <w:p w14:paraId="2A73BF9C" w14:textId="77777777" w:rsidR="00FA5565" w:rsidRDefault="00FA5565">
            <w:pPr>
              <w:rPr>
                <w:rFonts w:ascii="Times New Roman" w:hAnsi="Times New Roman"/>
                <w:sz w:val="20"/>
                <w:szCs w:val="20"/>
              </w:rPr>
            </w:pPr>
          </w:p>
        </w:tc>
        <w:tc>
          <w:tcPr>
            <w:tcW w:w="2050" w:type="pct"/>
            <w:shd w:val="clear" w:color="auto" w:fill="auto"/>
            <w:vAlign w:val="center"/>
          </w:tcPr>
          <w:p w14:paraId="2A73BF9D" w14:textId="77777777" w:rsidR="00FA5565" w:rsidRDefault="00FA5565">
            <w:pPr>
              <w:rPr>
                <w:rFonts w:ascii="Times New Roman" w:hAnsi="Times New Roman"/>
                <w:sz w:val="20"/>
                <w:szCs w:val="20"/>
              </w:rPr>
            </w:pPr>
          </w:p>
        </w:tc>
        <w:tc>
          <w:tcPr>
            <w:tcW w:w="50" w:type="pct"/>
            <w:shd w:val="clear" w:color="auto" w:fill="auto"/>
            <w:vAlign w:val="center"/>
          </w:tcPr>
          <w:p w14:paraId="2A73BF9E" w14:textId="77777777" w:rsidR="00FA5565" w:rsidRDefault="00FA5565">
            <w:pPr>
              <w:rPr>
                <w:rFonts w:ascii="Times New Roman" w:hAnsi="Times New Roman"/>
                <w:sz w:val="20"/>
                <w:szCs w:val="20"/>
              </w:rPr>
            </w:pPr>
          </w:p>
        </w:tc>
        <w:tc>
          <w:tcPr>
            <w:tcW w:w="800" w:type="pct"/>
            <w:shd w:val="clear" w:color="auto" w:fill="auto"/>
            <w:vAlign w:val="center"/>
          </w:tcPr>
          <w:p w14:paraId="2A73BF9F" w14:textId="77777777" w:rsidR="00FA5565" w:rsidRDefault="00FA5565">
            <w:pPr>
              <w:rPr>
                <w:rFonts w:ascii="Times New Roman" w:hAnsi="Times New Roman"/>
                <w:sz w:val="20"/>
                <w:szCs w:val="20"/>
              </w:rPr>
            </w:pPr>
          </w:p>
        </w:tc>
      </w:tr>
      <w:tr w:rsidR="00FA5565" w14:paraId="2A73BFA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2A73BFA1"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Name</w:t>
            </w:r>
          </w:p>
        </w:tc>
        <w:tc>
          <w:tcPr>
            <w:tcW w:w="0" w:type="auto"/>
            <w:shd w:val="clear" w:color="auto" w:fill="auto"/>
            <w:tcMar>
              <w:top w:w="40" w:type="dxa"/>
              <w:left w:w="40" w:type="dxa"/>
              <w:bottom w:w="40" w:type="dxa"/>
              <w:right w:w="40" w:type="dxa"/>
            </w:tcMar>
            <w:vAlign w:val="bottom"/>
          </w:tcPr>
          <w:p w14:paraId="2A73BFA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FA3"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Title</w:t>
            </w:r>
          </w:p>
        </w:tc>
        <w:tc>
          <w:tcPr>
            <w:tcW w:w="0" w:type="auto"/>
            <w:shd w:val="clear" w:color="auto" w:fill="auto"/>
            <w:tcMar>
              <w:top w:w="40" w:type="dxa"/>
              <w:left w:w="40" w:type="dxa"/>
              <w:bottom w:w="40" w:type="dxa"/>
              <w:right w:w="40" w:type="dxa"/>
            </w:tcMar>
            <w:vAlign w:val="bottom"/>
          </w:tcPr>
          <w:p w14:paraId="2A73BFA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2A73BFA5" w14:textId="77777777" w:rsidR="00FA5565" w:rsidRDefault="00D804D1">
            <w:pPr>
              <w:jc w:val="center"/>
              <w:textAlignment w:val="bottom"/>
              <w:rPr>
                <w:rFonts w:ascii="Times New Roman" w:hAnsi="Times New Roman"/>
                <w:sz w:val="16"/>
                <w:szCs w:val="16"/>
              </w:rPr>
            </w:pPr>
            <w:r>
              <w:rPr>
                <w:rFonts w:ascii="Helvetica" w:eastAsia="Helvetica" w:hAnsi="Helvetica" w:cs="Helvetica"/>
                <w:b/>
                <w:bCs/>
                <w:sz w:val="16"/>
                <w:szCs w:val="16"/>
              </w:rPr>
              <w:t>Date</w:t>
            </w:r>
          </w:p>
        </w:tc>
      </w:tr>
      <w:tr w:rsidR="00FA5565" w14:paraId="2A73BFAC" w14:textId="77777777">
        <w:tc>
          <w:tcPr>
            <w:tcW w:w="0" w:type="auto"/>
            <w:shd w:val="clear" w:color="auto" w:fill="auto"/>
            <w:tcMar>
              <w:top w:w="40" w:type="dxa"/>
              <w:left w:w="40" w:type="dxa"/>
              <w:bottom w:w="40" w:type="dxa"/>
              <w:right w:w="40" w:type="dxa"/>
            </w:tcMar>
            <w:vAlign w:val="bottom"/>
          </w:tcPr>
          <w:p w14:paraId="2A73BFA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A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A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A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A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B3" w14:textId="77777777">
        <w:tc>
          <w:tcPr>
            <w:tcW w:w="0" w:type="auto"/>
            <w:tcBorders>
              <w:bottom w:val="single" w:sz="8" w:space="0" w:color="000000"/>
            </w:tcBorders>
            <w:shd w:val="clear" w:color="auto" w:fill="auto"/>
            <w:tcMar>
              <w:top w:w="40" w:type="dxa"/>
              <w:left w:w="400" w:type="dxa"/>
              <w:bottom w:w="40" w:type="dxa"/>
              <w:right w:w="40" w:type="dxa"/>
            </w:tcMar>
            <w:vAlign w:val="bottom"/>
          </w:tcPr>
          <w:p w14:paraId="2A73BFA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 Timothy D. Cook</w:t>
            </w:r>
          </w:p>
        </w:tc>
        <w:tc>
          <w:tcPr>
            <w:tcW w:w="0" w:type="auto"/>
            <w:shd w:val="clear" w:color="auto" w:fill="auto"/>
            <w:tcMar>
              <w:top w:w="40" w:type="dxa"/>
              <w:left w:w="40" w:type="dxa"/>
              <w:bottom w:w="40" w:type="dxa"/>
              <w:right w:w="40" w:type="dxa"/>
            </w:tcMar>
            <w:vAlign w:val="bottom"/>
          </w:tcPr>
          <w:p w14:paraId="2A73BFA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A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Chief Executive Officer and Director</w:t>
            </w:r>
          </w:p>
          <w:p w14:paraId="2A73BFB0"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(Principal Executive Officer)</w:t>
            </w:r>
          </w:p>
        </w:tc>
        <w:tc>
          <w:tcPr>
            <w:tcW w:w="0" w:type="auto"/>
            <w:shd w:val="clear" w:color="auto" w:fill="auto"/>
            <w:tcMar>
              <w:top w:w="40" w:type="dxa"/>
              <w:left w:w="40" w:type="dxa"/>
              <w:bottom w:w="40" w:type="dxa"/>
              <w:right w:w="40" w:type="dxa"/>
            </w:tcMar>
            <w:vAlign w:val="bottom"/>
          </w:tcPr>
          <w:p w14:paraId="2A73BFB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2A73BFB2" w14:textId="77777777" w:rsidR="00FA5565" w:rsidRDefault="00D804D1">
            <w:pPr>
              <w:jc w:val="center"/>
              <w:textAlignment w:val="top"/>
              <w:rPr>
                <w:rFonts w:ascii="Times New Roman" w:hAnsi="Times New Roman"/>
                <w:sz w:val="18"/>
                <w:szCs w:val="18"/>
              </w:rPr>
            </w:pPr>
            <w:r>
              <w:rPr>
                <w:rFonts w:ascii="Helvetica" w:eastAsia="Helvetica" w:hAnsi="Helvetica" w:cs="Helvetica"/>
                <w:sz w:val="18"/>
                <w:szCs w:val="18"/>
              </w:rPr>
              <w:t>October 30, 2019</w:t>
            </w:r>
          </w:p>
        </w:tc>
      </w:tr>
      <w:tr w:rsidR="00FA5565" w14:paraId="2A73BFB9" w14:textId="77777777">
        <w:tc>
          <w:tcPr>
            <w:tcW w:w="0" w:type="auto"/>
            <w:shd w:val="clear" w:color="auto" w:fill="auto"/>
            <w:tcMar>
              <w:top w:w="40" w:type="dxa"/>
              <w:left w:w="400" w:type="dxa"/>
              <w:bottom w:w="40" w:type="dxa"/>
              <w:right w:w="40" w:type="dxa"/>
            </w:tcMar>
            <w:vAlign w:val="bottom"/>
          </w:tcPr>
          <w:p w14:paraId="2A73BFB4"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TIMOTHY D. COOK</w:t>
            </w:r>
          </w:p>
        </w:tc>
        <w:tc>
          <w:tcPr>
            <w:tcW w:w="0" w:type="auto"/>
            <w:shd w:val="clear" w:color="auto" w:fill="auto"/>
            <w:tcMar>
              <w:top w:w="40" w:type="dxa"/>
              <w:left w:w="40" w:type="dxa"/>
              <w:bottom w:w="40" w:type="dxa"/>
              <w:right w:w="40" w:type="dxa"/>
            </w:tcMar>
            <w:vAlign w:val="bottom"/>
          </w:tcPr>
          <w:p w14:paraId="2A73BFB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B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B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2A73BFB8" w14:textId="77777777" w:rsidR="00FA5565" w:rsidRDefault="00FA5565">
            <w:pPr>
              <w:rPr>
                <w:rFonts w:ascii="Times New Roman" w:hAnsi="Times New Roman"/>
                <w:sz w:val="20"/>
                <w:szCs w:val="20"/>
              </w:rPr>
            </w:pPr>
          </w:p>
        </w:tc>
      </w:tr>
      <w:tr w:rsidR="00FA5565" w14:paraId="2A73BFBF" w14:textId="77777777">
        <w:tc>
          <w:tcPr>
            <w:tcW w:w="0" w:type="auto"/>
            <w:shd w:val="clear" w:color="auto" w:fill="auto"/>
            <w:tcMar>
              <w:top w:w="40" w:type="dxa"/>
              <w:left w:w="40" w:type="dxa"/>
              <w:bottom w:w="40" w:type="dxa"/>
              <w:right w:w="40" w:type="dxa"/>
            </w:tcMar>
            <w:vAlign w:val="bottom"/>
          </w:tcPr>
          <w:p w14:paraId="2A73BFB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B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B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B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B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C6" w14:textId="77777777">
        <w:tc>
          <w:tcPr>
            <w:tcW w:w="0" w:type="auto"/>
            <w:tcBorders>
              <w:bottom w:val="single" w:sz="8" w:space="0" w:color="000000"/>
            </w:tcBorders>
            <w:shd w:val="clear" w:color="auto" w:fill="auto"/>
            <w:tcMar>
              <w:top w:w="40" w:type="dxa"/>
              <w:left w:w="400" w:type="dxa"/>
              <w:bottom w:w="40" w:type="dxa"/>
              <w:right w:w="40" w:type="dxa"/>
            </w:tcMar>
            <w:vAlign w:val="bottom"/>
          </w:tcPr>
          <w:p w14:paraId="2A73BFC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 Luca Maestri</w:t>
            </w:r>
          </w:p>
        </w:tc>
        <w:tc>
          <w:tcPr>
            <w:tcW w:w="0" w:type="auto"/>
            <w:shd w:val="clear" w:color="auto" w:fill="auto"/>
            <w:tcMar>
              <w:top w:w="40" w:type="dxa"/>
              <w:left w:w="40" w:type="dxa"/>
              <w:bottom w:w="40" w:type="dxa"/>
              <w:right w:w="40" w:type="dxa"/>
            </w:tcMar>
            <w:vAlign w:val="bottom"/>
          </w:tcPr>
          <w:p w14:paraId="2A73BFC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C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Senior Vice President, Chief Financial Officer</w:t>
            </w:r>
          </w:p>
          <w:p w14:paraId="2A73BFC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(Principal Financial Officer)</w:t>
            </w:r>
          </w:p>
        </w:tc>
        <w:tc>
          <w:tcPr>
            <w:tcW w:w="0" w:type="auto"/>
            <w:shd w:val="clear" w:color="auto" w:fill="auto"/>
            <w:tcMar>
              <w:top w:w="40" w:type="dxa"/>
              <w:left w:w="40" w:type="dxa"/>
              <w:bottom w:w="40" w:type="dxa"/>
              <w:right w:w="40" w:type="dxa"/>
            </w:tcMar>
            <w:vAlign w:val="bottom"/>
          </w:tcPr>
          <w:p w14:paraId="2A73BFC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2A73BFC5" w14:textId="77777777" w:rsidR="00FA5565" w:rsidRDefault="00D804D1">
            <w:pPr>
              <w:jc w:val="center"/>
              <w:textAlignment w:val="top"/>
              <w:rPr>
                <w:rFonts w:ascii="Times New Roman" w:hAnsi="Times New Roman"/>
                <w:sz w:val="18"/>
                <w:szCs w:val="18"/>
              </w:rPr>
            </w:pPr>
            <w:r>
              <w:rPr>
                <w:rFonts w:ascii="Helvetica" w:eastAsia="Helvetica" w:hAnsi="Helvetica" w:cs="Helvetica"/>
                <w:sz w:val="18"/>
                <w:szCs w:val="18"/>
              </w:rPr>
              <w:t>October 30, 2019</w:t>
            </w:r>
          </w:p>
        </w:tc>
      </w:tr>
      <w:tr w:rsidR="00FA5565" w14:paraId="2A73BFCC" w14:textId="77777777">
        <w:tc>
          <w:tcPr>
            <w:tcW w:w="0" w:type="auto"/>
            <w:shd w:val="clear" w:color="auto" w:fill="auto"/>
            <w:tcMar>
              <w:top w:w="40" w:type="dxa"/>
              <w:left w:w="400" w:type="dxa"/>
              <w:bottom w:w="40" w:type="dxa"/>
              <w:right w:w="40" w:type="dxa"/>
            </w:tcMar>
            <w:vAlign w:val="bottom"/>
          </w:tcPr>
          <w:p w14:paraId="2A73BFC7"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LUCA MAESTRI</w:t>
            </w:r>
          </w:p>
        </w:tc>
        <w:tc>
          <w:tcPr>
            <w:tcW w:w="0" w:type="auto"/>
            <w:shd w:val="clear" w:color="auto" w:fill="auto"/>
            <w:tcMar>
              <w:top w:w="40" w:type="dxa"/>
              <w:left w:w="40" w:type="dxa"/>
              <w:bottom w:w="40" w:type="dxa"/>
              <w:right w:w="40" w:type="dxa"/>
            </w:tcMar>
            <w:vAlign w:val="bottom"/>
          </w:tcPr>
          <w:p w14:paraId="2A73BFC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C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C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2A73BFCB" w14:textId="77777777" w:rsidR="00FA5565" w:rsidRDefault="00FA5565">
            <w:pPr>
              <w:rPr>
                <w:rFonts w:ascii="Times New Roman" w:hAnsi="Times New Roman"/>
                <w:sz w:val="20"/>
                <w:szCs w:val="20"/>
              </w:rPr>
            </w:pPr>
          </w:p>
        </w:tc>
      </w:tr>
      <w:tr w:rsidR="00FA5565" w14:paraId="2A73BFD2" w14:textId="77777777">
        <w:tc>
          <w:tcPr>
            <w:tcW w:w="0" w:type="auto"/>
            <w:shd w:val="clear" w:color="auto" w:fill="auto"/>
            <w:tcMar>
              <w:top w:w="40" w:type="dxa"/>
              <w:left w:w="40" w:type="dxa"/>
              <w:bottom w:w="40" w:type="dxa"/>
              <w:right w:w="40" w:type="dxa"/>
            </w:tcMar>
            <w:vAlign w:val="bottom"/>
          </w:tcPr>
          <w:p w14:paraId="2A73BFC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C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C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D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D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D9" w14:textId="77777777">
        <w:tc>
          <w:tcPr>
            <w:tcW w:w="0" w:type="auto"/>
            <w:tcBorders>
              <w:bottom w:val="single" w:sz="8" w:space="0" w:color="000000"/>
            </w:tcBorders>
            <w:shd w:val="clear" w:color="auto" w:fill="auto"/>
            <w:tcMar>
              <w:top w:w="40" w:type="dxa"/>
              <w:left w:w="400" w:type="dxa"/>
              <w:bottom w:w="40" w:type="dxa"/>
              <w:right w:w="40" w:type="dxa"/>
            </w:tcMar>
            <w:vAlign w:val="bottom"/>
          </w:tcPr>
          <w:p w14:paraId="2A73BFD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 Chris Kondo</w:t>
            </w:r>
          </w:p>
        </w:tc>
        <w:tc>
          <w:tcPr>
            <w:tcW w:w="0" w:type="auto"/>
            <w:shd w:val="clear" w:color="auto" w:fill="auto"/>
            <w:tcMar>
              <w:top w:w="40" w:type="dxa"/>
              <w:left w:w="40" w:type="dxa"/>
              <w:bottom w:w="40" w:type="dxa"/>
              <w:right w:w="40" w:type="dxa"/>
            </w:tcMar>
            <w:vAlign w:val="bottom"/>
          </w:tcPr>
          <w:p w14:paraId="2A73BFD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D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Senior Director of Corporate Accounting</w:t>
            </w:r>
          </w:p>
          <w:p w14:paraId="2A73BFD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(Principal Accounting Officer)</w:t>
            </w:r>
          </w:p>
        </w:tc>
        <w:tc>
          <w:tcPr>
            <w:tcW w:w="0" w:type="auto"/>
            <w:shd w:val="clear" w:color="auto" w:fill="auto"/>
            <w:tcMar>
              <w:top w:w="40" w:type="dxa"/>
              <w:left w:w="40" w:type="dxa"/>
              <w:bottom w:w="40" w:type="dxa"/>
              <w:right w:w="40" w:type="dxa"/>
            </w:tcMar>
            <w:vAlign w:val="bottom"/>
          </w:tcPr>
          <w:p w14:paraId="2A73BFD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2A73BFD8" w14:textId="77777777" w:rsidR="00FA5565" w:rsidRDefault="00D804D1">
            <w:pPr>
              <w:jc w:val="center"/>
              <w:textAlignment w:val="top"/>
              <w:rPr>
                <w:rFonts w:ascii="Times New Roman" w:hAnsi="Times New Roman"/>
                <w:sz w:val="18"/>
                <w:szCs w:val="18"/>
              </w:rPr>
            </w:pPr>
            <w:r>
              <w:rPr>
                <w:rFonts w:ascii="Helvetica" w:eastAsia="Helvetica" w:hAnsi="Helvetica" w:cs="Helvetica"/>
                <w:sz w:val="18"/>
                <w:szCs w:val="18"/>
              </w:rPr>
              <w:t>October 30, 2019</w:t>
            </w:r>
          </w:p>
        </w:tc>
      </w:tr>
      <w:tr w:rsidR="00FA5565" w14:paraId="2A73BFDF" w14:textId="77777777">
        <w:tc>
          <w:tcPr>
            <w:tcW w:w="0" w:type="auto"/>
            <w:shd w:val="clear" w:color="auto" w:fill="auto"/>
            <w:tcMar>
              <w:top w:w="40" w:type="dxa"/>
              <w:left w:w="400" w:type="dxa"/>
              <w:bottom w:w="40" w:type="dxa"/>
              <w:right w:w="40" w:type="dxa"/>
            </w:tcMar>
            <w:vAlign w:val="bottom"/>
          </w:tcPr>
          <w:p w14:paraId="2A73BFDA"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CHRIS KONDO</w:t>
            </w:r>
          </w:p>
        </w:tc>
        <w:tc>
          <w:tcPr>
            <w:tcW w:w="0" w:type="auto"/>
            <w:shd w:val="clear" w:color="auto" w:fill="auto"/>
            <w:tcMar>
              <w:top w:w="40" w:type="dxa"/>
              <w:left w:w="40" w:type="dxa"/>
              <w:bottom w:w="40" w:type="dxa"/>
              <w:right w:w="40" w:type="dxa"/>
            </w:tcMar>
            <w:vAlign w:val="bottom"/>
          </w:tcPr>
          <w:p w14:paraId="2A73BFD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D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D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2A73BFDE" w14:textId="77777777" w:rsidR="00FA5565" w:rsidRDefault="00FA5565">
            <w:pPr>
              <w:rPr>
                <w:rFonts w:ascii="Times New Roman" w:hAnsi="Times New Roman"/>
                <w:sz w:val="20"/>
                <w:szCs w:val="20"/>
              </w:rPr>
            </w:pPr>
          </w:p>
        </w:tc>
      </w:tr>
      <w:tr w:rsidR="00FA5565" w14:paraId="2A73BFE5" w14:textId="77777777">
        <w:tc>
          <w:tcPr>
            <w:tcW w:w="0" w:type="auto"/>
            <w:shd w:val="clear" w:color="auto" w:fill="auto"/>
            <w:tcMar>
              <w:top w:w="40" w:type="dxa"/>
              <w:left w:w="40" w:type="dxa"/>
              <w:bottom w:w="40" w:type="dxa"/>
              <w:right w:w="40" w:type="dxa"/>
            </w:tcMar>
            <w:vAlign w:val="bottom"/>
          </w:tcPr>
          <w:p w14:paraId="2A73BFE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E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E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E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E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EC" w14:textId="77777777">
        <w:tc>
          <w:tcPr>
            <w:tcW w:w="0" w:type="auto"/>
            <w:tcBorders>
              <w:bottom w:val="single" w:sz="8" w:space="0" w:color="000000"/>
            </w:tcBorders>
            <w:shd w:val="clear" w:color="auto" w:fill="auto"/>
            <w:tcMar>
              <w:top w:w="40" w:type="dxa"/>
              <w:left w:w="400" w:type="dxa"/>
              <w:bottom w:w="40" w:type="dxa"/>
              <w:right w:w="40" w:type="dxa"/>
            </w:tcMar>
            <w:vAlign w:val="bottom"/>
          </w:tcPr>
          <w:p w14:paraId="2A73BFE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 James A. Bell</w:t>
            </w:r>
          </w:p>
        </w:tc>
        <w:tc>
          <w:tcPr>
            <w:tcW w:w="0" w:type="auto"/>
            <w:shd w:val="clear" w:color="auto" w:fill="auto"/>
            <w:tcMar>
              <w:top w:w="40" w:type="dxa"/>
              <w:left w:w="40" w:type="dxa"/>
              <w:bottom w:w="40" w:type="dxa"/>
              <w:right w:w="40" w:type="dxa"/>
            </w:tcMar>
            <w:vAlign w:val="bottom"/>
          </w:tcPr>
          <w:p w14:paraId="2A73BFE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E8" w14:textId="77777777" w:rsidR="00FA5565" w:rsidRDefault="00FA5565">
            <w:pPr>
              <w:textAlignment w:val="top"/>
              <w:rPr>
                <w:rFonts w:ascii="Times New Roman" w:hAnsi="Times New Roman"/>
                <w:sz w:val="18"/>
                <w:szCs w:val="18"/>
              </w:rPr>
            </w:pPr>
          </w:p>
          <w:p w14:paraId="2A73BFE9"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Director</w:t>
            </w:r>
          </w:p>
        </w:tc>
        <w:tc>
          <w:tcPr>
            <w:tcW w:w="0" w:type="auto"/>
            <w:shd w:val="clear" w:color="auto" w:fill="auto"/>
            <w:tcMar>
              <w:top w:w="40" w:type="dxa"/>
              <w:left w:w="40" w:type="dxa"/>
              <w:bottom w:w="40" w:type="dxa"/>
              <w:right w:w="40" w:type="dxa"/>
            </w:tcMar>
            <w:vAlign w:val="bottom"/>
          </w:tcPr>
          <w:p w14:paraId="2A73BFE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2A73BFEB" w14:textId="77777777" w:rsidR="00FA5565" w:rsidRDefault="00D804D1">
            <w:pPr>
              <w:jc w:val="center"/>
              <w:textAlignment w:val="top"/>
              <w:rPr>
                <w:rFonts w:ascii="Times New Roman" w:hAnsi="Times New Roman"/>
                <w:sz w:val="18"/>
                <w:szCs w:val="18"/>
              </w:rPr>
            </w:pPr>
            <w:r>
              <w:rPr>
                <w:rFonts w:ascii="Helvetica" w:eastAsia="Helvetica" w:hAnsi="Helvetica" w:cs="Helvetica"/>
                <w:sz w:val="18"/>
                <w:szCs w:val="18"/>
              </w:rPr>
              <w:t>October 30, 2019</w:t>
            </w:r>
          </w:p>
        </w:tc>
      </w:tr>
      <w:tr w:rsidR="00FA5565" w14:paraId="2A73BFF2" w14:textId="77777777">
        <w:tc>
          <w:tcPr>
            <w:tcW w:w="0" w:type="auto"/>
            <w:shd w:val="clear" w:color="auto" w:fill="auto"/>
            <w:tcMar>
              <w:top w:w="40" w:type="dxa"/>
              <w:left w:w="400" w:type="dxa"/>
              <w:bottom w:w="40" w:type="dxa"/>
              <w:right w:w="40" w:type="dxa"/>
            </w:tcMar>
            <w:vAlign w:val="bottom"/>
          </w:tcPr>
          <w:p w14:paraId="2A73BFED"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JAMES A. BELL</w:t>
            </w:r>
          </w:p>
        </w:tc>
        <w:tc>
          <w:tcPr>
            <w:tcW w:w="0" w:type="auto"/>
            <w:shd w:val="clear" w:color="auto" w:fill="auto"/>
            <w:tcMar>
              <w:top w:w="40" w:type="dxa"/>
              <w:left w:w="40" w:type="dxa"/>
              <w:bottom w:w="40" w:type="dxa"/>
              <w:right w:w="40" w:type="dxa"/>
            </w:tcMar>
            <w:vAlign w:val="bottom"/>
          </w:tcPr>
          <w:p w14:paraId="2A73BFE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E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F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2A73BFF1" w14:textId="77777777" w:rsidR="00FA5565" w:rsidRDefault="00FA5565">
            <w:pPr>
              <w:rPr>
                <w:rFonts w:ascii="Times New Roman" w:hAnsi="Times New Roman"/>
                <w:sz w:val="20"/>
                <w:szCs w:val="20"/>
              </w:rPr>
            </w:pPr>
          </w:p>
        </w:tc>
      </w:tr>
      <w:tr w:rsidR="00FA5565" w14:paraId="2A73BFF8" w14:textId="77777777">
        <w:tc>
          <w:tcPr>
            <w:tcW w:w="0" w:type="auto"/>
            <w:shd w:val="clear" w:color="auto" w:fill="auto"/>
            <w:tcMar>
              <w:top w:w="40" w:type="dxa"/>
              <w:left w:w="40" w:type="dxa"/>
              <w:bottom w:w="40" w:type="dxa"/>
              <w:right w:w="40" w:type="dxa"/>
            </w:tcMar>
            <w:vAlign w:val="bottom"/>
          </w:tcPr>
          <w:p w14:paraId="2A73BFF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F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F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F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BFF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BFFF" w14:textId="77777777">
        <w:tc>
          <w:tcPr>
            <w:tcW w:w="0" w:type="auto"/>
            <w:tcBorders>
              <w:bottom w:val="single" w:sz="8" w:space="0" w:color="000000"/>
            </w:tcBorders>
            <w:shd w:val="clear" w:color="auto" w:fill="auto"/>
            <w:tcMar>
              <w:top w:w="40" w:type="dxa"/>
              <w:left w:w="400" w:type="dxa"/>
              <w:bottom w:w="40" w:type="dxa"/>
              <w:right w:w="40" w:type="dxa"/>
            </w:tcMar>
            <w:vAlign w:val="bottom"/>
          </w:tcPr>
          <w:p w14:paraId="2A73BFF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 Al Gore</w:t>
            </w:r>
          </w:p>
        </w:tc>
        <w:tc>
          <w:tcPr>
            <w:tcW w:w="0" w:type="auto"/>
            <w:shd w:val="clear" w:color="auto" w:fill="auto"/>
            <w:tcMar>
              <w:top w:w="40" w:type="dxa"/>
              <w:left w:w="40" w:type="dxa"/>
              <w:bottom w:w="40" w:type="dxa"/>
              <w:right w:w="40" w:type="dxa"/>
            </w:tcMar>
            <w:vAlign w:val="bottom"/>
          </w:tcPr>
          <w:p w14:paraId="2A73BFF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BFFB" w14:textId="77777777" w:rsidR="00FA5565" w:rsidRDefault="00FA5565">
            <w:pPr>
              <w:textAlignment w:val="top"/>
              <w:rPr>
                <w:rFonts w:ascii="Times New Roman" w:hAnsi="Times New Roman"/>
                <w:sz w:val="18"/>
                <w:szCs w:val="18"/>
              </w:rPr>
            </w:pPr>
          </w:p>
          <w:p w14:paraId="2A73BFFC"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Director</w:t>
            </w:r>
          </w:p>
        </w:tc>
        <w:tc>
          <w:tcPr>
            <w:tcW w:w="0" w:type="auto"/>
            <w:shd w:val="clear" w:color="auto" w:fill="auto"/>
            <w:tcMar>
              <w:top w:w="40" w:type="dxa"/>
              <w:left w:w="40" w:type="dxa"/>
              <w:bottom w:w="40" w:type="dxa"/>
              <w:right w:w="40" w:type="dxa"/>
            </w:tcMar>
            <w:vAlign w:val="bottom"/>
          </w:tcPr>
          <w:p w14:paraId="2A73BFF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2A73BFFE" w14:textId="77777777" w:rsidR="00FA5565" w:rsidRDefault="00D804D1">
            <w:pPr>
              <w:jc w:val="center"/>
              <w:textAlignment w:val="top"/>
              <w:rPr>
                <w:rFonts w:ascii="Times New Roman" w:hAnsi="Times New Roman"/>
                <w:sz w:val="18"/>
                <w:szCs w:val="18"/>
              </w:rPr>
            </w:pPr>
            <w:r>
              <w:rPr>
                <w:rFonts w:ascii="Helvetica" w:eastAsia="Helvetica" w:hAnsi="Helvetica" w:cs="Helvetica"/>
                <w:sz w:val="18"/>
                <w:szCs w:val="18"/>
              </w:rPr>
              <w:t>October 30, 2019</w:t>
            </w:r>
          </w:p>
        </w:tc>
      </w:tr>
      <w:tr w:rsidR="00FA5565" w14:paraId="2A73C005" w14:textId="77777777">
        <w:tc>
          <w:tcPr>
            <w:tcW w:w="0" w:type="auto"/>
            <w:shd w:val="clear" w:color="auto" w:fill="auto"/>
            <w:tcMar>
              <w:top w:w="40" w:type="dxa"/>
              <w:left w:w="400" w:type="dxa"/>
              <w:bottom w:w="40" w:type="dxa"/>
              <w:right w:w="40" w:type="dxa"/>
            </w:tcMar>
            <w:vAlign w:val="bottom"/>
          </w:tcPr>
          <w:p w14:paraId="2A73C000"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AL GORE</w:t>
            </w:r>
          </w:p>
        </w:tc>
        <w:tc>
          <w:tcPr>
            <w:tcW w:w="0" w:type="auto"/>
            <w:shd w:val="clear" w:color="auto" w:fill="auto"/>
            <w:tcMar>
              <w:top w:w="40" w:type="dxa"/>
              <w:left w:w="40" w:type="dxa"/>
              <w:bottom w:w="40" w:type="dxa"/>
              <w:right w:w="40" w:type="dxa"/>
            </w:tcMar>
            <w:vAlign w:val="bottom"/>
          </w:tcPr>
          <w:p w14:paraId="2A73C00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0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0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2A73C004" w14:textId="77777777" w:rsidR="00FA5565" w:rsidRDefault="00FA5565">
            <w:pPr>
              <w:rPr>
                <w:rFonts w:ascii="Times New Roman" w:hAnsi="Times New Roman"/>
                <w:sz w:val="20"/>
                <w:szCs w:val="20"/>
              </w:rPr>
            </w:pPr>
          </w:p>
        </w:tc>
      </w:tr>
      <w:tr w:rsidR="00FA5565" w14:paraId="2A73C00B" w14:textId="77777777">
        <w:tc>
          <w:tcPr>
            <w:tcW w:w="0" w:type="auto"/>
            <w:shd w:val="clear" w:color="auto" w:fill="auto"/>
            <w:tcMar>
              <w:top w:w="40" w:type="dxa"/>
              <w:left w:w="40" w:type="dxa"/>
              <w:bottom w:w="40" w:type="dxa"/>
              <w:right w:w="40" w:type="dxa"/>
            </w:tcMar>
            <w:vAlign w:val="bottom"/>
          </w:tcPr>
          <w:p w14:paraId="2A73C00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0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0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0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0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C012" w14:textId="77777777">
        <w:tc>
          <w:tcPr>
            <w:tcW w:w="0" w:type="auto"/>
            <w:tcBorders>
              <w:bottom w:val="single" w:sz="8" w:space="0" w:color="000000"/>
            </w:tcBorders>
            <w:shd w:val="clear" w:color="auto" w:fill="auto"/>
            <w:tcMar>
              <w:top w:w="40" w:type="dxa"/>
              <w:left w:w="400" w:type="dxa"/>
              <w:bottom w:w="40" w:type="dxa"/>
              <w:right w:w="40" w:type="dxa"/>
            </w:tcMar>
            <w:vAlign w:val="bottom"/>
          </w:tcPr>
          <w:p w14:paraId="2A73C00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 Andrea Jung</w:t>
            </w:r>
          </w:p>
        </w:tc>
        <w:tc>
          <w:tcPr>
            <w:tcW w:w="0" w:type="auto"/>
            <w:shd w:val="clear" w:color="auto" w:fill="auto"/>
            <w:tcMar>
              <w:top w:w="40" w:type="dxa"/>
              <w:left w:w="40" w:type="dxa"/>
              <w:bottom w:w="40" w:type="dxa"/>
              <w:right w:w="40" w:type="dxa"/>
            </w:tcMar>
            <w:vAlign w:val="bottom"/>
          </w:tcPr>
          <w:p w14:paraId="2A73C00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C00E" w14:textId="77777777" w:rsidR="00FA5565" w:rsidRDefault="00FA5565">
            <w:pPr>
              <w:textAlignment w:val="top"/>
              <w:rPr>
                <w:rFonts w:ascii="Times New Roman" w:hAnsi="Times New Roman"/>
                <w:sz w:val="18"/>
                <w:szCs w:val="18"/>
              </w:rPr>
            </w:pPr>
          </w:p>
          <w:p w14:paraId="2A73C00F"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Director</w:t>
            </w:r>
          </w:p>
        </w:tc>
        <w:tc>
          <w:tcPr>
            <w:tcW w:w="0" w:type="auto"/>
            <w:shd w:val="clear" w:color="auto" w:fill="auto"/>
            <w:tcMar>
              <w:top w:w="40" w:type="dxa"/>
              <w:left w:w="40" w:type="dxa"/>
              <w:bottom w:w="40" w:type="dxa"/>
              <w:right w:w="40" w:type="dxa"/>
            </w:tcMar>
            <w:vAlign w:val="bottom"/>
          </w:tcPr>
          <w:p w14:paraId="2A73C01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2A73C011" w14:textId="77777777" w:rsidR="00FA5565" w:rsidRDefault="00D804D1">
            <w:pPr>
              <w:jc w:val="center"/>
              <w:textAlignment w:val="top"/>
              <w:rPr>
                <w:rFonts w:ascii="Times New Roman" w:hAnsi="Times New Roman"/>
                <w:sz w:val="18"/>
                <w:szCs w:val="18"/>
              </w:rPr>
            </w:pPr>
            <w:r>
              <w:rPr>
                <w:rFonts w:ascii="Helvetica" w:eastAsia="Helvetica" w:hAnsi="Helvetica" w:cs="Helvetica"/>
                <w:sz w:val="18"/>
                <w:szCs w:val="18"/>
              </w:rPr>
              <w:t>October 30, 2019</w:t>
            </w:r>
          </w:p>
        </w:tc>
      </w:tr>
      <w:tr w:rsidR="00FA5565" w14:paraId="2A73C018" w14:textId="77777777">
        <w:tc>
          <w:tcPr>
            <w:tcW w:w="0" w:type="auto"/>
            <w:shd w:val="clear" w:color="auto" w:fill="auto"/>
            <w:tcMar>
              <w:top w:w="40" w:type="dxa"/>
              <w:left w:w="400" w:type="dxa"/>
              <w:bottom w:w="40" w:type="dxa"/>
              <w:right w:w="40" w:type="dxa"/>
            </w:tcMar>
            <w:vAlign w:val="bottom"/>
          </w:tcPr>
          <w:p w14:paraId="2A73C013"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ANDREA JUNG</w:t>
            </w:r>
          </w:p>
        </w:tc>
        <w:tc>
          <w:tcPr>
            <w:tcW w:w="0" w:type="auto"/>
            <w:shd w:val="clear" w:color="auto" w:fill="auto"/>
            <w:tcMar>
              <w:top w:w="40" w:type="dxa"/>
              <w:left w:w="40" w:type="dxa"/>
              <w:bottom w:w="40" w:type="dxa"/>
              <w:right w:w="40" w:type="dxa"/>
            </w:tcMar>
            <w:vAlign w:val="bottom"/>
          </w:tcPr>
          <w:p w14:paraId="2A73C014"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15"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1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2A73C017" w14:textId="77777777" w:rsidR="00FA5565" w:rsidRDefault="00FA5565">
            <w:pPr>
              <w:rPr>
                <w:rFonts w:ascii="Times New Roman" w:hAnsi="Times New Roman"/>
                <w:sz w:val="20"/>
                <w:szCs w:val="20"/>
              </w:rPr>
            </w:pPr>
          </w:p>
        </w:tc>
      </w:tr>
      <w:tr w:rsidR="00FA5565" w14:paraId="2A73C01E" w14:textId="77777777">
        <w:tc>
          <w:tcPr>
            <w:tcW w:w="0" w:type="auto"/>
            <w:shd w:val="clear" w:color="auto" w:fill="auto"/>
            <w:tcMar>
              <w:top w:w="40" w:type="dxa"/>
              <w:left w:w="40" w:type="dxa"/>
              <w:bottom w:w="40" w:type="dxa"/>
              <w:right w:w="40" w:type="dxa"/>
            </w:tcMar>
            <w:vAlign w:val="bottom"/>
          </w:tcPr>
          <w:p w14:paraId="2A73C01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1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1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1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1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C025" w14:textId="77777777">
        <w:tc>
          <w:tcPr>
            <w:tcW w:w="0" w:type="auto"/>
            <w:tcBorders>
              <w:bottom w:val="single" w:sz="8" w:space="0" w:color="000000"/>
            </w:tcBorders>
            <w:shd w:val="clear" w:color="auto" w:fill="auto"/>
            <w:tcMar>
              <w:top w:w="40" w:type="dxa"/>
              <w:left w:w="400" w:type="dxa"/>
              <w:bottom w:w="40" w:type="dxa"/>
              <w:right w:w="40" w:type="dxa"/>
            </w:tcMar>
            <w:vAlign w:val="bottom"/>
          </w:tcPr>
          <w:p w14:paraId="2A73C01F"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 Arthur D. Levinson</w:t>
            </w:r>
          </w:p>
        </w:tc>
        <w:tc>
          <w:tcPr>
            <w:tcW w:w="0" w:type="auto"/>
            <w:shd w:val="clear" w:color="auto" w:fill="auto"/>
            <w:tcMar>
              <w:top w:w="40" w:type="dxa"/>
              <w:left w:w="40" w:type="dxa"/>
              <w:bottom w:w="40" w:type="dxa"/>
              <w:right w:w="40" w:type="dxa"/>
            </w:tcMar>
            <w:vAlign w:val="bottom"/>
          </w:tcPr>
          <w:p w14:paraId="2A73C02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C021" w14:textId="77777777" w:rsidR="00FA5565" w:rsidRDefault="00FA5565">
            <w:pPr>
              <w:textAlignment w:val="top"/>
              <w:rPr>
                <w:rFonts w:ascii="Times New Roman" w:hAnsi="Times New Roman"/>
                <w:sz w:val="18"/>
                <w:szCs w:val="18"/>
              </w:rPr>
            </w:pPr>
          </w:p>
          <w:p w14:paraId="2A73C022"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Director</w:t>
            </w:r>
          </w:p>
        </w:tc>
        <w:tc>
          <w:tcPr>
            <w:tcW w:w="0" w:type="auto"/>
            <w:shd w:val="clear" w:color="auto" w:fill="auto"/>
            <w:tcMar>
              <w:top w:w="40" w:type="dxa"/>
              <w:left w:w="40" w:type="dxa"/>
              <w:bottom w:w="40" w:type="dxa"/>
              <w:right w:w="40" w:type="dxa"/>
            </w:tcMar>
            <w:vAlign w:val="bottom"/>
          </w:tcPr>
          <w:p w14:paraId="2A73C02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2A73C024" w14:textId="77777777" w:rsidR="00FA5565" w:rsidRDefault="00D804D1">
            <w:pPr>
              <w:jc w:val="center"/>
              <w:textAlignment w:val="top"/>
              <w:rPr>
                <w:rFonts w:ascii="Times New Roman" w:hAnsi="Times New Roman"/>
                <w:sz w:val="18"/>
                <w:szCs w:val="18"/>
              </w:rPr>
            </w:pPr>
            <w:r>
              <w:rPr>
                <w:rFonts w:ascii="Helvetica" w:eastAsia="Helvetica" w:hAnsi="Helvetica" w:cs="Helvetica"/>
                <w:sz w:val="18"/>
                <w:szCs w:val="18"/>
              </w:rPr>
              <w:t>October 30, 2019</w:t>
            </w:r>
          </w:p>
        </w:tc>
      </w:tr>
      <w:tr w:rsidR="00FA5565" w14:paraId="2A73C02B" w14:textId="77777777">
        <w:tc>
          <w:tcPr>
            <w:tcW w:w="0" w:type="auto"/>
            <w:shd w:val="clear" w:color="auto" w:fill="auto"/>
            <w:tcMar>
              <w:top w:w="40" w:type="dxa"/>
              <w:left w:w="400" w:type="dxa"/>
              <w:bottom w:w="40" w:type="dxa"/>
              <w:right w:w="40" w:type="dxa"/>
            </w:tcMar>
            <w:vAlign w:val="bottom"/>
          </w:tcPr>
          <w:p w14:paraId="2A73C026"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ARTHUR D. LEVINSON</w:t>
            </w:r>
          </w:p>
        </w:tc>
        <w:tc>
          <w:tcPr>
            <w:tcW w:w="0" w:type="auto"/>
            <w:shd w:val="clear" w:color="auto" w:fill="auto"/>
            <w:tcMar>
              <w:top w:w="40" w:type="dxa"/>
              <w:left w:w="40" w:type="dxa"/>
              <w:bottom w:w="40" w:type="dxa"/>
              <w:right w:w="40" w:type="dxa"/>
            </w:tcMar>
            <w:vAlign w:val="bottom"/>
          </w:tcPr>
          <w:p w14:paraId="2A73C027"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28"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2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2A73C02A" w14:textId="77777777" w:rsidR="00FA5565" w:rsidRDefault="00FA5565">
            <w:pPr>
              <w:rPr>
                <w:rFonts w:ascii="Times New Roman" w:hAnsi="Times New Roman"/>
                <w:sz w:val="20"/>
                <w:szCs w:val="20"/>
              </w:rPr>
            </w:pPr>
          </w:p>
        </w:tc>
      </w:tr>
      <w:tr w:rsidR="00FA5565" w14:paraId="2A73C031" w14:textId="77777777">
        <w:tc>
          <w:tcPr>
            <w:tcW w:w="0" w:type="auto"/>
            <w:shd w:val="clear" w:color="auto" w:fill="auto"/>
            <w:tcMar>
              <w:top w:w="40" w:type="dxa"/>
              <w:left w:w="40" w:type="dxa"/>
              <w:bottom w:w="40" w:type="dxa"/>
              <w:right w:w="40" w:type="dxa"/>
            </w:tcMar>
            <w:vAlign w:val="bottom"/>
          </w:tcPr>
          <w:p w14:paraId="2A73C02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2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2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2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3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C038" w14:textId="77777777">
        <w:tc>
          <w:tcPr>
            <w:tcW w:w="0" w:type="auto"/>
            <w:tcBorders>
              <w:bottom w:val="single" w:sz="8" w:space="0" w:color="000000"/>
            </w:tcBorders>
            <w:shd w:val="clear" w:color="auto" w:fill="auto"/>
            <w:tcMar>
              <w:top w:w="40" w:type="dxa"/>
              <w:left w:w="400" w:type="dxa"/>
              <w:bottom w:w="40" w:type="dxa"/>
              <w:right w:w="40" w:type="dxa"/>
            </w:tcMar>
            <w:vAlign w:val="bottom"/>
          </w:tcPr>
          <w:p w14:paraId="2A73C032"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 Ronald D. Sugar</w:t>
            </w:r>
          </w:p>
        </w:tc>
        <w:tc>
          <w:tcPr>
            <w:tcW w:w="0" w:type="auto"/>
            <w:shd w:val="clear" w:color="auto" w:fill="auto"/>
            <w:tcMar>
              <w:top w:w="40" w:type="dxa"/>
              <w:left w:w="40" w:type="dxa"/>
              <w:bottom w:w="40" w:type="dxa"/>
              <w:right w:w="40" w:type="dxa"/>
            </w:tcMar>
            <w:vAlign w:val="bottom"/>
          </w:tcPr>
          <w:p w14:paraId="2A73C03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C034" w14:textId="77777777" w:rsidR="00FA5565" w:rsidRDefault="00FA5565">
            <w:pPr>
              <w:textAlignment w:val="top"/>
              <w:rPr>
                <w:rFonts w:ascii="Times New Roman" w:hAnsi="Times New Roman"/>
                <w:sz w:val="18"/>
                <w:szCs w:val="18"/>
              </w:rPr>
            </w:pPr>
          </w:p>
          <w:p w14:paraId="2A73C035"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Director</w:t>
            </w:r>
          </w:p>
        </w:tc>
        <w:tc>
          <w:tcPr>
            <w:tcW w:w="0" w:type="auto"/>
            <w:shd w:val="clear" w:color="auto" w:fill="auto"/>
            <w:tcMar>
              <w:top w:w="40" w:type="dxa"/>
              <w:left w:w="40" w:type="dxa"/>
              <w:bottom w:w="40" w:type="dxa"/>
              <w:right w:w="40" w:type="dxa"/>
            </w:tcMar>
            <w:vAlign w:val="bottom"/>
          </w:tcPr>
          <w:p w14:paraId="2A73C03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2A73C037" w14:textId="77777777" w:rsidR="00FA5565" w:rsidRDefault="00D804D1">
            <w:pPr>
              <w:jc w:val="center"/>
              <w:textAlignment w:val="top"/>
              <w:rPr>
                <w:rFonts w:ascii="Times New Roman" w:hAnsi="Times New Roman"/>
                <w:sz w:val="18"/>
                <w:szCs w:val="18"/>
              </w:rPr>
            </w:pPr>
            <w:r>
              <w:rPr>
                <w:rFonts w:ascii="Helvetica" w:eastAsia="Helvetica" w:hAnsi="Helvetica" w:cs="Helvetica"/>
                <w:sz w:val="18"/>
                <w:szCs w:val="18"/>
              </w:rPr>
              <w:t>October 30, 2019</w:t>
            </w:r>
          </w:p>
        </w:tc>
      </w:tr>
      <w:tr w:rsidR="00FA5565" w14:paraId="2A73C03E" w14:textId="77777777">
        <w:tc>
          <w:tcPr>
            <w:tcW w:w="0" w:type="auto"/>
            <w:shd w:val="clear" w:color="auto" w:fill="auto"/>
            <w:tcMar>
              <w:top w:w="40" w:type="dxa"/>
              <w:left w:w="400" w:type="dxa"/>
              <w:bottom w:w="40" w:type="dxa"/>
              <w:right w:w="40" w:type="dxa"/>
            </w:tcMar>
            <w:vAlign w:val="bottom"/>
          </w:tcPr>
          <w:p w14:paraId="2A73C039"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RONALD D. SUGAR</w:t>
            </w:r>
          </w:p>
        </w:tc>
        <w:tc>
          <w:tcPr>
            <w:tcW w:w="0" w:type="auto"/>
            <w:shd w:val="clear" w:color="auto" w:fill="auto"/>
            <w:tcMar>
              <w:top w:w="40" w:type="dxa"/>
              <w:left w:w="40" w:type="dxa"/>
              <w:bottom w:w="40" w:type="dxa"/>
              <w:right w:w="40" w:type="dxa"/>
            </w:tcMar>
            <w:vAlign w:val="bottom"/>
          </w:tcPr>
          <w:p w14:paraId="2A73C03A"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3B"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3C"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2A73C03D" w14:textId="77777777" w:rsidR="00FA5565" w:rsidRDefault="00FA5565">
            <w:pPr>
              <w:rPr>
                <w:rFonts w:ascii="Times New Roman" w:hAnsi="Times New Roman"/>
                <w:sz w:val="20"/>
                <w:szCs w:val="20"/>
              </w:rPr>
            </w:pPr>
          </w:p>
        </w:tc>
      </w:tr>
      <w:tr w:rsidR="00FA5565" w14:paraId="2A73C044" w14:textId="77777777">
        <w:tc>
          <w:tcPr>
            <w:tcW w:w="0" w:type="auto"/>
            <w:shd w:val="clear" w:color="auto" w:fill="auto"/>
            <w:tcMar>
              <w:top w:w="40" w:type="dxa"/>
              <w:left w:w="40" w:type="dxa"/>
              <w:bottom w:w="40" w:type="dxa"/>
              <w:right w:w="40" w:type="dxa"/>
            </w:tcMar>
            <w:vAlign w:val="bottom"/>
          </w:tcPr>
          <w:p w14:paraId="2A73C03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40"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41"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42"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43"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r>
      <w:tr w:rsidR="00FA5565" w14:paraId="2A73C04B" w14:textId="77777777">
        <w:tc>
          <w:tcPr>
            <w:tcW w:w="0" w:type="auto"/>
            <w:tcBorders>
              <w:bottom w:val="single" w:sz="8" w:space="0" w:color="000000"/>
            </w:tcBorders>
            <w:shd w:val="clear" w:color="auto" w:fill="auto"/>
            <w:tcMar>
              <w:top w:w="40" w:type="dxa"/>
              <w:left w:w="400" w:type="dxa"/>
              <w:bottom w:w="40" w:type="dxa"/>
              <w:right w:w="40" w:type="dxa"/>
            </w:tcMar>
            <w:vAlign w:val="bottom"/>
          </w:tcPr>
          <w:p w14:paraId="2A73C045"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 Susan L. Wagner</w:t>
            </w:r>
          </w:p>
        </w:tc>
        <w:tc>
          <w:tcPr>
            <w:tcW w:w="0" w:type="auto"/>
            <w:shd w:val="clear" w:color="auto" w:fill="auto"/>
            <w:tcMar>
              <w:top w:w="40" w:type="dxa"/>
              <w:left w:w="40" w:type="dxa"/>
              <w:bottom w:w="40" w:type="dxa"/>
              <w:right w:w="40" w:type="dxa"/>
            </w:tcMar>
            <w:vAlign w:val="bottom"/>
          </w:tcPr>
          <w:p w14:paraId="2A73C046"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2A73C047" w14:textId="77777777" w:rsidR="00FA5565" w:rsidRDefault="00FA5565">
            <w:pPr>
              <w:textAlignment w:val="top"/>
              <w:rPr>
                <w:rFonts w:ascii="Times New Roman" w:hAnsi="Times New Roman"/>
                <w:sz w:val="18"/>
                <w:szCs w:val="18"/>
              </w:rPr>
            </w:pPr>
          </w:p>
          <w:p w14:paraId="2A73C048" w14:textId="77777777" w:rsidR="00FA5565" w:rsidRDefault="00D804D1">
            <w:pPr>
              <w:textAlignment w:val="top"/>
              <w:rPr>
                <w:rFonts w:ascii="Times New Roman" w:hAnsi="Times New Roman"/>
                <w:sz w:val="18"/>
                <w:szCs w:val="18"/>
              </w:rPr>
            </w:pPr>
            <w:r>
              <w:rPr>
                <w:rFonts w:ascii="Helvetica" w:eastAsia="Helvetica" w:hAnsi="Helvetica" w:cs="Helvetica"/>
                <w:sz w:val="18"/>
                <w:szCs w:val="18"/>
              </w:rPr>
              <w:t>Director</w:t>
            </w:r>
          </w:p>
        </w:tc>
        <w:tc>
          <w:tcPr>
            <w:tcW w:w="0" w:type="auto"/>
            <w:shd w:val="clear" w:color="auto" w:fill="auto"/>
            <w:tcMar>
              <w:top w:w="40" w:type="dxa"/>
              <w:left w:w="40" w:type="dxa"/>
              <w:bottom w:w="40" w:type="dxa"/>
              <w:right w:w="40" w:type="dxa"/>
            </w:tcMar>
            <w:vAlign w:val="bottom"/>
          </w:tcPr>
          <w:p w14:paraId="2A73C049"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2A73C04A" w14:textId="77777777" w:rsidR="00FA5565" w:rsidRDefault="00D804D1">
            <w:pPr>
              <w:jc w:val="center"/>
              <w:textAlignment w:val="top"/>
              <w:rPr>
                <w:rFonts w:ascii="Times New Roman" w:hAnsi="Times New Roman"/>
                <w:sz w:val="18"/>
                <w:szCs w:val="18"/>
              </w:rPr>
            </w:pPr>
            <w:r>
              <w:rPr>
                <w:rFonts w:ascii="Helvetica" w:eastAsia="Helvetica" w:hAnsi="Helvetica" w:cs="Helvetica"/>
                <w:sz w:val="18"/>
                <w:szCs w:val="18"/>
              </w:rPr>
              <w:t>October 30, 2019</w:t>
            </w:r>
          </w:p>
        </w:tc>
      </w:tr>
      <w:tr w:rsidR="00FA5565" w14:paraId="2A73C051" w14:textId="77777777">
        <w:tc>
          <w:tcPr>
            <w:tcW w:w="0" w:type="auto"/>
            <w:shd w:val="clear" w:color="auto" w:fill="auto"/>
            <w:tcMar>
              <w:top w:w="40" w:type="dxa"/>
              <w:left w:w="400" w:type="dxa"/>
              <w:bottom w:w="40" w:type="dxa"/>
              <w:right w:w="40" w:type="dxa"/>
            </w:tcMar>
            <w:vAlign w:val="bottom"/>
          </w:tcPr>
          <w:p w14:paraId="2A73C04C" w14:textId="77777777" w:rsidR="00FA5565" w:rsidRDefault="00D804D1">
            <w:pPr>
              <w:textAlignment w:val="bottom"/>
              <w:rPr>
                <w:rFonts w:ascii="Times New Roman" w:hAnsi="Times New Roman"/>
                <w:sz w:val="18"/>
                <w:szCs w:val="18"/>
              </w:rPr>
            </w:pPr>
            <w:r>
              <w:rPr>
                <w:rFonts w:ascii="Helvetica" w:eastAsia="Helvetica" w:hAnsi="Helvetica" w:cs="Helvetica"/>
                <w:sz w:val="18"/>
                <w:szCs w:val="18"/>
              </w:rPr>
              <w:t>SUSAN L. WAGNER</w:t>
            </w:r>
          </w:p>
        </w:tc>
        <w:tc>
          <w:tcPr>
            <w:tcW w:w="0" w:type="auto"/>
            <w:shd w:val="clear" w:color="auto" w:fill="auto"/>
            <w:tcMar>
              <w:top w:w="40" w:type="dxa"/>
              <w:left w:w="40" w:type="dxa"/>
              <w:bottom w:w="40" w:type="dxa"/>
              <w:right w:w="40" w:type="dxa"/>
            </w:tcMar>
            <w:vAlign w:val="bottom"/>
          </w:tcPr>
          <w:p w14:paraId="2A73C04D"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4E"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2A73C04F" w14:textId="77777777" w:rsidR="00FA5565" w:rsidRDefault="00D804D1">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2A73C050" w14:textId="77777777" w:rsidR="00FA5565" w:rsidRDefault="00FA5565">
            <w:pPr>
              <w:rPr>
                <w:rFonts w:ascii="Times New Roman" w:hAnsi="Times New Roman"/>
                <w:sz w:val="20"/>
                <w:szCs w:val="20"/>
              </w:rPr>
            </w:pPr>
          </w:p>
        </w:tc>
      </w:tr>
    </w:tbl>
    <w:p w14:paraId="2A73C052" w14:textId="77777777" w:rsidR="00FA5565" w:rsidRDefault="00FA5565">
      <w:pPr>
        <w:rPr>
          <w:rFonts w:ascii="Times New Roman" w:hAnsi="Times New Roman"/>
          <w:sz w:val="20"/>
          <w:szCs w:val="20"/>
        </w:rPr>
      </w:pPr>
    </w:p>
    <w:p w14:paraId="2A73C053" w14:textId="77777777" w:rsidR="00FA5565" w:rsidRDefault="00D804D1">
      <w:pPr>
        <w:spacing w:line="288" w:lineRule="auto"/>
        <w:jc w:val="center"/>
        <w:rPr>
          <w:rFonts w:ascii="Times New Roman" w:hAnsi="Times New Roman"/>
          <w:sz w:val="16"/>
          <w:szCs w:val="16"/>
        </w:rPr>
      </w:pPr>
      <w:r>
        <w:rPr>
          <w:rFonts w:ascii="Helvetica" w:eastAsia="Helvetica" w:hAnsi="Helvetica" w:cs="Helvetica"/>
          <w:sz w:val="16"/>
          <w:szCs w:val="16"/>
        </w:rPr>
        <w:t>Apple Inc. | 2019 Form 10-K | 64</w:t>
      </w:r>
    </w:p>
    <w:p w14:paraId="2A73C054" w14:textId="77777777" w:rsidR="00FA5565" w:rsidRDefault="00D804D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A73C0DC" wp14:editId="2A73C0DD">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56" w14:textId="77777777">
        <w:trPr>
          <w:tblCellSpacing w:w="15" w:type="dxa"/>
        </w:trPr>
        <w:tc>
          <w:tcPr>
            <w:tcW w:w="0" w:type="auto"/>
            <w:shd w:val="clear" w:color="auto" w:fill="auto"/>
            <w:vAlign w:val="center"/>
          </w:tcPr>
          <w:p w14:paraId="2A73C055" w14:textId="77777777" w:rsidR="00FA5565" w:rsidRDefault="00FA5565">
            <w:pPr>
              <w:rPr>
                <w:rFonts w:ascii="宋体"/>
              </w:rPr>
            </w:pPr>
          </w:p>
        </w:tc>
      </w:tr>
    </w:tbl>
    <w:p w14:paraId="2A73C057" w14:textId="77777777" w:rsidR="00FA5565" w:rsidRDefault="00FA55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59" w14:textId="77777777">
        <w:trPr>
          <w:tblCellSpacing w:w="15" w:type="dxa"/>
        </w:trPr>
        <w:tc>
          <w:tcPr>
            <w:tcW w:w="0" w:type="auto"/>
            <w:shd w:val="clear" w:color="auto" w:fill="auto"/>
            <w:vAlign w:val="center"/>
          </w:tcPr>
          <w:p w14:paraId="2A73C058" w14:textId="77777777" w:rsidR="00FA5565" w:rsidRDefault="00FA5565">
            <w:pPr>
              <w:rPr>
                <w:rFonts w:ascii="宋体"/>
              </w:rPr>
            </w:pPr>
          </w:p>
        </w:tc>
      </w:tr>
    </w:tbl>
    <w:p w14:paraId="2A73C05A" w14:textId="77777777" w:rsidR="00FA5565" w:rsidRDefault="00FA55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5C" w14:textId="77777777">
        <w:trPr>
          <w:tblCellSpacing w:w="15" w:type="dxa"/>
        </w:trPr>
        <w:tc>
          <w:tcPr>
            <w:tcW w:w="0" w:type="auto"/>
            <w:shd w:val="clear" w:color="auto" w:fill="auto"/>
            <w:vAlign w:val="center"/>
          </w:tcPr>
          <w:p w14:paraId="2A73C05B" w14:textId="77777777" w:rsidR="00FA5565" w:rsidRDefault="00FA5565">
            <w:pPr>
              <w:rPr>
                <w:rFonts w:ascii="宋体"/>
              </w:rPr>
            </w:pPr>
          </w:p>
        </w:tc>
      </w:tr>
    </w:tbl>
    <w:p w14:paraId="2A73C05D" w14:textId="77777777" w:rsidR="00FA5565" w:rsidRDefault="00FA55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5F" w14:textId="77777777">
        <w:trPr>
          <w:tblCellSpacing w:w="15" w:type="dxa"/>
        </w:trPr>
        <w:tc>
          <w:tcPr>
            <w:tcW w:w="0" w:type="auto"/>
            <w:shd w:val="clear" w:color="auto" w:fill="auto"/>
            <w:vAlign w:val="center"/>
          </w:tcPr>
          <w:p w14:paraId="2A73C05E" w14:textId="77777777" w:rsidR="00FA5565" w:rsidRDefault="00FA5565">
            <w:pPr>
              <w:rPr>
                <w:rFonts w:ascii="宋体"/>
              </w:rPr>
            </w:pPr>
          </w:p>
        </w:tc>
      </w:tr>
    </w:tbl>
    <w:p w14:paraId="2A73C060" w14:textId="77777777" w:rsidR="00FA5565" w:rsidRDefault="00D804D1">
      <w:r>
        <w:rPr>
          <w:rFonts w:ascii="宋体" w:eastAsia="宋体" w:hAnsi="宋体" w:cs="宋体"/>
        </w:rPr>
        <w:t xml:space="preserve">Previous Next </w:t>
      </w:r>
    </w:p>
    <w:p w14:paraId="2A73C061" w14:textId="77777777" w:rsidR="00FA5565" w:rsidRDefault="00D804D1">
      <w:pPr>
        <w:pStyle w:val="a3"/>
      </w:pPr>
      <w:r>
        <w:t>Settings</w:t>
      </w:r>
    </w:p>
    <w:p w14:paraId="2A73C062" w14:textId="77777777" w:rsidR="00FA5565" w:rsidRDefault="00D804D1">
      <w:pPr>
        <w:pStyle w:val="Style4"/>
      </w:pPr>
      <w:r>
        <w:t>窗体顶端</w:t>
      </w:r>
    </w:p>
    <w:p w14:paraId="2A73C063" w14:textId="77777777" w:rsidR="00FA5565" w:rsidRDefault="00D804D1">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A73C0DE" wp14:editId="2A73C0DF">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2A73C064" w14:textId="77777777" w:rsidR="00FA5565" w:rsidRDefault="00D804D1">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A73C0E0" wp14:editId="2A73C0E1">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2A73C065" w14:textId="77777777" w:rsidR="00FA5565" w:rsidRDefault="00D804D1">
      <w:r>
        <w:pict w14:anchorId="2A73C0E2">
          <v:rect id="_x0000_i1090" style="width:415.3pt;height:1.5pt" o:hralign="center" o:hrstd="t" o:hr="t" fillcolor="#a0a0a0" stroked="f"/>
        </w:pict>
      </w:r>
    </w:p>
    <w:p w14:paraId="2A73C066" w14:textId="77777777" w:rsidR="00FA5565" w:rsidRDefault="00D804D1">
      <w:r>
        <w:rPr>
          <w:rFonts w:ascii="宋体" w:eastAsia="宋体" w:hAnsi="宋体" w:cs="宋体"/>
        </w:rPr>
        <w:t xml:space="preserve">Tagged Data </w:t>
      </w:r>
    </w:p>
    <w:p w14:paraId="2A73C067" w14:textId="77777777" w:rsidR="00FA5565" w:rsidRDefault="00D804D1">
      <w:r>
        <w:rPr>
          <w:rFonts w:ascii="monospace" w:eastAsia="monospace" w:hAnsi="monospace" w:cs="monospace"/>
          <w:noProof/>
        </w:rPr>
        <mc:AlternateContent>
          <mc:Choice Requires="wps">
            <w:drawing>
              <wp:inline distT="0" distB="0" distL="114300" distR="114300" wp14:anchorId="2A73C0E3" wp14:editId="2A73C0E4">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14:paraId="2A73C068" w14:textId="77777777" w:rsidR="00FA5565" w:rsidRDefault="00D804D1">
      <w:r>
        <w:rPr>
          <w:rFonts w:ascii="宋体" w:eastAsia="宋体" w:hAnsi="宋体" w:cs="宋体"/>
        </w:rPr>
        <w:t>Save</w:t>
      </w:r>
    </w:p>
    <w:p w14:paraId="2A73C069" w14:textId="77777777" w:rsidR="00FA5565" w:rsidRDefault="00D804D1">
      <w:r>
        <w:rPr>
          <w:rFonts w:ascii="宋体" w:eastAsia="宋体" w:hAnsi="宋体" w:cs="宋体"/>
        </w:rPr>
        <w:t>Reset</w:t>
      </w:r>
    </w:p>
    <w:p w14:paraId="2A73C06A" w14:textId="77777777" w:rsidR="00FA5565" w:rsidRDefault="00D804D1">
      <w:r>
        <w:pict w14:anchorId="2A73C0E5">
          <v:rect id="_x0000_i1091" style="width:415.3pt;height:1.5pt" o:hralign="center" o:hrstd="t" o:hr="t" fillcolor="#a0a0a0" stroked="f"/>
        </w:pict>
      </w:r>
    </w:p>
    <w:p w14:paraId="2A73C06B" w14:textId="77777777" w:rsidR="00FA5565" w:rsidRDefault="00D804D1">
      <w:r>
        <w:rPr>
          <w:rFonts w:ascii="宋体" w:eastAsia="宋体" w:hAnsi="宋体" w:cs="宋体"/>
        </w:rPr>
        <w:t xml:space="preserve">Search Results </w:t>
      </w:r>
    </w:p>
    <w:p w14:paraId="2A73C06C" w14:textId="77777777" w:rsidR="00FA5565" w:rsidRDefault="00D804D1">
      <w:r>
        <w:rPr>
          <w:rFonts w:ascii="monospace" w:eastAsia="monospace" w:hAnsi="monospace" w:cs="monospace"/>
          <w:noProof/>
        </w:rPr>
        <mc:AlternateContent>
          <mc:Choice Requires="wps">
            <w:drawing>
              <wp:inline distT="0" distB="0" distL="114300" distR="114300" wp14:anchorId="2A73C0E6" wp14:editId="2A73C0E7">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p w14:paraId="2A73C06D" w14:textId="77777777" w:rsidR="00FA5565" w:rsidRDefault="00D804D1">
      <w:r>
        <w:rPr>
          <w:rFonts w:ascii="宋体" w:eastAsia="宋体" w:hAnsi="宋体" w:cs="宋体"/>
        </w:rPr>
        <w:t>Save</w:t>
      </w:r>
    </w:p>
    <w:p w14:paraId="2A73C06E" w14:textId="77777777" w:rsidR="00FA5565" w:rsidRDefault="00D804D1">
      <w:r>
        <w:rPr>
          <w:rFonts w:ascii="宋体" w:eastAsia="宋体" w:hAnsi="宋体" w:cs="宋体"/>
        </w:rPr>
        <w:t>Reset</w:t>
      </w:r>
    </w:p>
    <w:p w14:paraId="2A73C06F" w14:textId="77777777" w:rsidR="00FA5565" w:rsidRDefault="00D804D1">
      <w:r>
        <w:pict w14:anchorId="2A73C0E8">
          <v:rect id="_x0000_i1092" style="width:415.3pt;height:1.5pt" o:hralign="center" o:hrstd="t" o:hr="t" fillcolor="#a0a0a0" stroked="f"/>
        </w:pict>
      </w:r>
    </w:p>
    <w:p w14:paraId="2A73C070" w14:textId="77777777" w:rsidR="00FA5565" w:rsidRDefault="00D804D1">
      <w:r>
        <w:rPr>
          <w:rFonts w:ascii="宋体" w:eastAsia="宋体" w:hAnsi="宋体" w:cs="宋体"/>
        </w:rPr>
        <w:t xml:space="preserve">Selected Fact </w:t>
      </w:r>
    </w:p>
    <w:p w14:paraId="2A73C071" w14:textId="77777777" w:rsidR="00FA5565" w:rsidRDefault="00D804D1">
      <w:r>
        <w:rPr>
          <w:rFonts w:ascii="monospace" w:eastAsia="monospace" w:hAnsi="monospace" w:cs="monospace"/>
          <w:noProof/>
        </w:rPr>
        <mc:AlternateContent>
          <mc:Choice Requires="wps">
            <w:drawing>
              <wp:inline distT="0" distB="0" distL="114300" distR="114300" wp14:anchorId="2A73C0E9" wp14:editId="2A73C0EA">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14:paraId="2A73C072" w14:textId="77777777" w:rsidR="00FA5565" w:rsidRDefault="00D804D1">
      <w:r>
        <w:rPr>
          <w:rFonts w:ascii="宋体" w:eastAsia="宋体" w:hAnsi="宋体" w:cs="宋体"/>
        </w:rPr>
        <w:t>Save</w:t>
      </w:r>
    </w:p>
    <w:p w14:paraId="2A73C073" w14:textId="77777777" w:rsidR="00FA5565" w:rsidRDefault="00D804D1">
      <w:r>
        <w:rPr>
          <w:rFonts w:ascii="宋体" w:eastAsia="宋体" w:hAnsi="宋体" w:cs="宋体"/>
        </w:rPr>
        <w:t>Reset</w:t>
      </w:r>
    </w:p>
    <w:p w14:paraId="2A73C074" w14:textId="77777777" w:rsidR="00FA5565" w:rsidRDefault="00D804D1">
      <w:r>
        <w:pict w14:anchorId="2A73C0EB">
          <v:rect id="_x0000_i1093" style="width:415.3pt;height:1.5pt" o:hralign="center" o:hrstd="t" o:hr="t" fillcolor="#a0a0a0" stroked="f"/>
        </w:pict>
      </w:r>
    </w:p>
    <w:p w14:paraId="2A73C075" w14:textId="77777777" w:rsidR="00FA5565" w:rsidRDefault="00D804D1">
      <w:r>
        <w:rPr>
          <w:rFonts w:ascii="宋体" w:eastAsia="宋体" w:hAnsi="宋体" w:cs="宋体"/>
        </w:rPr>
        <w:t xml:space="preserve">Tag Shading (hover) </w:t>
      </w:r>
    </w:p>
    <w:p w14:paraId="2A73C076" w14:textId="77777777" w:rsidR="00FA5565" w:rsidRDefault="00D804D1">
      <w:r>
        <w:rPr>
          <w:rFonts w:ascii="monospace" w:eastAsia="monospace" w:hAnsi="monospace" w:cs="monospace"/>
          <w:noProof/>
        </w:rPr>
        <mc:AlternateContent>
          <mc:Choice Requires="wps">
            <w:drawing>
              <wp:inline distT="0" distB="0" distL="114300" distR="114300" wp14:anchorId="2A73C0EC" wp14:editId="2A73C0ED">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14:paraId="2A73C077" w14:textId="77777777" w:rsidR="00FA5565" w:rsidRDefault="00D804D1">
      <w:r>
        <w:rPr>
          <w:rFonts w:ascii="宋体" w:eastAsia="宋体" w:hAnsi="宋体" w:cs="宋体"/>
        </w:rPr>
        <w:t>Save</w:t>
      </w:r>
    </w:p>
    <w:p w14:paraId="2A73C078" w14:textId="77777777" w:rsidR="00FA5565" w:rsidRDefault="00D804D1">
      <w:r>
        <w:rPr>
          <w:rFonts w:ascii="宋体" w:eastAsia="宋体" w:hAnsi="宋体" w:cs="宋体"/>
        </w:rPr>
        <w:t>Reset</w:t>
      </w:r>
    </w:p>
    <w:p w14:paraId="2A73C079" w14:textId="77777777" w:rsidR="00FA5565" w:rsidRDefault="00D804D1">
      <w:pPr>
        <w:pStyle w:val="Style5"/>
      </w:pPr>
      <w:r>
        <w:t>窗体底端</w:t>
      </w:r>
    </w:p>
    <w:p w14:paraId="2A73C07A" w14:textId="77777777" w:rsidR="00FA5565" w:rsidRDefault="00D804D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A73C0EE" wp14:editId="2A73C0EF">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7C" w14:textId="77777777">
        <w:trPr>
          <w:tblCellSpacing w:w="15" w:type="dxa"/>
        </w:trPr>
        <w:tc>
          <w:tcPr>
            <w:tcW w:w="0" w:type="auto"/>
            <w:shd w:val="clear" w:color="auto" w:fill="auto"/>
            <w:vAlign w:val="center"/>
          </w:tcPr>
          <w:p w14:paraId="2A73C07B" w14:textId="77777777" w:rsidR="00FA5565" w:rsidRDefault="00FA5565">
            <w:pPr>
              <w:rPr>
                <w:rFonts w:ascii="宋体"/>
              </w:rPr>
            </w:pPr>
          </w:p>
        </w:tc>
      </w:tr>
    </w:tbl>
    <w:p w14:paraId="2A73C07D" w14:textId="77777777" w:rsidR="00FA5565" w:rsidRDefault="00FA55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7F" w14:textId="77777777">
        <w:trPr>
          <w:tblCellSpacing w:w="15" w:type="dxa"/>
        </w:trPr>
        <w:tc>
          <w:tcPr>
            <w:tcW w:w="0" w:type="auto"/>
            <w:shd w:val="clear" w:color="auto" w:fill="auto"/>
            <w:vAlign w:val="center"/>
          </w:tcPr>
          <w:p w14:paraId="2A73C07E" w14:textId="77777777" w:rsidR="00FA5565" w:rsidRDefault="00FA5565">
            <w:pPr>
              <w:rPr>
                <w:rFonts w:ascii="宋体"/>
              </w:rPr>
            </w:pPr>
          </w:p>
        </w:tc>
      </w:tr>
    </w:tbl>
    <w:p w14:paraId="2A73C080" w14:textId="77777777" w:rsidR="00FA5565" w:rsidRDefault="00FA55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82" w14:textId="77777777">
        <w:trPr>
          <w:tblCellSpacing w:w="15" w:type="dxa"/>
        </w:trPr>
        <w:tc>
          <w:tcPr>
            <w:tcW w:w="0" w:type="auto"/>
            <w:shd w:val="clear" w:color="auto" w:fill="auto"/>
            <w:vAlign w:val="center"/>
          </w:tcPr>
          <w:p w14:paraId="2A73C081" w14:textId="77777777" w:rsidR="00FA5565" w:rsidRDefault="00FA5565">
            <w:pPr>
              <w:rPr>
                <w:rFonts w:ascii="宋体"/>
              </w:rPr>
            </w:pPr>
          </w:p>
        </w:tc>
      </w:tr>
    </w:tbl>
    <w:p w14:paraId="2A73C083" w14:textId="77777777" w:rsidR="00FA5565" w:rsidRDefault="00FA55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85" w14:textId="77777777">
        <w:trPr>
          <w:tblCellSpacing w:w="15" w:type="dxa"/>
        </w:trPr>
        <w:tc>
          <w:tcPr>
            <w:tcW w:w="0" w:type="auto"/>
            <w:shd w:val="clear" w:color="auto" w:fill="auto"/>
            <w:vAlign w:val="center"/>
          </w:tcPr>
          <w:p w14:paraId="2A73C084" w14:textId="77777777" w:rsidR="00FA5565" w:rsidRDefault="00FA5565">
            <w:pPr>
              <w:rPr>
                <w:rFonts w:ascii="宋体"/>
              </w:rPr>
            </w:pPr>
          </w:p>
        </w:tc>
      </w:tr>
    </w:tbl>
    <w:p w14:paraId="2A73C086" w14:textId="77777777" w:rsidR="00FA5565" w:rsidRDefault="00D804D1">
      <w:r>
        <w:rPr>
          <w:rFonts w:ascii="宋体" w:eastAsia="宋体" w:hAnsi="宋体" w:cs="宋体"/>
        </w:rPr>
        <w:t xml:space="preserve">Previous Next </w:t>
      </w:r>
    </w:p>
    <w:p w14:paraId="2A73C087" w14:textId="77777777" w:rsidR="00FA5565" w:rsidRDefault="00D804D1">
      <w:pPr>
        <w:pStyle w:val="a3"/>
      </w:pPr>
      <w:r>
        <w:t xml:space="preserve">Nested Facts / </w:t>
      </w:r>
    </w:p>
    <w:p w14:paraId="2A73C088" w14:textId="77777777" w:rsidR="00FA5565" w:rsidRDefault="00D804D1">
      <w:r>
        <w:rPr>
          <w:rFonts w:ascii="宋体" w:eastAsia="宋体" w:hAnsi="宋体" w:cs="宋体"/>
        </w:rPr>
        <w:t xml:space="preserve">Previous Next </w:t>
      </w:r>
    </w:p>
    <w:p w14:paraId="2A73C089" w14:textId="77777777" w:rsidR="00FA5565" w:rsidRDefault="00D804D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A73C0F0" wp14:editId="2A73C0F1">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8B" w14:textId="77777777">
        <w:trPr>
          <w:tblCellSpacing w:w="15" w:type="dxa"/>
        </w:trPr>
        <w:tc>
          <w:tcPr>
            <w:tcW w:w="0" w:type="auto"/>
            <w:shd w:val="clear" w:color="auto" w:fill="auto"/>
            <w:vAlign w:val="center"/>
          </w:tcPr>
          <w:p w14:paraId="2A73C08A" w14:textId="77777777" w:rsidR="00FA5565" w:rsidRDefault="00FA5565">
            <w:pPr>
              <w:rPr>
                <w:rFonts w:ascii="宋体"/>
              </w:rPr>
            </w:pPr>
          </w:p>
        </w:tc>
      </w:tr>
    </w:tbl>
    <w:p w14:paraId="2A73C08C" w14:textId="77777777" w:rsidR="00FA5565" w:rsidRDefault="00FA55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8E" w14:textId="77777777">
        <w:trPr>
          <w:tblCellSpacing w:w="15" w:type="dxa"/>
        </w:trPr>
        <w:tc>
          <w:tcPr>
            <w:tcW w:w="0" w:type="auto"/>
            <w:shd w:val="clear" w:color="auto" w:fill="auto"/>
            <w:vAlign w:val="center"/>
          </w:tcPr>
          <w:p w14:paraId="2A73C08D" w14:textId="77777777" w:rsidR="00FA5565" w:rsidRDefault="00FA5565">
            <w:pPr>
              <w:rPr>
                <w:rFonts w:ascii="宋体"/>
              </w:rPr>
            </w:pPr>
          </w:p>
        </w:tc>
      </w:tr>
    </w:tbl>
    <w:p w14:paraId="2A73C08F" w14:textId="77777777" w:rsidR="00FA5565" w:rsidRDefault="00FA55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91" w14:textId="77777777">
        <w:trPr>
          <w:tblCellSpacing w:w="15" w:type="dxa"/>
        </w:trPr>
        <w:tc>
          <w:tcPr>
            <w:tcW w:w="0" w:type="auto"/>
            <w:shd w:val="clear" w:color="auto" w:fill="auto"/>
            <w:vAlign w:val="center"/>
          </w:tcPr>
          <w:p w14:paraId="2A73C090" w14:textId="77777777" w:rsidR="00FA5565" w:rsidRDefault="00FA5565">
            <w:pPr>
              <w:rPr>
                <w:rFonts w:ascii="宋体"/>
              </w:rPr>
            </w:pPr>
          </w:p>
        </w:tc>
      </w:tr>
    </w:tbl>
    <w:p w14:paraId="2A73C092" w14:textId="77777777" w:rsidR="00FA5565" w:rsidRDefault="00FA55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5565" w14:paraId="2A73C094" w14:textId="77777777">
        <w:trPr>
          <w:tblCellSpacing w:w="15" w:type="dxa"/>
        </w:trPr>
        <w:tc>
          <w:tcPr>
            <w:tcW w:w="0" w:type="auto"/>
            <w:shd w:val="clear" w:color="auto" w:fill="auto"/>
            <w:vAlign w:val="center"/>
          </w:tcPr>
          <w:p w14:paraId="2A73C093" w14:textId="77777777" w:rsidR="00FA5565" w:rsidRDefault="00FA5565">
            <w:pPr>
              <w:rPr>
                <w:rFonts w:ascii="宋体"/>
              </w:rPr>
            </w:pPr>
          </w:p>
        </w:tc>
      </w:tr>
    </w:tbl>
    <w:p w14:paraId="2A73C095" w14:textId="77777777" w:rsidR="00FA5565" w:rsidRDefault="00D804D1">
      <w:r>
        <w:rPr>
          <w:rFonts w:ascii="宋体" w:eastAsia="宋体" w:hAnsi="宋体" w:cs="宋体"/>
        </w:rPr>
        <w:t xml:space="preserve">Previous Next </w:t>
      </w:r>
    </w:p>
    <w:p w14:paraId="2A73C096" w14:textId="77777777" w:rsidR="00FA5565" w:rsidRDefault="00FA5565"/>
    <w:sectPr w:rsidR="00FA556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B450A" w14:textId="77777777" w:rsidR="00D804D1" w:rsidRDefault="00D804D1" w:rsidP="00D804D1">
      <w:r>
        <w:separator/>
      </w:r>
    </w:p>
  </w:endnote>
  <w:endnote w:type="continuationSeparator" w:id="0">
    <w:p w14:paraId="242DF1C9" w14:textId="77777777" w:rsidR="00D804D1" w:rsidRDefault="00D804D1" w:rsidP="00D8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E89C2" w14:textId="77777777" w:rsidR="00D804D1" w:rsidRDefault="00D804D1" w:rsidP="00D804D1">
      <w:r>
        <w:separator/>
      </w:r>
    </w:p>
  </w:footnote>
  <w:footnote w:type="continuationSeparator" w:id="0">
    <w:p w14:paraId="1EA39284" w14:textId="77777777" w:rsidR="00D804D1" w:rsidRDefault="00D804D1" w:rsidP="00D804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FDCEF"/>
    <w:rsid w:val="FFFFDCEF"/>
    <w:rsid w:val="00D804D1"/>
    <w:rsid w:val="00FA5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39A82"/>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D804D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804D1"/>
    <w:rPr>
      <w:rFonts w:asciiTheme="minorEastAsia" w:hAnsiTheme="minorEastAsia" w:cs="Times New Roman"/>
      <w:sz w:val="18"/>
      <w:szCs w:val="18"/>
    </w:rPr>
  </w:style>
  <w:style w:type="paragraph" w:styleId="a8">
    <w:name w:val="footer"/>
    <w:basedOn w:val="a"/>
    <w:link w:val="a9"/>
    <w:rsid w:val="00D804D1"/>
    <w:pPr>
      <w:tabs>
        <w:tab w:val="center" w:pos="4153"/>
        <w:tab w:val="right" w:pos="8306"/>
      </w:tabs>
      <w:snapToGrid w:val="0"/>
    </w:pPr>
    <w:rPr>
      <w:sz w:val="18"/>
      <w:szCs w:val="18"/>
    </w:rPr>
  </w:style>
  <w:style w:type="character" w:customStyle="1" w:styleId="a9">
    <w:name w:val="页脚 字符"/>
    <w:basedOn w:val="a0"/>
    <w:link w:val="a8"/>
    <w:rsid w:val="00D804D1"/>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320193/000119312515322466/d31615dex41.htm" TargetMode="External"/><Relationship Id="rId21" Type="http://schemas.openxmlformats.org/officeDocument/2006/relationships/hyperlink" Target="https://www.sec.gov/ix?doc=/Archives/edgar/data/0000320193/000032019319000119/a10-k20199282019.htm" TargetMode="External"/><Relationship Id="rId42" Type="http://schemas.openxmlformats.org/officeDocument/2006/relationships/hyperlink" Target="https://www.sec.gov/ix?doc=/Archives/edgar/data/0000320193/000032019319000119/a10-k20199282019.htm" TargetMode="External"/><Relationship Id="rId63" Type="http://schemas.openxmlformats.org/officeDocument/2006/relationships/hyperlink" Target="https://www.sec.gov/ix?doc=/Archives/edgar/data/0000320193/000032019319000119/a10-k20199282019.htm" TargetMode="External"/><Relationship Id="rId84" Type="http://schemas.openxmlformats.org/officeDocument/2006/relationships/hyperlink" Target="https://www.sec.gov/ix?doc=/Archives/edgar/data/0000320193/000032019319000119/a10-k20199282019.htm" TargetMode="External"/><Relationship Id="rId138" Type="http://schemas.openxmlformats.org/officeDocument/2006/relationships/hyperlink" Target="http://www.sec.gov/Archives/edgar/data/320193/000032019317000070/a10-kexhibit1082017.htm" TargetMode="External"/><Relationship Id="rId107" Type="http://schemas.openxmlformats.org/officeDocument/2006/relationships/hyperlink" Target="http://www.sec.gov/Archives/edgar/data/320193/000162828016022047/exhbit3212-15x16.htm" TargetMode="External"/><Relationship Id="rId11" Type="http://schemas.openxmlformats.org/officeDocument/2006/relationships/hyperlink" Target="https://www.sec.gov/ix?doc=/Archives/edgar/data/0000320193/000032019319000119/a10-k20199282019.htm" TargetMode="External"/><Relationship Id="rId32" Type="http://schemas.openxmlformats.org/officeDocument/2006/relationships/hyperlink" Target="https://www.sec.gov/ix?doc=/Archives/edgar/data/0000320193/000032019319000119/a10-k20199282019.htm" TargetMode="External"/><Relationship Id="rId53" Type="http://schemas.openxmlformats.org/officeDocument/2006/relationships/hyperlink" Target="https://www.sec.gov/ix?doc=/Archives/edgar/data/0000320193/000032019319000119/a10-k20199282019.htm" TargetMode="External"/><Relationship Id="rId74" Type="http://schemas.openxmlformats.org/officeDocument/2006/relationships/hyperlink" Target="https://www.sec.gov/ix?doc=/Archives/edgar/data/0000320193/000032019319000119/a10-k20199282019.htm" TargetMode="External"/><Relationship Id="rId128" Type="http://schemas.openxmlformats.org/officeDocument/2006/relationships/hyperlink" Target="http://www.sec.gov/Archives/edgar/data/320193/000119312517282809/d434478dex41.htm" TargetMode="External"/><Relationship Id="rId149" Type="http://schemas.openxmlformats.org/officeDocument/2006/relationships/hyperlink" Target="https://www.sec.gov/Archives/edgar/data/0000320193/000032019319000119/a10-kexhibit2112019.htm" TargetMode="External"/><Relationship Id="rId5" Type="http://schemas.openxmlformats.org/officeDocument/2006/relationships/endnotes" Target="endnotes.xml"/><Relationship Id="rId95" Type="http://schemas.openxmlformats.org/officeDocument/2006/relationships/hyperlink" Target="https://www.sec.gov/ix?doc=/Archives/edgar/data/0000320193/000032019319000119/a10-k20199282019.htm" TargetMode="External"/><Relationship Id="rId22" Type="http://schemas.openxmlformats.org/officeDocument/2006/relationships/hyperlink" Target="https://www.sec.gov/ix?doc=/Archives/edgar/data/0000320193/000032019319000119/a10-k20199282019.htm" TargetMode="External"/><Relationship Id="rId27" Type="http://schemas.openxmlformats.org/officeDocument/2006/relationships/hyperlink" Target="https://www.sec.gov/ix?doc=/Archives/edgar/data/0000320193/000032019319000119/a10-k20199282019.htm" TargetMode="External"/><Relationship Id="rId43" Type="http://schemas.openxmlformats.org/officeDocument/2006/relationships/hyperlink" Target="https://www.sec.gov/ix?doc=/Archives/edgar/data/0000320193/000032019319000119/a10-k20199282019.htm" TargetMode="External"/><Relationship Id="rId48" Type="http://schemas.openxmlformats.org/officeDocument/2006/relationships/hyperlink" Target="https://www.sec.gov/ix?doc=/Archives/edgar/data/0000320193/000032019319000119/a10-k20199282019.htm" TargetMode="External"/><Relationship Id="rId64" Type="http://schemas.openxmlformats.org/officeDocument/2006/relationships/hyperlink" Target="https://www.sec.gov/ix?doc=/Archives/edgar/data/0000320193/000032019319000119/a10-k20199282019.htm" TargetMode="External"/><Relationship Id="rId69" Type="http://schemas.openxmlformats.org/officeDocument/2006/relationships/hyperlink" Target="https://www.sec.gov/ix?doc=/Archives/edgar/data/0000320193/000032019319000119/a10-k20199282019.htm" TargetMode="External"/><Relationship Id="rId113" Type="http://schemas.openxmlformats.org/officeDocument/2006/relationships/hyperlink" Target="http://www.sec.gov/Archives/edgar/data/320193/000119312515039270/d868302dex41.htm" TargetMode="External"/><Relationship Id="rId118" Type="http://schemas.openxmlformats.org/officeDocument/2006/relationships/hyperlink" Target="http://www.sec.gov/Archives/edgar/data/320193/000119312516473562/d143184dex41.htm" TargetMode="External"/><Relationship Id="rId134" Type="http://schemas.openxmlformats.org/officeDocument/2006/relationships/hyperlink" Target="http://www.sec.gov/Archives/edgar/data/320193/000119312509153165/dex102.htm" TargetMode="External"/><Relationship Id="rId139" Type="http://schemas.openxmlformats.org/officeDocument/2006/relationships/hyperlink" Target="http://www.sec.gov/Archives/edgar/data/320193/000119312514383437/d783162dex1013.htm" TargetMode="External"/><Relationship Id="rId80" Type="http://schemas.openxmlformats.org/officeDocument/2006/relationships/hyperlink" Target="https://www.sec.gov/ix?doc=/Archives/edgar/data/0000320193/000032019319000119/a10-k20199282019.htm" TargetMode="External"/><Relationship Id="rId85" Type="http://schemas.openxmlformats.org/officeDocument/2006/relationships/hyperlink" Target="https://www.sec.gov/ix?doc=/Archives/edgar/data/0000320193/000032019319000119/a10-k20199282019.htm" TargetMode="External"/><Relationship Id="rId150" Type="http://schemas.openxmlformats.org/officeDocument/2006/relationships/hyperlink" Target="https://www.sec.gov/Archives/edgar/data/0000320193/000032019319000119/a10-kexhibit2312019.htm" TargetMode="External"/><Relationship Id="rId155" Type="http://schemas.openxmlformats.org/officeDocument/2006/relationships/fontTable" Target="fontTable.xml"/><Relationship Id="rId12" Type="http://schemas.openxmlformats.org/officeDocument/2006/relationships/hyperlink" Target="https://www.sec.gov/ix?doc=/Archives/edgar/data/0000320193/000032019319000119/a10-k20199282019.htm" TargetMode="External"/><Relationship Id="rId17" Type="http://schemas.openxmlformats.org/officeDocument/2006/relationships/hyperlink" Target="https://www.sec.gov/ix?doc=/Archives/edgar/data/0000320193/000032019319000119/a10-k20199282019.htm" TargetMode="External"/><Relationship Id="rId33" Type="http://schemas.openxmlformats.org/officeDocument/2006/relationships/hyperlink" Target="https://www.sec.gov/ix?doc=/Archives/edgar/data/0000320193/000032019319000119/a10-k20199282019.htm" TargetMode="External"/><Relationship Id="rId38" Type="http://schemas.openxmlformats.org/officeDocument/2006/relationships/hyperlink" Target="https://www.sec.gov/ix?doc=/Archives/edgar/data/0000320193/000032019319000119/a10-k20199282019.htm" TargetMode="External"/><Relationship Id="rId59" Type="http://schemas.openxmlformats.org/officeDocument/2006/relationships/hyperlink" Target="https://www.sec.gov/ix?doc=/Archives/edgar/data/0000320193/000032019319000119/a10-k20199282019.htm" TargetMode="External"/><Relationship Id="rId103" Type="http://schemas.openxmlformats.org/officeDocument/2006/relationships/hyperlink" Target="https://www.sec.gov/ix?doc=/Archives/edgar/data/0000320193/000032019319000119/a10-k20199282019.htm" TargetMode="External"/><Relationship Id="rId108" Type="http://schemas.openxmlformats.org/officeDocument/2006/relationships/hyperlink" Target="https://www.sec.gov/Archives/edgar/data/0000320193/000032019319000119/a10-kexhibit412019.htm" TargetMode="External"/><Relationship Id="rId124" Type="http://schemas.openxmlformats.org/officeDocument/2006/relationships/hyperlink" Target="http://www.sec.gov/Archives/edgar/data/320193/000119312517167400/d388721dex41.htm" TargetMode="External"/><Relationship Id="rId129" Type="http://schemas.openxmlformats.org/officeDocument/2006/relationships/hyperlink" Target="http://www.sec.gov/Archives/edgar/data/320193/000119312517341015/d478060dex41.htm" TargetMode="External"/><Relationship Id="rId54" Type="http://schemas.openxmlformats.org/officeDocument/2006/relationships/hyperlink" Target="https://www.sec.gov/ix?doc=/Archives/edgar/data/0000320193/000032019319000119/a10-k20199282019.htm" TargetMode="External"/><Relationship Id="rId70" Type="http://schemas.openxmlformats.org/officeDocument/2006/relationships/hyperlink" Target="https://www.sec.gov/ix?doc=/Archives/edgar/data/0000320193/000032019319000119/a10-k20199282019.htm" TargetMode="External"/><Relationship Id="rId75" Type="http://schemas.openxmlformats.org/officeDocument/2006/relationships/hyperlink" Target="https://www.sec.gov/ix?doc=/Archives/edgar/data/0000320193/000032019319000119/a10-k20199282019.htm" TargetMode="External"/><Relationship Id="rId91" Type="http://schemas.openxmlformats.org/officeDocument/2006/relationships/hyperlink" Target="https://www.sec.gov/ix?doc=/Archives/edgar/data/0000320193/000032019319000119/a10-k20199282019.htm" TargetMode="External"/><Relationship Id="rId96" Type="http://schemas.openxmlformats.org/officeDocument/2006/relationships/hyperlink" Target="https://www.sec.gov/ix?doc=/Archives/edgar/data/0000320193/000032019319000119/a10-k20199282019.htm" TargetMode="External"/><Relationship Id="rId140" Type="http://schemas.openxmlformats.org/officeDocument/2006/relationships/hyperlink" Target="http://www.sec.gov/Archives/edgar/data/320193/000119312516559625/d165350dex1016.htm" TargetMode="External"/><Relationship Id="rId145" Type="http://schemas.openxmlformats.org/officeDocument/2006/relationships/hyperlink" Target="http://www.sec.gov/Archives/edgar/data/320193/000032019318000145/a10-kexhibit10172018.htm" TargetMode="External"/><Relationship Id="rId1" Type="http://schemas.openxmlformats.org/officeDocument/2006/relationships/styles" Target="styles.xml"/><Relationship Id="rId23" Type="http://schemas.openxmlformats.org/officeDocument/2006/relationships/hyperlink" Target="https://www.sec.gov/ix?doc=/Archives/edgar/data/0000320193/000032019319000119/a10-k20199282019.htm" TargetMode="External"/><Relationship Id="rId28" Type="http://schemas.openxmlformats.org/officeDocument/2006/relationships/hyperlink" Target="https://www.sec.gov/ix?doc=/Archives/edgar/data/0000320193/000032019319000119/a10-k20199282019.htm" TargetMode="External"/><Relationship Id="rId49" Type="http://schemas.openxmlformats.org/officeDocument/2006/relationships/hyperlink" Target="https://www.sec.gov/ix?doc=/Archives/edgar/data/0000320193/000032019319000119/a10-k20199282019.htm" TargetMode="External"/><Relationship Id="rId114" Type="http://schemas.openxmlformats.org/officeDocument/2006/relationships/hyperlink" Target="http://www.sec.gov/Archives/edgar/data/320193/000119312515186064/d923398dex41.htm" TargetMode="External"/><Relationship Id="rId119" Type="http://schemas.openxmlformats.org/officeDocument/2006/relationships/hyperlink" Target="http://www.sec.gov/Archives/edgar/data/320193/000119312516516891/d161597dex41.htm" TargetMode="External"/><Relationship Id="rId44" Type="http://schemas.openxmlformats.org/officeDocument/2006/relationships/hyperlink" Target="https://www.sec.gov/ix?doc=/Archives/edgar/data/0000320193/000032019319000119/a10-k20199282019.htm" TargetMode="External"/><Relationship Id="rId60" Type="http://schemas.openxmlformats.org/officeDocument/2006/relationships/hyperlink" Target="https://www.sec.gov/ix?doc=/Archives/edgar/data/0000320193/000032019319000119/a10-k20199282019.htm" TargetMode="External"/><Relationship Id="rId65" Type="http://schemas.openxmlformats.org/officeDocument/2006/relationships/hyperlink" Target="https://www.sec.gov/ix?doc=/Archives/edgar/data/0000320193/000032019319000119/a10-k20199282019.htm" TargetMode="External"/><Relationship Id="rId81" Type="http://schemas.openxmlformats.org/officeDocument/2006/relationships/hyperlink" Target="https://www.sec.gov/ix?doc=/Archives/edgar/data/0000320193/000032019319000119/a10-k20199282019.htm" TargetMode="External"/><Relationship Id="rId86" Type="http://schemas.openxmlformats.org/officeDocument/2006/relationships/hyperlink" Target="https://www.sec.gov/ix?doc=/Archives/edgar/data/0000320193/000032019319000119/a10-k20199282019.htm" TargetMode="External"/><Relationship Id="rId130" Type="http://schemas.openxmlformats.org/officeDocument/2006/relationships/hyperlink" Target="http://www.sec.gov/Archives/edgar/data/320193/000119312518317844/d644900dex41.htm" TargetMode="External"/><Relationship Id="rId135" Type="http://schemas.openxmlformats.org/officeDocument/2006/relationships/hyperlink" Target="http://www.sec.gov/Archives/edgar/data/320193/000119312518045761/d374908dex101.htm" TargetMode="External"/><Relationship Id="rId151" Type="http://schemas.openxmlformats.org/officeDocument/2006/relationships/hyperlink" Target="https://www.sec.gov/ix?doc=/Archives/edgar/data/0000320193/000032019319000119/a10-k20199282019.htm" TargetMode="External"/><Relationship Id="rId156" Type="http://schemas.openxmlformats.org/officeDocument/2006/relationships/theme" Target="theme/theme1.xml"/><Relationship Id="rId13" Type="http://schemas.openxmlformats.org/officeDocument/2006/relationships/hyperlink" Target="https://www.sec.gov/ix?doc=/Archives/edgar/data/0000320193/000032019319000119/a10-k20199282019.htm" TargetMode="External"/><Relationship Id="rId18" Type="http://schemas.openxmlformats.org/officeDocument/2006/relationships/hyperlink" Target="https://www.sec.gov/ix?doc=/Archives/edgar/data/0000320193/000032019319000119/a10-k20199282019.htm" TargetMode="External"/><Relationship Id="rId39" Type="http://schemas.openxmlformats.org/officeDocument/2006/relationships/hyperlink" Target="https://www.sec.gov/ix?doc=/Archives/edgar/data/0000320193/000032019319000119/a10-k20199282019.htm" TargetMode="External"/><Relationship Id="rId109" Type="http://schemas.openxmlformats.org/officeDocument/2006/relationships/hyperlink" Target="http://www.sec.gov/Archives/edgar/data/320193/000119312513179942/d527270dex41.htm" TargetMode="External"/><Relationship Id="rId34" Type="http://schemas.openxmlformats.org/officeDocument/2006/relationships/hyperlink" Target="https://www.sec.gov/ix?doc=/Archives/edgar/data/0000320193/000032019319000119/a10-k20199282019.htm" TargetMode="External"/><Relationship Id="rId50" Type="http://schemas.openxmlformats.org/officeDocument/2006/relationships/hyperlink" Target="https://www.sec.gov/ix?doc=/Archives/edgar/data/0000320193/000032019319000119/a10-k20199282019.htm" TargetMode="External"/><Relationship Id="rId55" Type="http://schemas.openxmlformats.org/officeDocument/2006/relationships/hyperlink" Target="https://www.sec.gov/ix?doc=/Archives/edgar/data/0000320193/000032019319000119/a10-k20199282019.htm" TargetMode="External"/><Relationship Id="rId76" Type="http://schemas.openxmlformats.org/officeDocument/2006/relationships/hyperlink" Target="https://www.sec.gov/ix?doc=/Archives/edgar/data/0000320193/000032019319000119/a10-k20199282019.htm" TargetMode="External"/><Relationship Id="rId97" Type="http://schemas.openxmlformats.org/officeDocument/2006/relationships/hyperlink" Target="https://www.sec.gov/ix?doc=/Archives/edgar/data/0000320193/000032019319000119/a10-k20199282019.htm" TargetMode="External"/><Relationship Id="rId104" Type="http://schemas.openxmlformats.org/officeDocument/2006/relationships/hyperlink" Target="https://www.sec.gov/ix?doc=/Archives/edgar/data/0000320193/000032019319000119/a10-k20199282019.htm" TargetMode="External"/><Relationship Id="rId120" Type="http://schemas.openxmlformats.org/officeDocument/2006/relationships/hyperlink" Target="http://www.sec.gov/Archives/edgar/data/320193/000119312516628957/d209946dex41.htm" TargetMode="External"/><Relationship Id="rId125" Type="http://schemas.openxmlformats.org/officeDocument/2006/relationships/hyperlink" Target="http://www.sec.gov/Archives/edgar/data/320193/000119312517181867/d583637dex41.htm" TargetMode="External"/><Relationship Id="rId141" Type="http://schemas.openxmlformats.org/officeDocument/2006/relationships/hyperlink" Target="http://www.sec.gov/Archives/edgar/data/320193/000162828016020309/exhibit101810k2016.htm" TargetMode="External"/><Relationship Id="rId146" Type="http://schemas.openxmlformats.org/officeDocument/2006/relationships/hyperlink" Target="http://www.sec.gov/Archives/edgar/data/320193/000032019318000145/a10-kexhibit10182018.htm" TargetMode="External"/><Relationship Id="rId7" Type="http://schemas.openxmlformats.org/officeDocument/2006/relationships/hyperlink" Target="https://www.sec.gov/ix?doc=/Archives/edgar/data/0000320193/000032019319000119/a10-k20199282019.htm" TargetMode="External"/><Relationship Id="rId71" Type="http://schemas.openxmlformats.org/officeDocument/2006/relationships/hyperlink" Target="https://www.sec.gov/ix?doc=/Archives/edgar/data/0000320193/000032019319000119/a10-k20199282019.htm" TargetMode="External"/><Relationship Id="rId92" Type="http://schemas.openxmlformats.org/officeDocument/2006/relationships/hyperlink" Target="https://www.sec.gov/ix?doc=/Archives/edgar/data/0000320193/000032019319000119/a10-k20199282019.htm" TargetMode="External"/><Relationship Id="rId2" Type="http://schemas.openxmlformats.org/officeDocument/2006/relationships/settings" Target="settings.xml"/><Relationship Id="rId29" Type="http://schemas.openxmlformats.org/officeDocument/2006/relationships/hyperlink" Target="https://www.sec.gov/ix?doc=/Archives/edgar/data/0000320193/000032019319000119/a10-k20199282019.htm" TargetMode="External"/><Relationship Id="rId24" Type="http://schemas.openxmlformats.org/officeDocument/2006/relationships/hyperlink" Target="https://www.sec.gov/ix?doc=/Archives/edgar/data/0000320193/000032019319000119/a10-k20199282019.htm" TargetMode="External"/><Relationship Id="rId40" Type="http://schemas.openxmlformats.org/officeDocument/2006/relationships/hyperlink" Target="https://www.sec.gov/ix?doc=/Archives/edgar/data/0000320193/000032019319000119/a10-k20199282019.htm" TargetMode="External"/><Relationship Id="rId45" Type="http://schemas.openxmlformats.org/officeDocument/2006/relationships/hyperlink" Target="https://www.sec.gov/ix?doc=/Archives/edgar/data/0000320193/000032019319000119/a10-k20199282019.htm" TargetMode="External"/><Relationship Id="rId66" Type="http://schemas.openxmlformats.org/officeDocument/2006/relationships/hyperlink" Target="https://www.sec.gov/ix?doc=/Archives/edgar/data/0000320193/000032019319000119/a10-k20199282019.htm" TargetMode="External"/><Relationship Id="rId87" Type="http://schemas.openxmlformats.org/officeDocument/2006/relationships/hyperlink" Target="https://www.sec.gov/ix?doc=/Archives/edgar/data/0000320193/000032019319000119/a10-k20199282019.htm" TargetMode="External"/><Relationship Id="rId110" Type="http://schemas.openxmlformats.org/officeDocument/2006/relationships/hyperlink" Target="http://www.sec.gov/Archives/edgar/data/320193/000119312513199324/d529124dex41.htm" TargetMode="External"/><Relationship Id="rId115" Type="http://schemas.openxmlformats.org/officeDocument/2006/relationships/hyperlink" Target="http://www.sec.gov/Archives/edgar/data/320193/000119312515219298/d938654dex41.htm" TargetMode="External"/><Relationship Id="rId131" Type="http://schemas.openxmlformats.org/officeDocument/2006/relationships/hyperlink" Target="http://www.sec.gov/Archives/edgar/data/320193/000119312519242975/d777124dex41.htm" TargetMode="External"/><Relationship Id="rId136" Type="http://schemas.openxmlformats.org/officeDocument/2006/relationships/hyperlink" Target="http://www.sec.gov/Archives/edgar/data/320193/000119312510044765/dex101.htm" TargetMode="External"/><Relationship Id="rId61" Type="http://schemas.openxmlformats.org/officeDocument/2006/relationships/hyperlink" Target="https://www.sec.gov/ix?doc=/Archives/edgar/data/0000320193/000032019319000119/a10-k20199282019.htm" TargetMode="External"/><Relationship Id="rId82" Type="http://schemas.openxmlformats.org/officeDocument/2006/relationships/hyperlink" Target="https://www.sec.gov/ix?doc=/Archives/edgar/data/0000320193/000032019319000119/a10-k20199282019.htm" TargetMode="External"/><Relationship Id="rId152" Type="http://schemas.openxmlformats.org/officeDocument/2006/relationships/hyperlink" Target="https://www.sec.gov/Archives/edgar/data/0000320193/000032019319000119/a10-kexhibit3112019.htm" TargetMode="External"/><Relationship Id="rId19" Type="http://schemas.openxmlformats.org/officeDocument/2006/relationships/hyperlink" Target="https://www.sec.gov/ix?doc=/Archives/edgar/data/0000320193/000032019319000119/a10-k20199282019.htm" TargetMode="External"/><Relationship Id="rId14" Type="http://schemas.openxmlformats.org/officeDocument/2006/relationships/hyperlink" Target="https://www.sec.gov/ix?doc=/Archives/edgar/data/0000320193/000032019319000119/a10-k20199282019.htm" TargetMode="External"/><Relationship Id="rId30" Type="http://schemas.openxmlformats.org/officeDocument/2006/relationships/hyperlink" Target="https://www.sec.gov/ix?doc=/Archives/edgar/data/0000320193/000032019319000119/a10-k20199282019.htm" TargetMode="External"/><Relationship Id="rId35" Type="http://schemas.openxmlformats.org/officeDocument/2006/relationships/hyperlink" Target="https://www.sec.gov/ix?doc=/Archives/edgar/data/0000320193/000032019319000119/a10-k20199282019.htm" TargetMode="External"/><Relationship Id="rId56" Type="http://schemas.openxmlformats.org/officeDocument/2006/relationships/hyperlink" Target="https://www.sec.gov/ix?doc=/Archives/edgar/data/0000320193/000032019319000119/a10-k20199282019.htm" TargetMode="External"/><Relationship Id="rId77" Type="http://schemas.openxmlformats.org/officeDocument/2006/relationships/hyperlink" Target="https://www.sec.gov/ix?doc=/Archives/edgar/data/0000320193/000032019319000119/a10-k20199282019.htm" TargetMode="External"/><Relationship Id="rId100" Type="http://schemas.openxmlformats.org/officeDocument/2006/relationships/hyperlink" Target="https://www.sec.gov/ix?doc=/Archives/edgar/data/0000320193/000032019319000119/a10-k20199282019.htm" TargetMode="External"/><Relationship Id="rId105" Type="http://schemas.openxmlformats.org/officeDocument/2006/relationships/hyperlink" Target="https://www.sec.gov/ix?doc=/Archives/edgar/data/0000320193/000032019319000119/a10-k20199282019.htm" TargetMode="External"/><Relationship Id="rId126" Type="http://schemas.openxmlformats.org/officeDocument/2006/relationships/hyperlink" Target="http://www.sec.gov/Archives/edgar/data/320193/000119312517208226/d413980dex41.htm" TargetMode="External"/><Relationship Id="rId147" Type="http://schemas.openxmlformats.org/officeDocument/2006/relationships/hyperlink" Target="https://www.sec.gov/Archives/edgar/data/0000320193/000032019319000119/a10-kexhibit10152019.htm" TargetMode="External"/><Relationship Id="rId8" Type="http://schemas.openxmlformats.org/officeDocument/2006/relationships/hyperlink" Target="https://www.sec.gov/ix?doc=/Archives/edgar/data/0000320193/000032019319000119/a10-k20199282019.htm" TargetMode="External"/><Relationship Id="rId51" Type="http://schemas.openxmlformats.org/officeDocument/2006/relationships/hyperlink" Target="https://www.sec.gov/ix?doc=/Archives/edgar/data/0000320193/000032019319000119/a10-k20199282019.htm" TargetMode="External"/><Relationship Id="rId72" Type="http://schemas.openxmlformats.org/officeDocument/2006/relationships/hyperlink" Target="https://www.sec.gov/ix?doc=/Archives/edgar/data/0000320193/000032019319000119/a10-k20199282019.htm" TargetMode="External"/><Relationship Id="rId93" Type="http://schemas.openxmlformats.org/officeDocument/2006/relationships/hyperlink" Target="https://www.sec.gov/ix?doc=/Archives/edgar/data/0000320193/000032019319000119/a10-k20199282019.htm" TargetMode="External"/><Relationship Id="rId98" Type="http://schemas.openxmlformats.org/officeDocument/2006/relationships/hyperlink" Target="https://www.sec.gov/ix?doc=/Archives/edgar/data/0000320193/000032019319000119/a10-k20199282019.htm" TargetMode="External"/><Relationship Id="rId121" Type="http://schemas.openxmlformats.org/officeDocument/2006/relationships/hyperlink" Target="http://www.sec.gov/Archives/edgar/data/320193/000119312516672044/d234980dex41.htm" TargetMode="External"/><Relationship Id="rId142" Type="http://schemas.openxmlformats.org/officeDocument/2006/relationships/hyperlink" Target="http://www.sec.gov/Archives/edgar/data/320193/000032019317000070/a10-kexhibit10202017.htm" TargetMode="External"/><Relationship Id="rId3" Type="http://schemas.openxmlformats.org/officeDocument/2006/relationships/webSettings" Target="webSettings.xml"/><Relationship Id="rId25" Type="http://schemas.openxmlformats.org/officeDocument/2006/relationships/hyperlink" Target="https://www.sec.gov/ix?doc=/Archives/edgar/data/0000320193/000032019319000119/a10-k20199282019.htm" TargetMode="External"/><Relationship Id="rId46" Type="http://schemas.openxmlformats.org/officeDocument/2006/relationships/hyperlink" Target="https://www.sec.gov/ix?doc=/Archives/edgar/data/0000320193/000032019319000119/a10-k20199282019.htm" TargetMode="External"/><Relationship Id="rId67" Type="http://schemas.openxmlformats.org/officeDocument/2006/relationships/hyperlink" Target="https://www.sec.gov/ix?doc=/Archives/edgar/data/0000320193/000032019319000119/a10-k20199282019.htm" TargetMode="External"/><Relationship Id="rId116" Type="http://schemas.openxmlformats.org/officeDocument/2006/relationships/hyperlink" Target="http://www.sec.gov/Archives/edgar/data/320193/000119312515273023/d12789dex41.htm" TargetMode="External"/><Relationship Id="rId137" Type="http://schemas.openxmlformats.org/officeDocument/2006/relationships/hyperlink" Target="http://www.sec.gov/Archives/edgar/data/320193/000119312511010144/dex1010.htm" TargetMode="External"/><Relationship Id="rId20" Type="http://schemas.openxmlformats.org/officeDocument/2006/relationships/hyperlink" Target="https://www.sec.gov/ix?doc=/Archives/edgar/data/0000320193/000032019319000119/a10-k20199282019.htm" TargetMode="External"/><Relationship Id="rId41" Type="http://schemas.openxmlformats.org/officeDocument/2006/relationships/hyperlink" Target="https://www.sec.gov/ix?doc=/Archives/edgar/data/0000320193/000032019319000119/a10-k20199282019.htm" TargetMode="External"/><Relationship Id="rId62" Type="http://schemas.openxmlformats.org/officeDocument/2006/relationships/hyperlink" Target="https://www.sec.gov/ix?doc=/Archives/edgar/data/0000320193/000032019319000119/a10-k20199282019.htm" TargetMode="External"/><Relationship Id="rId83" Type="http://schemas.openxmlformats.org/officeDocument/2006/relationships/hyperlink" Target="https://www.sec.gov/ix?doc=/Archives/edgar/data/0000320193/000032019319000119/a10-k20199282019.htm" TargetMode="External"/><Relationship Id="rId88" Type="http://schemas.openxmlformats.org/officeDocument/2006/relationships/hyperlink" Target="https://www.sec.gov/ix?doc=/Archives/edgar/data/0000320193/000032019319000119/a10-k20199282019.htm" TargetMode="External"/><Relationship Id="rId111" Type="http://schemas.openxmlformats.org/officeDocument/2006/relationships/hyperlink" Target="http://www.sec.gov/Archives/edgar/data/320193/000119312514184969/d721207dex41.htm" TargetMode="External"/><Relationship Id="rId132" Type="http://schemas.openxmlformats.org/officeDocument/2006/relationships/hyperlink" Target="http://www.sec.gov/Archives/edgar/data/320193/000119312518256354/d609898dex41.htm" TargetMode="External"/><Relationship Id="rId153" Type="http://schemas.openxmlformats.org/officeDocument/2006/relationships/hyperlink" Target="https://www.sec.gov/Archives/edgar/data/0000320193/000032019319000119/a10-kexhibit3122019.htm" TargetMode="External"/><Relationship Id="rId15" Type="http://schemas.openxmlformats.org/officeDocument/2006/relationships/hyperlink" Target="https://www.sec.gov/ix?doc=/Archives/edgar/data/0000320193/000032019319000119/a10-k20199282019.htm" TargetMode="External"/><Relationship Id="rId36" Type="http://schemas.openxmlformats.org/officeDocument/2006/relationships/hyperlink" Target="https://www.sec.gov/ix?doc=/Archives/edgar/data/0000320193/000032019319000119/a10-k20199282019.htm" TargetMode="External"/><Relationship Id="rId57" Type="http://schemas.openxmlformats.org/officeDocument/2006/relationships/hyperlink" Target="https://www.sec.gov/ix?doc=/Archives/edgar/data/0000320193/000032019319000119/a10-k20199282019.htm" TargetMode="External"/><Relationship Id="rId106" Type="http://schemas.openxmlformats.org/officeDocument/2006/relationships/hyperlink" Target="http://www.sec.gov/Archives/edgar/data/320193/000119312514228798/d739696dex31.htm" TargetMode="External"/><Relationship Id="rId127" Type="http://schemas.openxmlformats.org/officeDocument/2006/relationships/hyperlink" Target="http://www.sec.gov/Archives/edgar/data/320193/000119312517262261/d593893dex41.htm" TargetMode="External"/><Relationship Id="rId10" Type="http://schemas.openxmlformats.org/officeDocument/2006/relationships/hyperlink" Target="https://www.sec.gov/ix?doc=/Archives/edgar/data/0000320193/000032019319000119/a10-k20199282019.htm" TargetMode="External"/><Relationship Id="rId31" Type="http://schemas.openxmlformats.org/officeDocument/2006/relationships/hyperlink" Target="https://www.sec.gov/ix?doc=/Archives/edgar/data/0000320193/000032019319000119/a10-k20199282019.htm" TargetMode="External"/><Relationship Id="rId52" Type="http://schemas.openxmlformats.org/officeDocument/2006/relationships/hyperlink" Target="https://www.sec.gov/ix?doc=/Archives/edgar/data/0000320193/000032019319000119/a10-k20199282019.htm" TargetMode="External"/><Relationship Id="rId73" Type="http://schemas.openxmlformats.org/officeDocument/2006/relationships/hyperlink" Target="https://www.sec.gov/ix?doc=/Archives/edgar/data/0000320193/000032019319000119/a10-k20199282019.htm" TargetMode="External"/><Relationship Id="rId78" Type="http://schemas.openxmlformats.org/officeDocument/2006/relationships/hyperlink" Target="https://www.sec.gov/ix?doc=/Archives/edgar/data/0000320193/000032019319000119/a10-k20199282019.htm" TargetMode="External"/><Relationship Id="rId94" Type="http://schemas.openxmlformats.org/officeDocument/2006/relationships/hyperlink" Target="https://www.sec.gov/ix?doc=/Archives/edgar/data/0000320193/000032019319000119/a10-k20199282019.htm" TargetMode="External"/><Relationship Id="rId99" Type="http://schemas.openxmlformats.org/officeDocument/2006/relationships/hyperlink" Target="https://www.sec.gov/ix?doc=/Archives/edgar/data/0000320193/000032019319000119/a10-k20199282019.htm" TargetMode="External"/><Relationship Id="rId101" Type="http://schemas.openxmlformats.org/officeDocument/2006/relationships/hyperlink" Target="https://www.sec.gov/ix?doc=/Archives/edgar/data/0000320193/000032019319000119/a10-k20199282019.htm" TargetMode="External"/><Relationship Id="rId122" Type="http://schemas.openxmlformats.org/officeDocument/2006/relationships/hyperlink" Target="http://www.sec.gov/Archives/edgar/data/320193/000119312517036283/d340350dex41.htm" TargetMode="External"/><Relationship Id="rId143" Type="http://schemas.openxmlformats.org/officeDocument/2006/relationships/hyperlink" Target="http://www.sec.gov/Archives/edgar/data/320193/000032019317000070/a10-kexhibit10212017.htm" TargetMode="External"/><Relationship Id="rId148" Type="http://schemas.openxmlformats.org/officeDocument/2006/relationships/hyperlink" Target="https://www.sec.gov/Archives/edgar/data/0000320193/000032019319000119/a10-kexhibit10162019.htm" TargetMode="External"/><Relationship Id="rId4" Type="http://schemas.openxmlformats.org/officeDocument/2006/relationships/footnotes" Target="footnotes.xml"/><Relationship Id="rId9" Type="http://schemas.openxmlformats.org/officeDocument/2006/relationships/hyperlink" Target="https://www.sec.gov/ix?doc=/Archives/edgar/data/0000320193/000032019319000119/a10-k20199282019.htm" TargetMode="External"/><Relationship Id="rId26" Type="http://schemas.openxmlformats.org/officeDocument/2006/relationships/hyperlink" Target="https://www.sec.gov/ix?doc=/Archives/edgar/data/0000320193/000032019319000119/a10-k20199282019.htm" TargetMode="External"/><Relationship Id="rId47" Type="http://schemas.openxmlformats.org/officeDocument/2006/relationships/hyperlink" Target="https://www.sec.gov/ix?doc=/Archives/edgar/data/0000320193/000032019319000119/a10-k20199282019.htm" TargetMode="External"/><Relationship Id="rId68" Type="http://schemas.openxmlformats.org/officeDocument/2006/relationships/hyperlink" Target="https://www.sec.gov/ix?doc=/Archives/edgar/data/0000320193/000032019319000119/a10-k20199282019.htm" TargetMode="External"/><Relationship Id="rId89" Type="http://schemas.openxmlformats.org/officeDocument/2006/relationships/hyperlink" Target="https://www.sec.gov/ix?doc=/Archives/edgar/data/0000320193/000032019319000119/a10-k20199282019.htm" TargetMode="External"/><Relationship Id="rId112" Type="http://schemas.openxmlformats.org/officeDocument/2006/relationships/hyperlink" Target="http://www.sec.gov/Archives/edgar/data/320193/000119312514406296/d816414dex41.htm" TargetMode="External"/><Relationship Id="rId133" Type="http://schemas.openxmlformats.org/officeDocument/2006/relationships/hyperlink" Target="http://www.sec.gov/Archives/edgar/data/320193/000110465915019336/a15-5624_1ex10d1.htm" TargetMode="External"/><Relationship Id="rId154" Type="http://schemas.openxmlformats.org/officeDocument/2006/relationships/hyperlink" Target="https://www.sec.gov/Archives/edgar/data/0000320193/000032019319000119/a10-kexhibit3212019.htm" TargetMode="External"/><Relationship Id="rId16" Type="http://schemas.openxmlformats.org/officeDocument/2006/relationships/hyperlink" Target="https://www.sec.gov/ix?doc=/Archives/edgar/data/0000320193/000032019319000119/a10-k20199282019.htm" TargetMode="External"/><Relationship Id="rId37" Type="http://schemas.openxmlformats.org/officeDocument/2006/relationships/hyperlink" Target="https://www.sec.gov/ix?doc=/Archives/edgar/data/0000320193/000032019319000119/a10-k20199282019.htm" TargetMode="External"/><Relationship Id="rId58" Type="http://schemas.openxmlformats.org/officeDocument/2006/relationships/hyperlink" Target="https://www.sec.gov/ix?doc=/Archives/edgar/data/0000320193/000032019319000119/a10-k20199282019.htm" TargetMode="External"/><Relationship Id="rId79" Type="http://schemas.openxmlformats.org/officeDocument/2006/relationships/hyperlink" Target="https://www.sec.gov/ix?doc=/Archives/edgar/data/0000320193/000032019319000119/a10-k20199282019.htm" TargetMode="External"/><Relationship Id="rId102" Type="http://schemas.openxmlformats.org/officeDocument/2006/relationships/hyperlink" Target="https://www.sec.gov/ix?doc=/Archives/edgar/data/0000320193/000032019319000119/a10-k20199282019.htm" TargetMode="External"/><Relationship Id="rId123" Type="http://schemas.openxmlformats.org/officeDocument/2006/relationships/hyperlink" Target="http://www.sec.gov/Archives/edgar/data/320193/000119312517069853/d348450dex41.htm" TargetMode="External"/><Relationship Id="rId144" Type="http://schemas.openxmlformats.org/officeDocument/2006/relationships/hyperlink" Target="http://www.sec.gov/Archives/edgar/data/320193/000032019318000070/a10-qexhibit1023312018.htm" TargetMode="External"/><Relationship Id="rId90" Type="http://schemas.openxmlformats.org/officeDocument/2006/relationships/hyperlink" Target="https://www.sec.gov/ix?doc=/Archives/edgar/data/0000320193/000032019319000119/a10-k201992820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43504</Words>
  <Characters>247978</Characters>
  <Application>Microsoft Office Word</Application>
  <DocSecurity>0</DocSecurity>
  <Lines>2066</Lines>
  <Paragraphs>581</Paragraphs>
  <ScaleCrop>false</ScaleCrop>
  <Company/>
  <LinksUpToDate>false</LinksUpToDate>
  <CharactersWithSpaces>290901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2023-02-11T01:17:00Z</dcterms:created>
  <dcterms:modified xsi:type="dcterms:W3CDTF">2023-02-13T12:55:00Z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BC4AFDF8F125D9111F7CE663386ED201</vt:lpwstr>
  </property>
</Properties>
</file>