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D689" w14:textId="7CE8FD99" w:rsidR="00833634" w:rsidRDefault="00E15D51">
      <w:pPr>
        <w:rPr>
          <w:vanish/>
        </w:rPr>
      </w:pPr>
      <w:r>
        <w:rPr>
          <w:rFonts w:ascii="宋体" w:eastAsia="宋体" w:hAnsi="宋体" w:cs="宋体"/>
        </w:rPr>
        <w:t xml:space="preserve"> </w:t>
      </w:r>
      <w:r>
        <w:rPr>
          <w:rFonts w:ascii="宋体" w:eastAsia="宋体" w:hAnsi="宋体" w:cs="宋体"/>
          <w:vanish/>
        </w:rPr>
        <w:t xml:space="preserve">BOEING </w:t>
      </w:r>
      <w:r>
        <w:rPr>
          <w:rFonts w:ascii="宋体" w:eastAsia="宋体" w:hAnsi="宋体" w:cs="宋体"/>
          <w:vanish/>
        </w:rPr>
        <w:t>COFALSE2020Q30000012927--12-31P3YP3Y300000129272020-01-012020-09-30xbrli:shares00000129272020-10-21iso4217:USD0000012927us-gaap:ProductMember2020-01-012020-09-300000012927us-gaap:ProductMember2019-01-012019-09-300000012927us-gaap:ProductMember2020-07-01202</w:t>
      </w:r>
      <w:r>
        <w:rPr>
          <w:rFonts w:ascii="宋体" w:eastAsia="宋体" w:hAnsi="宋体" w:cs="宋体"/>
          <w:vanish/>
        </w:rPr>
        <w:t>0-09-300000012927us-gaap:ProductMember2019-07-012019-09-300000012927us-gaap:ServiceMember2020-01-012020-09-300000012927us-gaap:ServiceMember2019-01-012019-09-300000012927us-gaap:ServiceMember2020-07-012020-09-300000012927us-gaap:ServiceMember2019-07-012019</w:t>
      </w:r>
      <w:r>
        <w:rPr>
          <w:rFonts w:ascii="宋体" w:eastAsia="宋体" w:hAnsi="宋体" w:cs="宋体"/>
          <w:vanish/>
        </w:rPr>
        <w:t>-09-3000000129272019-01-012019-09-3000000129272020-07-012020-09-3000000129272019-07-012019-09-30iso4217:USDxbrli:shares0000012927us-gaap:AccumulatedOtherComprehensiveIncomeMember2020-01-012020-09-300000012927us-gaap:AccumulatedOtherComprehensiveIncomeMembe</w:t>
      </w:r>
      <w:r>
        <w:rPr>
          <w:rFonts w:ascii="宋体" w:eastAsia="宋体" w:hAnsi="宋体" w:cs="宋体"/>
          <w:vanish/>
        </w:rPr>
        <w:t>r2020-07-012020-09-3000000129272020-09-3000000129272019-12-3100000129272018-12-3100000129272019-09-300000012927us-gaap:CommonStockMember2018-12-310000012927us-gaap:AdditionalPaidInCapitalMember2018-12-310000012927us-gaap:TreasuryStockMember2018-12-31000001</w:t>
      </w:r>
      <w:r>
        <w:rPr>
          <w:rFonts w:ascii="宋体" w:eastAsia="宋体" w:hAnsi="宋体" w:cs="宋体"/>
          <w:vanish/>
        </w:rPr>
        <w:t>2927us-gaap:RetainedEarningsMember2018-12-310000012927us-gaap:AccumulatedOtherComprehensiveIncomeMember2018-12-310000012927us-gaap:NoncontrollingInterestMember2018-12-310000012927us-gaap:RetainedEarningsMember2019-01-012019-09-300000012927us-gaap:Noncontro</w:t>
      </w:r>
      <w:r>
        <w:rPr>
          <w:rFonts w:ascii="宋体" w:eastAsia="宋体" w:hAnsi="宋体" w:cs="宋体"/>
          <w:vanish/>
        </w:rPr>
        <w:t>llingInterestMember2019-01-012019-09-300000012927ba:LessNoncontrollingInterestnotpresentedonIncomeStatementMember2019-01-012019-09-300000012927us-gaap:AccumulatedOtherComprehensiveIncomeMember2019-01-012019-09-300000012927us-gaap:AdditionalPaidInCapitalMem</w:t>
      </w:r>
      <w:r>
        <w:rPr>
          <w:rFonts w:ascii="宋体" w:eastAsia="宋体" w:hAnsi="宋体" w:cs="宋体"/>
          <w:vanish/>
        </w:rPr>
        <w:t>ber2019-01-012019-09-300000012927us-gaap:TreasuryStockMember2019-01-012019-09-300000012927us-gaap:CommonStockMember2019-09-300000012927us-gaap:AdditionalPaidInCapitalMember2019-09-300000012927us-gaap:TreasuryStockMember2019-09-300000012927us-gaap:RetainedE</w:t>
      </w:r>
      <w:r>
        <w:rPr>
          <w:rFonts w:ascii="宋体" w:eastAsia="宋体" w:hAnsi="宋体" w:cs="宋体"/>
          <w:vanish/>
        </w:rPr>
        <w:t>arningsMember2019-09-300000012927us-gaap:AccumulatedOtherComprehensiveIncomeMember2019-09-300000012927us-gaap:NoncontrollingInterestMember2019-09-300000012927us-gaap:CommonStockMember2019-12-310000012927us-gaap:AdditionalPaidInCapitalMember2019-12-31000001</w:t>
      </w:r>
      <w:r>
        <w:rPr>
          <w:rFonts w:ascii="宋体" w:eastAsia="宋体" w:hAnsi="宋体" w:cs="宋体"/>
          <w:vanish/>
        </w:rPr>
        <w:t>2927us-gaap:TreasuryStockMember2019-12-310000012927us-gaap:RetainedEarningsMember2019-12-310000012927us-gaap:AccumulatedOtherComprehensiveIncomeMember2019-12-310000012927us-gaap:NoncontrollingInterestMember2019-12-310000012927srt:CumulativeEffectPeriodOfAd</w:t>
      </w:r>
      <w:r>
        <w:rPr>
          <w:rFonts w:ascii="宋体" w:eastAsia="宋体" w:hAnsi="宋体" w:cs="宋体"/>
          <w:vanish/>
        </w:rPr>
        <w:t>optionAdjustmentMemberus-gaap:AccountingStandardsUpdate201613Memberus-gaap:RetainedEarningsMember2020-01-010000012927srt:CumulativeEffectPeriodOfAdoptionAdjustmentMemberus-gaap:AccountingStandardsUpdate201613Member2020-01-010000012927us-gaap:CommonStockMem</w:t>
      </w:r>
      <w:r>
        <w:rPr>
          <w:rFonts w:ascii="宋体" w:eastAsia="宋体" w:hAnsi="宋体" w:cs="宋体"/>
          <w:vanish/>
        </w:rPr>
        <w:t>ber2020-01-010000012927us-gaap:AdditionalPaidInCapitalMember2020-01-010000012927us-gaap:TreasuryStockMember2020-01-010000012927srt:CumulativeEffectPeriodOfAdoptionAdjustedBalanceMemberus-gaap:RetainedEarningsMember2020-01-010000012927us-gaap:AccumulatedOth</w:t>
      </w:r>
      <w:r>
        <w:rPr>
          <w:rFonts w:ascii="宋体" w:eastAsia="宋体" w:hAnsi="宋体" w:cs="宋体"/>
          <w:vanish/>
        </w:rPr>
        <w:t>erComprehensiveIncomeMember2020-01-010000012927us-gaap:NoncontrollingInterestMember2020-01-010000012927srt:CumulativeEffectPeriodOfAdoptionAdjustedBalanceMember2020-01-010000012927us-gaap:AdditionalPaidInCapitalMember2020-01-012020-09-300000012927us-gaap:T</w:t>
      </w:r>
      <w:r>
        <w:rPr>
          <w:rFonts w:ascii="宋体" w:eastAsia="宋体" w:hAnsi="宋体" w:cs="宋体"/>
          <w:vanish/>
        </w:rPr>
        <w:t>reasuryStockMember2020-01-012020-09-300000012927us-gaap:CommonStockMember2020-09-300000012927us-gaap:AdditionalPaidInCapitalMember2020-09-300000012927us-gaap:TreasuryStockMember2020-09-300000012927us-gaap:RetainedEarningsMember2020-09-300000012927us-gaap:A</w:t>
      </w:r>
      <w:r>
        <w:rPr>
          <w:rFonts w:ascii="宋体" w:eastAsia="宋体" w:hAnsi="宋体" w:cs="宋体"/>
          <w:vanish/>
        </w:rPr>
        <w:t>ccumulatedOtherComprehensiveIncomeMember2020-09-300000012927us-gaap:NoncontrollingInterestMember2020-09-300000012927us-gaap:CommonStockMember2019-06-300000012927us-gaap:AdditionalPaidInCapitalMember2019-06-300000012927us-gaap:TreasuryStockMember2019-06-300</w:t>
      </w:r>
      <w:r>
        <w:rPr>
          <w:rFonts w:ascii="宋体" w:eastAsia="宋体" w:hAnsi="宋体" w:cs="宋体"/>
          <w:vanish/>
        </w:rPr>
        <w:t>000012927us-gaap:RetainedEarningsMember2019-06-300000012927us-gaap:AccumulatedOtherComprehensiveIncomeMember2019-06-300000012927us-gaap:NoncontrollingInterestMember2019-06-3000000129272019-06-300000012927us-gaap:RetainedEarningsMember2019-07-012019-09-3000</w:t>
      </w:r>
      <w:r>
        <w:rPr>
          <w:rFonts w:ascii="宋体" w:eastAsia="宋体" w:hAnsi="宋体" w:cs="宋体"/>
          <w:vanish/>
        </w:rPr>
        <w:t>00012927us-gaap:NoncontrollingInterestMember2019-07-012019-09-300000012927ba:LessNoncontrollingInterestnotpresentedonIncomeStatementMember2019-07-012019-09-300000012927us-gaap:AccumulatedOtherComprehensiveIncomeMember2019-07-012019-09-300000012927us-gaap:A</w:t>
      </w:r>
      <w:r>
        <w:rPr>
          <w:rFonts w:ascii="宋体" w:eastAsia="宋体" w:hAnsi="宋体" w:cs="宋体"/>
          <w:vanish/>
        </w:rPr>
        <w:t>dditionalPaidInCapitalMember2019-07-012019-09-300000012927us-gaap:TreasuryStockMember2019-07-012019-09-300000012927us-gaap:CommonStockMember2020-06-300000012927us-gaap:AdditionalPaidInCapitalMember2020-06-300000012927us-gaap:TreasuryStockMember2020-06-3000</w:t>
      </w:r>
      <w:r>
        <w:rPr>
          <w:rFonts w:ascii="宋体" w:eastAsia="宋体" w:hAnsi="宋体" w:cs="宋体"/>
          <w:vanish/>
        </w:rPr>
        <w:t>00012927us-gaap:RetainedEarningsMember2020-06-300000012927us-gaap:AccumulatedOtherComprehensiveIncomeMember2020-06-300000012927us-gaap:NoncontrollingInterestMember2020-06-3000000129272020-06-300000012927us-gaap:AdditionalPaidInCapitalMember2020-07-012020-0</w:t>
      </w:r>
      <w:r>
        <w:rPr>
          <w:rFonts w:ascii="宋体" w:eastAsia="宋体" w:hAnsi="宋体" w:cs="宋体"/>
          <w:vanish/>
        </w:rPr>
        <w:t>9-300000012927us-gaap:TreasuryStockMember2020-07-012020-09-300000012927ba:CommercialAirplanesSegmentMemberus-gaap:OperatingSegmentsMember2020-01-012020-09-300000012927ba:CommercialAirplanesSegmentMemberus-gaap:OperatingSegmentsMember2019-01-012019-09-30000</w:t>
      </w:r>
      <w:r>
        <w:rPr>
          <w:rFonts w:ascii="宋体" w:eastAsia="宋体" w:hAnsi="宋体" w:cs="宋体"/>
          <w:vanish/>
        </w:rPr>
        <w:t>0012927ba:CommercialAirplanesSegmentMemberus-gaap:OperatingSegmentsMember2020-07-012020-09-300000012927ba:CommercialAirplanesSegmentMemberus-gaap:OperatingSegmentsMember2019-07-012019-09-300000012927ba:BoeingDefenseSpaceSecuritySegmentMemberus-gaap:Operati</w:t>
      </w:r>
      <w:r>
        <w:rPr>
          <w:rFonts w:ascii="宋体" w:eastAsia="宋体" w:hAnsi="宋体" w:cs="宋体"/>
          <w:vanish/>
        </w:rPr>
        <w:t>ngSegmentsMember2020-01-012020-09-300000012927ba:BoeingDefenseSpaceSecuritySegmentMemberus-gaap:OperatingSegmentsMember2019-01-012019-09-300000012927ba:BoeingDefenseSpaceSecuritySegmentMemberus-gaap:OperatingSegmentsMember2020-07-012020-09-300000012927ba:B</w:t>
      </w:r>
      <w:r>
        <w:rPr>
          <w:rFonts w:ascii="宋体" w:eastAsia="宋体" w:hAnsi="宋体" w:cs="宋体"/>
          <w:vanish/>
        </w:rPr>
        <w:t>oeingDefenseSpaceSecuritySegmentMemberus-gaap:OperatingSegmentsMember2019-07-012019-09-300000012927ba:GlobalServicesMemberus-gaap:OperatingSegmentsMember2020-01-012020-09-300000012927ba:GlobalServicesMemberus-gaap:OperatingSegmentsMember2019-01-012019-09-3</w:t>
      </w:r>
      <w:r>
        <w:rPr>
          <w:rFonts w:ascii="宋体" w:eastAsia="宋体" w:hAnsi="宋体" w:cs="宋体"/>
          <w:vanish/>
        </w:rPr>
        <w:t>00000012927ba:GlobalServicesMemberus-gaap:OperatingSegmentsMember2020-07-012020-09-300000012927ba:GlobalServicesMemberus-gaap:OperatingSegmentsMember2019-07-012019-09-300000012927ba:BoeingCapitalCorporationMemberus-gaap:OperatingSegmentsMember2020-01-01202</w:t>
      </w:r>
      <w:r>
        <w:rPr>
          <w:rFonts w:ascii="宋体" w:eastAsia="宋体" w:hAnsi="宋体" w:cs="宋体"/>
          <w:vanish/>
        </w:rPr>
        <w:t>0-09-300000012927ba:BoeingCapitalCorporationMemberus-gaap:OperatingSegmentsMember2019-01-012019-09-300000012927ba:BoeingCapitalCorporationMemberus-gaap:OperatingSegmentsMember2020-07-012020-09-300000012927ba:BoeingCapitalCorporationMemberus-gaap:OperatingS</w:t>
      </w:r>
      <w:r>
        <w:rPr>
          <w:rFonts w:ascii="宋体" w:eastAsia="宋体" w:hAnsi="宋体" w:cs="宋体"/>
          <w:vanish/>
        </w:rPr>
        <w:t>egmentsMember2019-07-012019-09-300000012927ba:CorporateReconcilingItemsAndEliminationsMember2020-01-012020-09-300000012927ba:CorporateReconcilingItemsAndEliminationsMember2019-01-012019-09-300000012927ba:CorporateReconcilingItemsAndEliminationsMember2020-0</w:t>
      </w:r>
      <w:r>
        <w:rPr>
          <w:rFonts w:ascii="宋体" w:eastAsia="宋体" w:hAnsi="宋体" w:cs="宋体"/>
          <w:vanish/>
        </w:rPr>
        <w:t>7-012020-09-300000012927ba:CorporateReconcilingItemsAndEliminationsMember2019-07-012019-09-300000012927us-gaap:OperatingSegmentsMember2020-01-012020-09-300000012927us-gaap:OperatingSegmentsMember2019-01-012019-09-300000012927us-gaap:OperatingSegmentsMember</w:t>
      </w:r>
      <w:r>
        <w:rPr>
          <w:rFonts w:ascii="宋体" w:eastAsia="宋体" w:hAnsi="宋体" w:cs="宋体"/>
          <w:vanish/>
        </w:rPr>
        <w:t>2020-07-012020-09-300000012927us-gaap:OperatingSegmentsMember2019-07-012019-09-300000012927ba:DelayedDrawTermLoanFacilityMember2020-01-012020-03-310000012927us-gaap:SeniorNotesMemberba:Q42020Member2020-09-300000012927us-gaap:SeniorNotesMemberba:A2021Member</w:t>
      </w:r>
      <w:r>
        <w:rPr>
          <w:rFonts w:ascii="宋体" w:eastAsia="宋体" w:hAnsi="宋体" w:cs="宋体"/>
          <w:vanish/>
        </w:rPr>
        <w:t>2020-09-300000012927ba:SupplyChainFinancingMember2020-09-300000012927us-gaap:RevolvingCreditFacilityMember2020-09-300000012927us-gaap:RevolvingCreditFacilityMember2019-12-310000012927ba:ThreeHundredAndSixtyFourDayRevolvingCreditFacilityMemberba:Q42020Membe</w:t>
      </w:r>
      <w:r>
        <w:rPr>
          <w:rFonts w:ascii="宋体" w:eastAsia="宋体" w:hAnsi="宋体" w:cs="宋体"/>
          <w:vanish/>
        </w:rPr>
        <w:t>r2020-09-300000012927us-gaap:SubsequentEventMemberba:ThreeHundredAndSixtyFourDayRevolvingCreditFacilityMember2020-10-260000012927us-gaap:AccountingStandardsUpdate201613Member2020-01-012020-09-300000012927us-gaap:AccountingStandardsUpdate201704Member2020-01</w:t>
      </w:r>
      <w:r>
        <w:rPr>
          <w:rFonts w:ascii="宋体" w:eastAsia="宋体" w:hAnsi="宋体" w:cs="宋体"/>
          <w:vanish/>
        </w:rPr>
        <w:t>-012020-09-300000012927ba:CommercialAirplanesMember2020-09-300000012927ba:CommercialServicesMember2020-09-300000012927ba:PerformanceAwardsMemberba:PerformanceConditionUnmetMember2020-01-012020-09-300000012927ba:PerformanceAwardsMemberba:PerformanceConditio</w:t>
      </w:r>
      <w:r>
        <w:rPr>
          <w:rFonts w:ascii="宋体" w:eastAsia="宋体" w:hAnsi="宋体" w:cs="宋体"/>
          <w:vanish/>
        </w:rPr>
        <w:t>nUnmetMember2019-01-012019-09-300000012927ba:PerformanceAwardsMemberba:PerformanceConditionUnmetMember2020-07-012020-09-300000012927ba:PerformanceAwardsMemberba:PerformanceConditionUnmetMember2019-07-012019-09-300000012927us-gaap:PerformanceSharesMember202</w:t>
      </w:r>
      <w:r>
        <w:rPr>
          <w:rFonts w:ascii="宋体" w:eastAsia="宋体" w:hAnsi="宋体" w:cs="宋体"/>
          <w:vanish/>
        </w:rPr>
        <w:t>0-01-012020-09-300000012927us-gaap:PerformanceSharesMember2019-01-012019-09-300000012927us-gaap:PerformanceSharesMember2020-07-012020-09-300000012927us-gaap:PerformanceSharesMember2019-07-012019-09-30xbrli:pure00000129272018-01-012018-03-310000012927us-gaa</w:t>
      </w:r>
      <w:r>
        <w:rPr>
          <w:rFonts w:ascii="宋体" w:eastAsia="宋体" w:hAnsi="宋体" w:cs="宋体"/>
          <w:vanish/>
        </w:rPr>
        <w:t>p:DomesticCountryMember2020-09-3000000129272020-01-010000012927us-gaap:OtherCurrentAssetsMember2020-01-010000012927us-gaap:OtherNoncurrentAssetsMember2020-01-010000012927us-gaap:OtherCurrentAssetsMember2020-01-012020-09-300000012927us-gaap:OtherNoncurrentA</w:t>
      </w:r>
      <w:r>
        <w:rPr>
          <w:rFonts w:ascii="宋体" w:eastAsia="宋体" w:hAnsi="宋体" w:cs="宋体"/>
          <w:vanish/>
        </w:rPr>
        <w:t>ssetsMember2020-01-012020-09-300000012927us-gaap:OtherCurrentAssetsMember2020-09-300000012927us-gaap:OtherNoncurrentAssetsMember2020-09-300000012927ba:ULAMember2019-12-310000012927ba:ULAMember2020-09-300000012927ba:CapitalizedPrecontractCostsMember2020-09-</w:t>
      </w:r>
      <w:r>
        <w:rPr>
          <w:rFonts w:ascii="宋体" w:eastAsia="宋体" w:hAnsi="宋体" w:cs="宋体"/>
          <w:vanish/>
        </w:rPr>
        <w:t>300000012927ba:CapitalizedPrecontractCostsMember2019-12-310000012927ba:AirplaneProgram737Member2020-09-300000012927ba:AirplaneProgram737Member2019-12-310000012927ba:AirplaneProgram777xMember2020-09-300000012927ba:AirplaneProgram777xMember2019-12-3100000129</w:t>
      </w:r>
      <w:r>
        <w:rPr>
          <w:rFonts w:ascii="宋体" w:eastAsia="宋体" w:hAnsi="宋体" w:cs="宋体"/>
          <w:vanish/>
        </w:rPr>
        <w:t>27ba:AirplaneProgram787Member2020-09-300000012927ba:AirplaneProgram787Member2019-12-310000012927ba:EarlyIssueSalesConsiderationMember2020-09-300000012927ba:EarlyIssueSalesConsiderationMember2019-12-310000012927ba:BBBCreditRatingMember2020-09-300000012927ba</w:t>
      </w:r>
      <w:r>
        <w:rPr>
          <w:rFonts w:ascii="宋体" w:eastAsia="宋体" w:hAnsi="宋体" w:cs="宋体"/>
          <w:vanish/>
        </w:rPr>
        <w:t>:BBCreditRatingMember2020-09-300000012927ba:BCreditRatingMember2020-09-300000012927ba:CCCCreditRatingMember2020-09-300000012927srt:B717Member2020-09-300000012927srt:B717Member2019-12-310000012927ba:B7478Member2020-09-300000012927ba:B7478Member2019-12-31000</w:t>
      </w:r>
      <w:r>
        <w:rPr>
          <w:rFonts w:ascii="宋体" w:eastAsia="宋体" w:hAnsi="宋体" w:cs="宋体"/>
          <w:vanish/>
        </w:rPr>
        <w:t>0012927srt:B737Member2020-09-300000012927srt:B737Member2019-12-310000012927srt:B777Member2020-09-300000012927srt:B777Member2019-12-310000012927ba:MD80AircraftMember2020-09-300000012927ba:MD80AircraftMember2019-12-310000012927srt:B757Member2020-09-300000012</w:t>
      </w:r>
      <w:r>
        <w:rPr>
          <w:rFonts w:ascii="宋体" w:eastAsia="宋体" w:hAnsi="宋体" w:cs="宋体"/>
          <w:vanish/>
        </w:rPr>
        <w:t>927srt:B757Member2019-12-310000012927ba:B747400aircraftMember2020-09-300000012927ba:B747400aircraftMember2019-12-310000012927srt:B737Member2019-01-012019-12-310000012927ba:WithinNextTwofiscalYearsMember2020-01-012020-09-300000012927srt:B737Member2020-07-01</w:t>
      </w:r>
      <w:r>
        <w:rPr>
          <w:rFonts w:ascii="宋体" w:eastAsia="宋体" w:hAnsi="宋体" w:cs="宋体"/>
          <w:vanish/>
        </w:rPr>
        <w:t>2020-09-300000012927srt:B737Member2020-01-012020-09-300000012927srt:B737Member2019-12-310000012927srt:B737Member2020-09-300000012927ba:LowerCustomerDeliveryPaymentsMember2020-09-300000012927ba:CashPaymentsToCustomersMember2020-09-300000012927ba:CustomerCon</w:t>
      </w:r>
      <w:r>
        <w:rPr>
          <w:rFonts w:ascii="宋体" w:eastAsia="宋体" w:hAnsi="宋体" w:cs="宋体"/>
          <w:vanish/>
        </w:rPr>
        <w:t>cessionsMember2020-09-300000012927ba:WithinCurrentfiscalYearMember2020-09-300000012927ba:WithinNextfiscalYearMember2020-09-300000012927ba:ContingentOnCustomerNegotiationsMember2020-09-300000012927ba:B737NGStructurePickleforkMember2019-01-012019-12-31000001</w:t>
      </w:r>
      <w:r>
        <w:rPr>
          <w:rFonts w:ascii="宋体" w:eastAsia="宋体" w:hAnsi="宋体" w:cs="宋体"/>
          <w:vanish/>
        </w:rPr>
        <w:t>2927ba:B737NGStructurePickleforkMember2020-01-012020-03-310000012927ba:TotalcontractualtradeinvaluemaximumMemberba:CommercialAircraftCommitmentsMember2020-09-300000012927ba:TotalcontractualtradeinvaluemaximumMemberba:CommercialAircraftCommitmentsMember2019</w:t>
      </w:r>
      <w:r>
        <w:rPr>
          <w:rFonts w:ascii="宋体" w:eastAsia="宋体" w:hAnsi="宋体" w:cs="宋体"/>
          <w:vanish/>
        </w:rPr>
        <w:t>-12-310000012927ba:NetAmountsPayableToCustomersRelatedToProbableContractualTradeInCommitmentsMemberba:CommercialAircraftCommitmentsMember2020-09-300000012927ba:NetAmountsPayableToCustomersRelatedToProbableContractualTradeInCommitmentsMemberba:CommercialAir</w:t>
      </w:r>
      <w:r>
        <w:rPr>
          <w:rFonts w:ascii="宋体" w:eastAsia="宋体" w:hAnsi="宋体" w:cs="宋体"/>
          <w:vanish/>
        </w:rPr>
        <w:t>craftCommitmentsMember2019-12-310000012927ba:ProbablecontractualtradeinvalueMemberba:CommercialAircraftCommitmentsMember2020-09-300000012927ba:ProbablecontractualtradeinvalueMemberba:CommercialAircraftCommitmentsMember2019-12-310000012927ba:FinancingCommit</w:t>
      </w:r>
      <w:r>
        <w:rPr>
          <w:rFonts w:ascii="宋体" w:eastAsia="宋体" w:hAnsi="宋体" w:cs="宋体"/>
          <w:vanish/>
        </w:rPr>
        <w:t>mentMember2020-09-300000012927ba:FinancingCommitmentMember2019-12-310000012927ba:JointventureMember2020-09-300000012927ba:KC46ATankerMember2020-01-012020-09-300000012927ba:KC46ATankerRemoteVisionSystemMember2020-01-012020-03-310000012927ba:KC46ATankerMembe</w:t>
      </w:r>
      <w:r>
        <w:rPr>
          <w:rFonts w:ascii="宋体" w:eastAsia="宋体" w:hAnsi="宋体" w:cs="宋体"/>
          <w:vanish/>
        </w:rPr>
        <w:t>r2020-09-300000012927ba:CapitalizedPrecontractCostsMemberba:KC46ATankerMember2020-09-300000012927ba:PotentialTerminationLiabilitiesMemberba:KC46ATankerMember2020-09-300000012927us-gaap:EmployeeSeveranceMember2020-06-300000012927us-gaap:EmployeeSeveranceMem</w:t>
      </w:r>
      <w:r>
        <w:rPr>
          <w:rFonts w:ascii="宋体" w:eastAsia="宋体" w:hAnsi="宋体" w:cs="宋体"/>
          <w:vanish/>
        </w:rPr>
        <w:t>ber2020-07-012020-09-300000012927us-gaap:EmployeeSeveranceMember2020-09-300000012927ba:ContingentRepurchaseCommitmentMember2020-09-300000012927ba:ContingentRepurchaseCommitmentMember2019-12-310000012927ba:ULAMemberba:ContributedDeltaLaunchInventoryMember20</w:t>
      </w:r>
      <w:r>
        <w:rPr>
          <w:rFonts w:ascii="宋体" w:eastAsia="宋体" w:hAnsi="宋体" w:cs="宋体"/>
          <w:vanish/>
        </w:rPr>
        <w:t>20-09-300000012927ba:ULAMemberba:ContributedDeltaLaunchInventoryMember2019-12-310000012927ba:ContractPricingMemberba:ULAMember2020-09-300000012927ba:ContractPricingMemberba:ULAMember2019-12-310000012927ba:OtherDeltaContractsMemberba:ULAMember2019-12-310000</w:t>
      </w:r>
      <w:r>
        <w:rPr>
          <w:rFonts w:ascii="宋体" w:eastAsia="宋体" w:hAnsi="宋体" w:cs="宋体"/>
          <w:vanish/>
        </w:rPr>
        <w:t>012927us-gaap:FinancialGuaranteeMember2020-09-300000012927us-gaap:FinancialGuaranteeMember2019-12-310000012927ba:ULAMemberba:DeferredSupportAndProductionCostsMember2020-01-012020-09-3000000129272020-03-310000012927srt:MinimumMemberba:DelayedDrawTermLoanFac</w:t>
      </w:r>
      <w:r>
        <w:rPr>
          <w:rFonts w:ascii="宋体" w:eastAsia="宋体" w:hAnsi="宋体" w:cs="宋体"/>
          <w:vanish/>
        </w:rPr>
        <w:t>ilityMember2020-01-012020-03-310000012927srt:MaximumMemberba:DelayedDrawTermLoanFacilityMember2020-01-012020-03-310000012927ba:FourPointFiveZeroEightPercentdueMay12023Member2020-06-300000012927ba:FourPointFiveZeroEightPercentdueMay12023Member2020-04-012020</w:t>
      </w:r>
      <w:r>
        <w:rPr>
          <w:rFonts w:ascii="宋体" w:eastAsia="宋体" w:hAnsi="宋体" w:cs="宋体"/>
          <w:vanish/>
        </w:rPr>
        <w:t>-06-300000012927ba:FourPointEightSevenFivePercentdueMay12025Member2020-06-300000012927ba:FourPointEightSevenFivePercentdueMay12025Member2020-04-012020-06-300000012927ba:FivePointZeroFourPercentdueMay12027Member2020-06-300000012927ba:FivePointZeroFourPercen</w:t>
      </w:r>
      <w:r>
        <w:rPr>
          <w:rFonts w:ascii="宋体" w:eastAsia="宋体" w:hAnsi="宋体" w:cs="宋体"/>
          <w:vanish/>
        </w:rPr>
        <w:t>tdueMay12027Member2020-04-012020-06-300000012927ba:FivePointOneFivePercentdueMay12030Member2020-06-300000012927ba:FivePointOneFivePercentdueMay12030Member2020-04-012020-06-300000012927ba:FivePointSevenZeroFivePercentdueMay12040Member2020-06-300000012927ba:</w:t>
      </w:r>
      <w:r>
        <w:rPr>
          <w:rFonts w:ascii="宋体" w:eastAsia="宋体" w:hAnsi="宋体" w:cs="宋体"/>
          <w:vanish/>
        </w:rPr>
        <w:t>FivePointSevenZeroFivePercentdueMay12040Member2020-04-012020-06-300000012927ba:FivePointEightZeroFivePercentdueMay12050Member2020-06-300000012927ba:FivePointEightZeroFivePercentdueMay12050Member2020-04-012020-06-300000012927ba:FivePointNineThreePercentdueM</w:t>
      </w:r>
      <w:r>
        <w:rPr>
          <w:rFonts w:ascii="宋体" w:eastAsia="宋体" w:hAnsi="宋体" w:cs="宋体"/>
          <w:vanish/>
        </w:rPr>
        <w:t>ay12060Member2020-06-300000012927ba:FivePointNineThreePercentdueMay12060Member2020-04-012020-06-3000000129272020-04-012020-06-300000012927us-gaap:PensionPlansDefinedBenefitMember2020-01-012020-09-300000012927us-gaap:PensionPlansDefinedBenefitMember2019-01-</w:t>
      </w:r>
      <w:r>
        <w:rPr>
          <w:rFonts w:ascii="宋体" w:eastAsia="宋体" w:hAnsi="宋体" w:cs="宋体"/>
          <w:vanish/>
        </w:rPr>
        <w:t>012019-09-300000012927us-gaap:PensionPlansDefinedBenefitMember2020-07-012020-09-300000012927us-gaap:PensionPlansDefinedBenefitMember2019-07-012019-09-300000012927us-gaap:PensionPlansDefinedBenefitMemberus-gaap:OperatingIncomeLossMember2020-01-012020-09-300</w:t>
      </w:r>
      <w:r>
        <w:rPr>
          <w:rFonts w:ascii="宋体" w:eastAsia="宋体" w:hAnsi="宋体" w:cs="宋体"/>
          <w:vanish/>
        </w:rPr>
        <w:t>000012927us-gaap:PensionPlansDefinedBenefitMemberus-gaap:OperatingIncomeLossMember2019-01-012019-09-300000012927us-gaap:PensionPlansDefinedBenefitMemberus-gaap:OperatingIncomeLossMember2020-07-012020-09-300000012927us-gaap:PensionPlansDefinedBenefitMemberu</w:t>
      </w:r>
      <w:r>
        <w:rPr>
          <w:rFonts w:ascii="宋体" w:eastAsia="宋体" w:hAnsi="宋体" w:cs="宋体"/>
          <w:vanish/>
        </w:rPr>
        <w:t>s-gaap:OperatingIncomeLossMember2019-07-012019-09-300000012927us-gaap:PensionPlansDefinedBenefitMemberus-gaap:OtherIncomeMember2020-01-012020-09-300000012927us-gaap:PensionPlansDefinedBenefitMemberus-gaap:OtherIncomeMember2019-01-012019-09-300000012927us-g</w:t>
      </w:r>
      <w:r>
        <w:rPr>
          <w:rFonts w:ascii="宋体" w:eastAsia="宋体" w:hAnsi="宋体" w:cs="宋体"/>
          <w:vanish/>
        </w:rPr>
        <w:t>aap:PensionPlansDefinedBenefitMemberus-gaap:OtherIncomeMember2020-07-012020-09-300000012927us-gaap:PensionPlansDefinedBenefitMemberus-gaap:OtherIncomeMember2019-07-012019-09-300000012927us-gaap:PensionPlansDefinedBenefitMemberba:OperatingIncomeLossBeforeTa</w:t>
      </w:r>
      <w:r>
        <w:rPr>
          <w:rFonts w:ascii="宋体" w:eastAsia="宋体" w:hAnsi="宋体" w:cs="宋体"/>
          <w:vanish/>
        </w:rPr>
        <w:t>xesMember2020-01-012020-09-300000012927us-gaap:PensionPlansDefinedBenefitMemberba:OperatingIncomeLossBeforeTaxesMember2019-01-012019-09-300000012927us-gaap:PensionPlansDefinedBenefitMemberba:OperatingIncomeLossBeforeTaxesMember2020-07-012020-09-30000001292</w:t>
      </w:r>
      <w:r>
        <w:rPr>
          <w:rFonts w:ascii="宋体" w:eastAsia="宋体" w:hAnsi="宋体" w:cs="宋体"/>
          <w:vanish/>
        </w:rPr>
        <w:t>7us-gaap:PensionPlansDefinedBenefitMemberba:OperatingIncomeLossBeforeTaxesMember2019-07-012019-09-300000012927us-gaap:OtherPostretirementBenefitPlansDefinedBenefitMember2020-01-012020-09-300000012927us-gaap:OtherPostretirementBenefitPlansDefinedBenefitMemb</w:t>
      </w:r>
      <w:r>
        <w:rPr>
          <w:rFonts w:ascii="宋体" w:eastAsia="宋体" w:hAnsi="宋体" w:cs="宋体"/>
          <w:vanish/>
        </w:rPr>
        <w:t>er2019-01-012019-09-300000012927us-gaap:OtherPostretirementBenefitPlansDefinedBenefitMember2020-07-012020-09-300000012927us-gaap:OtherPostretirementBenefitPlansDefinedBenefitMember2019-07-012019-09-300000012927us-gaap:OperatingIncomeLossMemberus-gaap:Other</w:t>
      </w:r>
      <w:r>
        <w:rPr>
          <w:rFonts w:ascii="宋体" w:eastAsia="宋体" w:hAnsi="宋体" w:cs="宋体"/>
          <w:vanish/>
        </w:rPr>
        <w:t>PostretirementBenefitPlansDefinedBenefitMember2020-01-012020-09-300000012927us-gaap:OperatingIncomeLossMemberus-gaap:OtherPostretirementBenefitPlansDefinedBenefitMember2019-01-012019-09-300000012927us-gaap:OperatingIncomeLossMemberus-gaap:OtherPostretireme</w:t>
      </w:r>
      <w:r>
        <w:rPr>
          <w:rFonts w:ascii="宋体" w:eastAsia="宋体" w:hAnsi="宋体" w:cs="宋体"/>
          <w:vanish/>
        </w:rPr>
        <w:t>ntBenefitPlansDefinedBenefitMember2020-07-012020-09-300000012927us-gaap:OperatingIncomeLossMemberus-gaap:OtherPostretirementBenefitPlansDefinedBenefitMember2019-07-012019-09-300000012927us-gaap:OtherIncomeMemberus-gaap:OtherPostretirementBenefitPlansDefine</w:t>
      </w:r>
      <w:r>
        <w:rPr>
          <w:rFonts w:ascii="宋体" w:eastAsia="宋体" w:hAnsi="宋体" w:cs="宋体"/>
          <w:vanish/>
        </w:rPr>
        <w:t>dBenefitMember2020-01-012020-09-300000012927us-gaap:OtherIncomeMemberus-gaap:OtherPostretirementBenefitPlansDefinedBenefitMember2019-01-012019-09-300000012927us-gaap:OtherIncomeMemberus-gaap:OtherPostretirementBenefitPlansDefinedBenefitMember2020-07-012020</w:t>
      </w:r>
      <w:r>
        <w:rPr>
          <w:rFonts w:ascii="宋体" w:eastAsia="宋体" w:hAnsi="宋体" w:cs="宋体"/>
          <w:vanish/>
        </w:rPr>
        <w:t>-09-300000012927us-gaap:OtherIncomeMemberus-gaap:OtherPostretirementBenefitPlansDefinedBenefitMember2019-07-012019-09-300000012927ba:OperatingIncomeLossBeforeTaxesMemberus-gaap:OtherPostretirementBenefitPlansDefinedBenefitMember2020-01-012020-09-3000000129</w:t>
      </w:r>
      <w:r>
        <w:rPr>
          <w:rFonts w:ascii="宋体" w:eastAsia="宋体" w:hAnsi="宋体" w:cs="宋体"/>
          <w:vanish/>
        </w:rPr>
        <w:t>27ba:OperatingIncomeLossBeforeTaxesMemberus-gaap:OtherPostretirementBenefitPlansDefinedBenefitMember2019-01-012019-09-300000012927ba:OperatingIncomeLossBeforeTaxesMemberus-gaap:OtherPostretirementBenefitPlansDefinedBenefitMember2020-07-012020-09-3000000129</w:t>
      </w:r>
      <w:r>
        <w:rPr>
          <w:rFonts w:ascii="宋体" w:eastAsia="宋体" w:hAnsi="宋体" w:cs="宋体"/>
          <w:vanish/>
        </w:rPr>
        <w:t>27ba:OperatingIncomeLossBeforeTaxesMemberus-gaap:OtherPostretirementBenefitPlansDefinedBenefitMember2019-07-012019-09-300000012927us-gaap:PensionPlansDefinedBenefitMember2020-09-300000012927us-gaap:RestrictedStockUnitsRSUMember2020-02-242020-02-24000001292</w:t>
      </w:r>
      <w:r>
        <w:rPr>
          <w:rFonts w:ascii="宋体" w:eastAsia="宋体" w:hAnsi="宋体" w:cs="宋体"/>
          <w:vanish/>
        </w:rPr>
        <w:t>7ba:PerformanceBasedRestrictedStockUnitsPBRSUsMemberba:A2020PBRSUMember2020-02-242020-02-240000012927ba:PerformanceBasedRestrictedStockUnitsPBRSUsMember2020-02-242020-02-240000012927ba:PerformanceAwardsMember2020-02-282020-02-280000012927ba:PerformanceAwar</w:t>
      </w:r>
      <w:r>
        <w:rPr>
          <w:rFonts w:ascii="宋体" w:eastAsia="宋体" w:hAnsi="宋体" w:cs="宋体"/>
          <w:vanish/>
        </w:rPr>
        <w:t>dsMembersrt:MinimumMember2020-09-300000012927srt:MaximumMemberba:PerformanceAwardsMemberba:A2020PerformanceAwardsMember2020-09-300000012927us-gaap:AccumulatedTranslationAdjustmentMember2018-12-310000012927us-gaap:AccumulatedNetUnrealizedInvestmentGainLossM</w:t>
      </w:r>
      <w:r>
        <w:rPr>
          <w:rFonts w:ascii="宋体" w:eastAsia="宋体" w:hAnsi="宋体" w:cs="宋体"/>
          <w:vanish/>
        </w:rPr>
        <w:t>ember2018-12-310000012927us-gaap:AccumulatedNetGainLossFromDesignatedOrQualifyingCashFlowHedgesMember2018-12-310000012927us-gaap:AccumulatedDefinedBenefitPlansAdjustmentMember2018-12-310000012927us-gaap:AccumulatedTranslationAdjustmentMember2019-01-012019-</w:t>
      </w:r>
      <w:r>
        <w:rPr>
          <w:rFonts w:ascii="宋体" w:eastAsia="宋体" w:hAnsi="宋体" w:cs="宋体"/>
          <w:vanish/>
        </w:rPr>
        <w:t>09-300000012927us-gaap:AccumulatedNetUnrealizedInvestmentGainLossMember2019-01-012019-09-300000012927us-gaap:AccumulatedNetGainLossFromDesignatedOrQualifyingCashFlowHedgesMember2019-01-012019-09-300000012927us-gaap:AccumulatedDefinedBenefitPlansAdjustmentM</w:t>
      </w:r>
      <w:r>
        <w:rPr>
          <w:rFonts w:ascii="宋体" w:eastAsia="宋体" w:hAnsi="宋体" w:cs="宋体"/>
          <w:vanish/>
        </w:rPr>
        <w:t>ember2019-01-012019-09-300000012927us-gaap:AccumulatedTranslationAdjustmentMember2019-09-300000012927us-gaap:AccumulatedNetUnrealizedInvestmentGainLossMember2019-09-300000012927us-gaap:AccumulatedNetGainLossFromDesignatedOrQualifyingCashFlowHedgesMember201</w:t>
      </w:r>
      <w:r>
        <w:rPr>
          <w:rFonts w:ascii="宋体" w:eastAsia="宋体" w:hAnsi="宋体" w:cs="宋体"/>
          <w:vanish/>
        </w:rPr>
        <w:t>9-09-300000012927us-gaap:AccumulatedDefinedBenefitPlansAdjustmentMember2019-09-300000012927us-gaap:AccumulatedTranslationAdjustmentMember2019-12-310000012927us-gaap:AccumulatedNetUnrealizedInvestmentGainLossMember2019-12-310000012927us-gaap:AccumulatedNetG</w:t>
      </w:r>
      <w:r>
        <w:rPr>
          <w:rFonts w:ascii="宋体" w:eastAsia="宋体" w:hAnsi="宋体" w:cs="宋体"/>
          <w:vanish/>
        </w:rPr>
        <w:t>ainLossFromDesignatedOrQualifyingCashFlowHedgesMember2019-12-310000012927us-gaap:AccumulatedDefinedBenefitPlansAdjustmentMember2019-12-310000012927us-gaap:AccumulatedTranslationAdjustmentMember2020-01-012020-09-300000012927us-gaap:AccumulatedNetGainLossFro</w:t>
      </w:r>
      <w:r>
        <w:rPr>
          <w:rFonts w:ascii="宋体" w:eastAsia="宋体" w:hAnsi="宋体" w:cs="宋体"/>
          <w:vanish/>
        </w:rPr>
        <w:t>mDesignatedOrQualifyingCashFlowHedgesMember2020-01-012020-09-300000012927us-gaap:AccumulatedDefinedBenefitPlansAdjustmentMember2020-01-012020-09-300000012927us-gaap:AccumulatedTranslationAdjustmentMember2020-09-300000012927us-gaap:AccumulatedNetUnrealizedI</w:t>
      </w:r>
      <w:r>
        <w:rPr>
          <w:rFonts w:ascii="宋体" w:eastAsia="宋体" w:hAnsi="宋体" w:cs="宋体"/>
          <w:vanish/>
        </w:rPr>
        <w:t>nvestmentGainLossMember2020-09-300000012927us-gaap:AccumulatedNetGainLossFromDesignatedOrQualifyingCashFlowHedgesMember2020-09-300000012927us-gaap:AccumulatedDefinedBenefitPlansAdjustmentMember2020-09-300000012927us-gaap:AccumulatedTranslationAdjustmentMem</w:t>
      </w:r>
      <w:r>
        <w:rPr>
          <w:rFonts w:ascii="宋体" w:eastAsia="宋体" w:hAnsi="宋体" w:cs="宋体"/>
          <w:vanish/>
        </w:rPr>
        <w:t>ber2019-06-300000012927us-gaap:AccumulatedNetUnrealizedInvestmentGainLossMember2019-06-300000012927us-gaap:AccumulatedNetGainLossFromDesignatedOrQualifyingCashFlowHedgesMember2019-06-300000012927us-gaap:AccumulatedDefinedBenefitPlansAdjustmentMember2019-06</w:t>
      </w:r>
      <w:r>
        <w:rPr>
          <w:rFonts w:ascii="宋体" w:eastAsia="宋体" w:hAnsi="宋体" w:cs="宋体"/>
          <w:vanish/>
        </w:rPr>
        <w:t>-300000012927us-gaap:AccumulatedTranslationAdjustmentMember2019-07-012019-09-300000012927us-gaap:AccumulatedNetGainLossFromDesignatedOrQualifyingCashFlowHedgesMember2019-07-012019-09-300000012927us-gaap:AccumulatedDefinedBenefitPlansAdjustmentMember2019-07</w:t>
      </w:r>
      <w:r>
        <w:rPr>
          <w:rFonts w:ascii="宋体" w:eastAsia="宋体" w:hAnsi="宋体" w:cs="宋体"/>
          <w:vanish/>
        </w:rPr>
        <w:t>-012019-09-300000012927us-gaap:AccumulatedTranslationAdjustmentMember2020-06-300000012927us-gaap:AccumulatedNetUnrealizedInvestmentGainLossMember2020-06-300000012927us-gaap:AccumulatedNetGainLossFromDesignatedOrQualifyingCashFlowHedgesMember2020-06-3000000</w:t>
      </w:r>
      <w:r>
        <w:rPr>
          <w:rFonts w:ascii="宋体" w:eastAsia="宋体" w:hAnsi="宋体" w:cs="宋体"/>
          <w:vanish/>
        </w:rPr>
        <w:t>12927us-gaap:AccumulatedDefinedBenefitPlansAdjustmentMember2020-06-300000012927us-gaap:AccumulatedTranslationAdjustmentMember2020-07-012020-09-300000012927us-gaap:AccumulatedNetGainLossFromDesignatedOrQualifyingCashFlowHedgesMember2020-07-012020-09-3000000</w:t>
      </w:r>
      <w:r>
        <w:rPr>
          <w:rFonts w:ascii="宋体" w:eastAsia="宋体" w:hAnsi="宋体" w:cs="宋体"/>
          <w:vanish/>
        </w:rPr>
        <w:t>12927us-gaap:AccumulatedDefinedBenefitPlansAdjustmentMember2020-07-012020-09-300000012927us-gaap:DesignatedAsHedgingInstrumentMemberus-gaap:ForeignExchangeContractMember2020-09-300000012927us-gaap:DesignatedAsHedgingInstrumentMemberus-gaap:ForeignExchangeC</w:t>
      </w:r>
      <w:r>
        <w:rPr>
          <w:rFonts w:ascii="宋体" w:eastAsia="宋体" w:hAnsi="宋体" w:cs="宋体"/>
          <w:vanish/>
        </w:rPr>
        <w:t>ontractMember2019-12-310000012927us-gaap:DesignatedAsHedgingInstrumentMemberus-gaap:CommodityContractMember2020-09-300000012927us-gaap:DesignatedAsHedgingInstrumentMemberus-gaap:CommodityContractMember2019-12-310000012927us-gaap:NondesignatedMemberus-gaap:</w:t>
      </w:r>
      <w:r>
        <w:rPr>
          <w:rFonts w:ascii="宋体" w:eastAsia="宋体" w:hAnsi="宋体" w:cs="宋体"/>
          <w:vanish/>
        </w:rPr>
        <w:t>ForeignExchangeContractMember2020-09-300000012927us-gaap:NondesignatedMemberus-gaap:ForeignExchangeContractMember2019-12-310000012927us-gaap:NondesignatedMemberus-gaap:CommodityContractMember2020-09-300000012927us-gaap:NondesignatedMemberus-gaap:CommodityC</w:t>
      </w:r>
      <w:r>
        <w:rPr>
          <w:rFonts w:ascii="宋体" w:eastAsia="宋体" w:hAnsi="宋体" w:cs="宋体"/>
          <w:vanish/>
        </w:rPr>
        <w:t>ontractMember2019-12-310000012927us-gaap:ForeignExchangeContractMember2020-01-012020-09-300000012927us-gaap:ForeignExchangeContractMember2019-01-012019-09-300000012927us-gaap:ForeignExchangeContractMember2020-07-012020-09-300000012927us-gaap:ForeignExchang</w:t>
      </w:r>
      <w:r>
        <w:rPr>
          <w:rFonts w:ascii="宋体" w:eastAsia="宋体" w:hAnsi="宋体" w:cs="宋体"/>
          <w:vanish/>
        </w:rPr>
        <w:t>eContractMember2019-07-012019-09-300000012927us-gaap:CommodityContractMember2020-01-012020-09-300000012927us-gaap:CommodityContractMember2019-01-012019-09-300000012927us-gaap:CommodityContractMember2020-07-012020-09-300000012927us-gaap:CommodityContractMem</w:t>
      </w:r>
      <w:r>
        <w:rPr>
          <w:rFonts w:ascii="宋体" w:eastAsia="宋体" w:hAnsi="宋体" w:cs="宋体"/>
          <w:vanish/>
        </w:rPr>
        <w:t>ber2019-07-012019-09-300000012927us-gaap:SalesMember2020-01-012020-09-300000012927us-gaap:SalesMember2019-01-012019-09-300000012927us-gaap:SalesMember2020-07-012020-09-300000012927us-gaap:SalesMember2019-07-012019-09-300000012927us-gaap:OperatingExpenseMem</w:t>
      </w:r>
      <w:r>
        <w:rPr>
          <w:rFonts w:ascii="宋体" w:eastAsia="宋体" w:hAnsi="宋体" w:cs="宋体"/>
          <w:vanish/>
        </w:rPr>
        <w:t>ber2020-01-012020-09-300000012927us-gaap:OperatingExpenseMember2019-01-012019-09-300000012927us-gaap:OperatingExpenseMember2020-07-012020-09-300000012927us-gaap:OperatingExpenseMember2019-07-012019-09-300000012927us-gaap:GeneralAndAdministrativeExpenseMemb</w:t>
      </w:r>
      <w:r>
        <w:rPr>
          <w:rFonts w:ascii="宋体" w:eastAsia="宋体" w:hAnsi="宋体" w:cs="宋体"/>
          <w:vanish/>
        </w:rPr>
        <w:t>er2020-01-012020-09-300000012927us-gaap:GeneralAndAdministrativeExpenseMember2019-01-012019-09-300000012927us-gaap:GeneralAndAdministrativeExpenseMember2020-07-012020-09-300000012927us-gaap:GeneralAndAdministrativeExpenseMember2019-07-012019-09-30000001292</w:t>
      </w:r>
      <w:r>
        <w:rPr>
          <w:rFonts w:ascii="宋体" w:eastAsia="宋体" w:hAnsi="宋体" w:cs="宋体"/>
          <w:vanish/>
        </w:rPr>
        <w:t>7us-gaap:OperatingExpenseMember2020-01-012020-09-300000012927us-gaap:OperatingExpenseMember2019-01-012019-09-300000012927us-gaap:OperatingExpenseMember2020-07-012020-09-300000012927us-gaap:OperatingExpenseMember2019-07-012019-09-300000012927us-gaap:General</w:t>
      </w:r>
      <w:r>
        <w:rPr>
          <w:rFonts w:ascii="宋体" w:eastAsia="宋体" w:hAnsi="宋体" w:cs="宋体"/>
          <w:vanish/>
        </w:rPr>
        <w:t>AndAdministrativeExpenseMember2020-01-012020-09-300000012927us-gaap:GeneralAndAdministrativeExpenseMember2019-01-012019-09-300000012927us-gaap:GeneralAndAdministrativeExpenseMember2020-07-012020-09-300000012927us-gaap:GeneralAndAdministrativeExpenseMember2</w:t>
      </w:r>
      <w:r>
        <w:rPr>
          <w:rFonts w:ascii="宋体" w:eastAsia="宋体" w:hAnsi="宋体" w:cs="宋体"/>
          <w:vanish/>
        </w:rPr>
        <w:t>019-07-012019-09-300000012927us-gaap:FairValueMeasurementsRecurringMember2020-09-300000012927us-gaap:FairValueMeasurementsRecurringMemberus-gaap:FairValueInputsLevel1Member2020-09-300000012927us-gaap:FairValueMeasurementsRecurringMember2019-12-310000012927</w:t>
      </w:r>
      <w:r>
        <w:rPr>
          <w:rFonts w:ascii="宋体" w:eastAsia="宋体" w:hAnsi="宋体" w:cs="宋体"/>
          <w:vanish/>
        </w:rPr>
        <w:t>us-gaap:FairValueMeasurementsRecurringMemberus-gaap:FairValueInputsLevel1Member2019-12-310000012927us-gaap:FairValueInputsLevel2Memberus-gaap:FairValueMeasurementsRecurringMember2020-09-300000012927us-gaap:FairValueInputsLevel2Memberus-gaap:FairValueMeasur</w:t>
      </w:r>
      <w:r>
        <w:rPr>
          <w:rFonts w:ascii="宋体" w:eastAsia="宋体" w:hAnsi="宋体" w:cs="宋体"/>
          <w:vanish/>
        </w:rPr>
        <w:t>ementsRecurringMember2019-12-310000012927us-gaap:FairValueMeasurementsNonrecurringMemberus-gaap:MarketApproachValuationTechniqueMemberba:OperatingLeaseEquipmentAndAssetsHeldForSaleOrReLeaseMemberus-gaap:FairValueInputsLevel3Member2020-09-300000012927us-gaa</w:t>
      </w:r>
      <w:r>
        <w:rPr>
          <w:rFonts w:ascii="宋体" w:eastAsia="宋体" w:hAnsi="宋体" w:cs="宋体"/>
          <w:vanish/>
        </w:rPr>
        <w:t>p:FairValueMeasurementsNonrecurringMemberba:OperatingLeaseEquipmentAndAssetsHeldForSaleOrReLeaseMember2020-01-012020-09-300000012927us-gaap:FairValueMeasurementsNonrecurringMemberus-gaap:MarketApproachValuationTechniqueMemberba:OperatingLeaseEquipmentAndAs</w:t>
      </w:r>
      <w:r>
        <w:rPr>
          <w:rFonts w:ascii="宋体" w:eastAsia="宋体" w:hAnsi="宋体" w:cs="宋体"/>
          <w:vanish/>
        </w:rPr>
        <w:t>setsHeldForSaleOrReLeaseMemberus-gaap:FairValueInputsLevel3Member2019-09-300000012927us-gaap:FairValueMeasurementsNonrecurringMemberba:OperatingLeaseEquipmentAndAssetsHeldForSaleOrReLeaseMember2019-01-012019-09-300000012927us-gaap:FairValueMeasurementsNonr</w:t>
      </w:r>
      <w:r>
        <w:rPr>
          <w:rFonts w:ascii="宋体" w:eastAsia="宋体" w:hAnsi="宋体" w:cs="宋体"/>
          <w:vanish/>
        </w:rPr>
        <w:t>ecurringMemberus-gaap:InvestmentsMemberus-gaap:FairValueInputsLevel3Memberus-gaap:IncomeApproachValuationTechniqueMember2020-09-300000012927us-gaap:FairValueMeasurementsNonrecurringMemberus-gaap:InvestmentsMember2020-01-012020-09-300000012927us-gaap:FairVa</w:t>
      </w:r>
      <w:r>
        <w:rPr>
          <w:rFonts w:ascii="宋体" w:eastAsia="宋体" w:hAnsi="宋体" w:cs="宋体"/>
          <w:vanish/>
        </w:rPr>
        <w:t>lueMeasurementsNonrecurringMemberus-gaap:InvestmentsMemberus-gaap:FairValueInputsLevel3Memberus-gaap:IncomeApproachValuationTechniqueMember2019-09-300000012927us-gaap:FairValueMeasurementsNonrecurringMemberus-gaap:InvestmentsMember2019-01-012019-09-3000000</w:t>
      </w:r>
      <w:r>
        <w:rPr>
          <w:rFonts w:ascii="宋体" w:eastAsia="宋体" w:hAnsi="宋体" w:cs="宋体"/>
          <w:vanish/>
        </w:rPr>
        <w:t>12927us-gaap:FairValueMeasurementsNonrecurringMemberus-gaap:PropertyPlantAndEquipmentMemberus-gaap:FairValueInputsLevel3Memberus-gaap:IncomeApproachValuationTechniqueMember2020-09-300000012927us-gaap:FairValueMeasurementsNonrecurringMemberus-gaap:PropertyP</w:t>
      </w:r>
      <w:r>
        <w:rPr>
          <w:rFonts w:ascii="宋体" w:eastAsia="宋体" w:hAnsi="宋体" w:cs="宋体"/>
          <w:vanish/>
        </w:rPr>
        <w:t>lantAndEquipmentMember2020-01-012020-09-300000012927us-gaap:FairValueMeasurementsNonrecurringMemberus-gaap:PropertyPlantAndEquipmentMemberus-gaap:FairValueInputsLevel3Memberus-gaap:IncomeApproachValuationTechniqueMember2019-09-300000012927us-gaap:FairValue</w:t>
      </w:r>
      <w:r>
        <w:rPr>
          <w:rFonts w:ascii="宋体" w:eastAsia="宋体" w:hAnsi="宋体" w:cs="宋体"/>
          <w:vanish/>
        </w:rPr>
        <w:t>MeasurementsNonrecurringMemberus-gaap:PropertyPlantAndEquipmentMember2019-01-012019-09-300000012927ba:OtherassetsandAcquiredintangibleassetsMemberus-gaap:FairValueMeasurementsNonrecurringMemberus-gaap:FairValueInputsLevel3Memberus-gaap:IncomeApproachValuat</w:t>
      </w:r>
      <w:r>
        <w:rPr>
          <w:rFonts w:ascii="宋体" w:eastAsia="宋体" w:hAnsi="宋体" w:cs="宋体"/>
          <w:vanish/>
        </w:rPr>
        <w:t>ionTechniqueMember2020-09-300000012927ba:OtherassetsandAcquiredintangibleassetsMemberus-gaap:FairValueMeasurementsNonrecurringMember2020-01-012020-09-300000012927ba:OtherassetsandAcquiredintangibleassetsMemberus-gaap:FairValueMeasurementsNonrecurringMember</w:t>
      </w:r>
      <w:r>
        <w:rPr>
          <w:rFonts w:ascii="宋体" w:eastAsia="宋体" w:hAnsi="宋体" w:cs="宋体"/>
          <w:vanish/>
        </w:rPr>
        <w:t>us-gaap:FairValueInputsLevel3Memberus-gaap:IncomeApproachValuationTechniqueMember2019-09-300000012927ba:OtherassetsandAcquiredintangibleassetsMemberus-gaap:FairValueMeasurementsNonrecurringMember2019-01-012019-09-300000012927us-gaap:FairValueMeasurementsNo</w:t>
      </w:r>
      <w:r>
        <w:rPr>
          <w:rFonts w:ascii="宋体" w:eastAsia="宋体" w:hAnsi="宋体" w:cs="宋体"/>
          <w:vanish/>
        </w:rPr>
        <w:t>nrecurringMemberus-gaap:FairValueInputsLevel3Member2020-09-300000012927us-gaap:FairValueMeasurementsNonrecurringMember2020-01-012020-09-300000012927us-gaap:FairValueMeasurementsNonrecurringMemberus-gaap:FairValueInputsLevel3Member2019-09-300000012927us-gaa</w:t>
      </w:r>
      <w:r>
        <w:rPr>
          <w:rFonts w:ascii="宋体" w:eastAsia="宋体" w:hAnsi="宋体" w:cs="宋体"/>
          <w:vanish/>
        </w:rPr>
        <w:t>p:FairValueMeasurementsNonrecurringMember2019-01-012019-09-300000012927srt:MinimumMemberba:AircraftValuePublicationsMember2020-09-300000012927srt:MaximumMemberba:AircraftValuePublicationsMember2020-09-300000012927ba:AircraftValuePublicationsMember2020-09-3</w:t>
      </w:r>
      <w:r>
        <w:rPr>
          <w:rFonts w:ascii="宋体" w:eastAsia="宋体" w:hAnsi="宋体" w:cs="宋体"/>
          <w:vanish/>
        </w:rPr>
        <w:t>00000012927srt:MinimumMemberba:AircraftConditionAdjustmentsMember2020-09-300000012927srt:MaximumMemberba:AircraftConditionAdjustmentsMember2020-09-300000012927ba:AircraftConditionAdjustmentsMember2020-09-300000012927us-gaap:FairValueInputsLevel2Member2020-</w:t>
      </w:r>
      <w:r>
        <w:rPr>
          <w:rFonts w:ascii="宋体" w:eastAsia="宋体" w:hAnsi="宋体" w:cs="宋体"/>
          <w:vanish/>
        </w:rPr>
        <w:t>09-300000012927us-gaap:FairValueInputsLevel3Member2020-09-300000012927us-gaap:FairValueInputsLevel2Member2019-12-310000012927us-gaap:FairValueInputsLevel3Member2019-12-3100000129272019-01-012019-03-31ba:segments0000012927ba:CommercialAirplanesSegmentMember</w:t>
      </w:r>
      <w:r>
        <w:rPr>
          <w:rFonts w:ascii="宋体" w:eastAsia="宋体" w:hAnsi="宋体" w:cs="宋体"/>
          <w:vanish/>
        </w:rPr>
        <w:t>2020-01-012020-09-300000012927srt:EuropeMemberba:CommercialAirplanesSegmentMemberus-gaap:OperatingSegmentsMember2020-01-012020-09-300000012927srt:EuropeMemberba:CommercialAirplanesSegmentMemberus-gaap:OperatingSegmentsMember2019-01-012019-09-300000012927sr</w:t>
      </w:r>
      <w:r>
        <w:rPr>
          <w:rFonts w:ascii="宋体" w:eastAsia="宋体" w:hAnsi="宋体" w:cs="宋体"/>
          <w:vanish/>
        </w:rPr>
        <w:t>t:EuropeMemberba:CommercialAirplanesSegmentMemberus-gaap:OperatingSegmentsMember2020-07-012020-09-300000012927srt:EuropeMemberba:CommercialAirplanesSegmentMemberus-gaap:OperatingSegmentsMember2019-07-012019-09-300000012927srt:AsiaMemberba:CommercialAirplan</w:t>
      </w:r>
      <w:r>
        <w:rPr>
          <w:rFonts w:ascii="宋体" w:eastAsia="宋体" w:hAnsi="宋体" w:cs="宋体"/>
          <w:vanish/>
        </w:rPr>
        <w:t>esSegmentMemberus-gaap:OperatingSegmentsMember2020-01-012020-09-300000012927srt:AsiaMemberba:CommercialAirplanesSegmentMemberus-gaap:OperatingSegmentsMember2019-01-012019-09-300000012927srt:AsiaMemberba:CommercialAirplanesSegmentMemberus-gaap:OperatingSegm</w:t>
      </w:r>
      <w:r>
        <w:rPr>
          <w:rFonts w:ascii="宋体" w:eastAsia="宋体" w:hAnsi="宋体" w:cs="宋体"/>
          <w:vanish/>
        </w:rPr>
        <w:t>entsMember2020-07-012020-09-300000012927srt:AsiaMemberba:CommercialAirplanesSegmentMemberus-gaap:OperatingSegmentsMember2019-07-012019-09-300000012927us-gaap:MiddleEastMemberba:CommercialAirplanesSegmentMemberus-gaap:OperatingSegmentsMember2020-01-012020-0</w:t>
      </w:r>
      <w:r>
        <w:rPr>
          <w:rFonts w:ascii="宋体" w:eastAsia="宋体" w:hAnsi="宋体" w:cs="宋体"/>
          <w:vanish/>
        </w:rPr>
        <w:t>9-300000012927us-gaap:MiddleEastMemberba:CommercialAirplanesSegmentMemberus-gaap:OperatingSegmentsMember2019-01-012019-09-300000012927us-gaap:MiddleEastMemberba:CommercialAirplanesSegmentMemberus-gaap:OperatingSegmentsMember2020-07-012020-09-300000012927us</w:t>
      </w:r>
      <w:r>
        <w:rPr>
          <w:rFonts w:ascii="宋体" w:eastAsia="宋体" w:hAnsi="宋体" w:cs="宋体"/>
          <w:vanish/>
        </w:rPr>
        <w:t>-gaap:MiddleEastMemberba:CommercialAirplanesSegmentMemberus-gaap:OperatingSegmentsMember2019-07-012019-09-300000012927ba:OtherMemberba:CommercialAirplanesSegmentMemberus-gaap:OperatingSegmentsMember2020-01-012020-09-300000012927ba:OtherMemberba:CommercialA</w:t>
      </w:r>
      <w:r>
        <w:rPr>
          <w:rFonts w:ascii="宋体" w:eastAsia="宋体" w:hAnsi="宋体" w:cs="宋体"/>
          <w:vanish/>
        </w:rPr>
        <w:t>irplanesSegmentMemberus-gaap:OperatingSegmentsMember2019-01-012019-09-300000012927ba:OtherMemberba:CommercialAirplanesSegmentMemberus-gaap:OperatingSegmentsMember2020-07-012020-09-300000012927ba:OtherMemberba:CommercialAirplanesSegmentMemberus-gaap:Operati</w:t>
      </w:r>
      <w:r>
        <w:rPr>
          <w:rFonts w:ascii="宋体" w:eastAsia="宋体" w:hAnsi="宋体" w:cs="宋体"/>
          <w:vanish/>
        </w:rPr>
        <w:t>ngSegmentsMember2019-07-012019-09-300000012927ba:CommercialAirplanesSegmentMemberus-gaap:OperatingSegmentsMemberus-gaap:NonUsMember2020-01-012020-09-300000012927ba:CommercialAirplanesSegmentMemberus-gaap:OperatingSegmentsMemberus-gaap:NonUsMember2019-01-01</w:t>
      </w:r>
      <w:r>
        <w:rPr>
          <w:rFonts w:ascii="宋体" w:eastAsia="宋体" w:hAnsi="宋体" w:cs="宋体"/>
          <w:vanish/>
        </w:rPr>
        <w:t>2019-09-300000012927ba:CommercialAirplanesSegmentMemberus-gaap:OperatingSegmentsMemberus-gaap:NonUsMember2020-07-012020-09-300000012927ba:CommercialAirplanesSegmentMemberus-gaap:OperatingSegmentsMemberus-gaap:NonUsMember2019-07-012019-09-300000012927countr</w:t>
      </w:r>
      <w:r>
        <w:rPr>
          <w:rFonts w:ascii="宋体" w:eastAsia="宋体" w:hAnsi="宋体" w:cs="宋体"/>
          <w:vanish/>
        </w:rPr>
        <w:t>y:USba:CommercialAirplanesSegmentMemberus-gaap:OperatingSegmentsMember2020-01-012020-09-300000012927country:USba:CommercialAirplanesSegmentMemberus-gaap:OperatingSegmentsMember2019-01-012019-09-300000012927country:USba:CommercialAirplanesSegmentMemberus-ga</w:t>
      </w:r>
      <w:r>
        <w:rPr>
          <w:rFonts w:ascii="宋体" w:eastAsia="宋体" w:hAnsi="宋体" w:cs="宋体"/>
          <w:vanish/>
        </w:rPr>
        <w:t>ap:OperatingSegmentsMember2020-07-012020-09-300000012927country:USba:CommercialAirplanesSegmentMemberus-gaap:OperatingSegmentsMember2019-07-012019-09-300000012927ba:CommercialAirplanesSegmentMembersrt:B737MaxMemberba:CustomerConcessionsMemberus-gaap:Operat</w:t>
      </w:r>
      <w:r>
        <w:rPr>
          <w:rFonts w:ascii="宋体" w:eastAsia="宋体" w:hAnsi="宋体" w:cs="宋体"/>
          <w:vanish/>
        </w:rPr>
        <w:t>ingSegmentsMember2020-01-012020-09-300000012927ba:CommercialAirplanesSegmentMembersrt:B737MaxMemberba:CustomerConcessionsMemberus-gaap:OperatingSegmentsMember2019-01-012019-09-300000012927ba:CommercialAirplanesSegmentMembersrt:B737MaxMemberba:CustomerConce</w:t>
      </w:r>
      <w:r>
        <w:rPr>
          <w:rFonts w:ascii="宋体" w:eastAsia="宋体" w:hAnsi="宋体" w:cs="宋体"/>
          <w:vanish/>
        </w:rPr>
        <w:t>ssionsMemberus-gaap:OperatingSegmentsMember2020-07-012020-09-300000012927ba:CommercialAirplanesSegmentMembersrt:B737MaxMemberba:CustomerConcessionsMemberus-gaap:OperatingSegmentsMember2019-07-012019-09-300000012927ba:CommercialAirplanesSegmentMemberba:Exte</w:t>
      </w:r>
      <w:r>
        <w:rPr>
          <w:rFonts w:ascii="宋体" w:eastAsia="宋体" w:hAnsi="宋体" w:cs="宋体"/>
          <w:vanish/>
        </w:rPr>
        <w:t>rnalCustomersMemberus-gaap:OperatingSegmentsMember2020-01-012020-09-300000012927ba:CommercialAirplanesSegmentMemberba:ExternalCustomersMemberus-gaap:OperatingSegmentsMember2019-01-012019-09-300000012927ba:CommercialAirplanesSegmentMemberba:ExternalCustomer</w:t>
      </w:r>
      <w:r>
        <w:rPr>
          <w:rFonts w:ascii="宋体" w:eastAsia="宋体" w:hAnsi="宋体" w:cs="宋体"/>
          <w:vanish/>
        </w:rPr>
        <w:t>sMemberus-gaap:OperatingSegmentsMember2020-07-012020-09-300000012927ba:CommercialAirplanesSegmentMemberba:ExternalCustomersMemberus-gaap:OperatingSegmentsMember2019-07-012019-09-300000012927us-gaap:IntersegmentEliminationMemberba:CommercialAirplanesSegment</w:t>
      </w:r>
      <w:r>
        <w:rPr>
          <w:rFonts w:ascii="宋体" w:eastAsia="宋体" w:hAnsi="宋体" w:cs="宋体"/>
          <w:vanish/>
        </w:rPr>
        <w:t>Member2020-01-012020-09-300000012927us-gaap:IntersegmentEliminationMemberba:CommercialAirplanesSegmentMember2019-01-012019-09-300000012927us-gaap:IntersegmentEliminationMemberba:CommercialAirplanesSegmentMember2020-07-012020-09-300000012927us-gaap:Interseg</w:t>
      </w:r>
      <w:r>
        <w:rPr>
          <w:rFonts w:ascii="宋体" w:eastAsia="宋体" w:hAnsi="宋体" w:cs="宋体"/>
          <w:vanish/>
        </w:rPr>
        <w:t>mentEliminationMemberba:CommercialAirplanesSegmentMember2019-07-012019-09-300000012927us-gaap:FixedPriceContractMemberba:CommercialAirplanesSegmentMemberus-gaap:OperatingSegmentsMember2020-01-012020-09-300000012927us-gaap:FixedPriceContractMemberba:Commerc</w:t>
      </w:r>
      <w:r>
        <w:rPr>
          <w:rFonts w:ascii="宋体" w:eastAsia="宋体" w:hAnsi="宋体" w:cs="宋体"/>
          <w:vanish/>
        </w:rPr>
        <w:t>ialAirplanesSegmentMemberus-gaap:OperatingSegmentsMember2019-01-012019-09-300000012927us-gaap:FixedPriceContractMemberba:CommercialAirplanesSegmentMemberus-gaap:OperatingSegmentsMember2020-07-012020-09-300000012927us-gaap:FixedPriceContractMemberba:Commerc</w:t>
      </w:r>
      <w:r>
        <w:rPr>
          <w:rFonts w:ascii="宋体" w:eastAsia="宋体" w:hAnsi="宋体" w:cs="宋体"/>
          <w:vanish/>
        </w:rPr>
        <w:t>ialAirplanesSegmentMemberus-gaap:OperatingSegmentsMember2019-07-012019-09-300000012927ba:CommercialAirplanesSegmentMemberus-gaap:TransferredAtPointInTimeMemberus-gaap:OperatingSegmentsMember2020-01-012020-09-300000012927ba:CommercialAirplanesSegmentMemberu</w:t>
      </w:r>
      <w:r>
        <w:rPr>
          <w:rFonts w:ascii="宋体" w:eastAsia="宋体" w:hAnsi="宋体" w:cs="宋体"/>
          <w:vanish/>
        </w:rPr>
        <w:t>s-gaap:TransferredAtPointInTimeMemberus-gaap:OperatingSegmentsMember2019-01-012019-09-300000012927ba:CommercialAirplanesSegmentMemberus-gaap:TransferredAtPointInTimeMemberus-gaap:OperatingSegmentsMember2020-07-012020-09-300000012927ba:CommercialAirplanesSe</w:t>
      </w:r>
      <w:r>
        <w:rPr>
          <w:rFonts w:ascii="宋体" w:eastAsia="宋体" w:hAnsi="宋体" w:cs="宋体"/>
          <w:vanish/>
        </w:rPr>
        <w:t>gmentMemberus-gaap:TransferredAtPointInTimeMemberus-gaap:OperatingSegmentsMember2019-07-012019-09-300000012927ba:BoeingDefenseSpaceSecuritySegmentMember2020-01-012020-09-300000012927country:USba:BoeingDefenseSpaceSecuritySegmentMemberus-gaap:OperatingSegme</w:t>
      </w:r>
      <w:r>
        <w:rPr>
          <w:rFonts w:ascii="宋体" w:eastAsia="宋体" w:hAnsi="宋体" w:cs="宋体"/>
          <w:vanish/>
        </w:rPr>
        <w:t>ntsMember2020-01-012020-09-300000012927country:USba:BoeingDefenseSpaceSecuritySegmentMemberus-gaap:OperatingSegmentsMember2019-01-012019-09-300000012927country:USba:BoeingDefenseSpaceSecuritySegmentMemberus-gaap:OperatingSegmentsMember2020-07-012020-09-300</w:t>
      </w:r>
      <w:r>
        <w:rPr>
          <w:rFonts w:ascii="宋体" w:eastAsia="宋体" w:hAnsi="宋体" w:cs="宋体"/>
          <w:vanish/>
        </w:rPr>
        <w:t>000012927country:USba:BoeingDefenseSpaceSecuritySegmentMemberus-gaap:OperatingSegmentsMember2019-07-012019-09-300000012927ba:BoeingDefenseSpaceSecuritySegmentMemberus-gaap:OperatingSegmentsMemberus-gaap:NonUsMember2020-01-012020-09-300000012927ba:BoeingDef</w:t>
      </w:r>
      <w:r>
        <w:rPr>
          <w:rFonts w:ascii="宋体" w:eastAsia="宋体" w:hAnsi="宋体" w:cs="宋体"/>
          <w:vanish/>
        </w:rPr>
        <w:t>enseSpaceSecuritySegmentMemberus-gaap:OperatingSegmentsMemberus-gaap:NonUsMember2019-01-012019-09-300000012927ba:BoeingDefenseSpaceSecuritySegmentMemberus-gaap:OperatingSegmentsMemberus-gaap:NonUsMember2020-07-012020-09-300000012927ba:BoeingDefenseSpaceSec</w:t>
      </w:r>
      <w:r>
        <w:rPr>
          <w:rFonts w:ascii="宋体" w:eastAsia="宋体" w:hAnsi="宋体" w:cs="宋体"/>
          <w:vanish/>
        </w:rPr>
        <w:t>uritySegmentMemberus-gaap:OperatingSegmentsMemberus-gaap:NonUsMember2019-07-012019-09-300000012927ba:BoeingDefenseSpaceSecuritySegmentMemberus-gaap:TransferredOverTimeMemberus-gaap:OperatingSegmentsMember2020-01-012020-09-300000012927ba:BoeingDefenseSpaceS</w:t>
      </w:r>
      <w:r>
        <w:rPr>
          <w:rFonts w:ascii="宋体" w:eastAsia="宋体" w:hAnsi="宋体" w:cs="宋体"/>
          <w:vanish/>
        </w:rPr>
        <w:t>ecuritySegmentMemberus-gaap:TransferredOverTimeMemberus-gaap:OperatingSegmentsMember2019-01-012019-09-300000012927ba:BoeingDefenseSpaceSecuritySegmentMemberus-gaap:TransferredOverTimeMemberus-gaap:OperatingSegmentsMember2020-07-012020-09-300000012927ba:Boe</w:t>
      </w:r>
      <w:r>
        <w:rPr>
          <w:rFonts w:ascii="宋体" w:eastAsia="宋体" w:hAnsi="宋体" w:cs="宋体"/>
          <w:vanish/>
        </w:rPr>
        <w:t>ingDefenseSpaceSecuritySegmentMemberus-gaap:TransferredOverTimeMemberus-gaap:OperatingSegmentsMember2019-07-012019-09-300000012927ba:BoeingDefenseSpaceSecuritySegmentMemberus-gaap:FixedPriceContractMemberus-gaap:OperatingSegmentsMember2020-01-012020-09-300</w:t>
      </w:r>
      <w:r>
        <w:rPr>
          <w:rFonts w:ascii="宋体" w:eastAsia="宋体" w:hAnsi="宋体" w:cs="宋体"/>
          <w:vanish/>
        </w:rPr>
        <w:t>000012927ba:BoeingDefenseSpaceSecuritySegmentMemberus-gaap:FixedPriceContractMemberus-gaap:OperatingSegmentsMember2019-01-012019-09-300000012927ba:BoeingDefenseSpaceSecuritySegmentMemberus-gaap:FixedPriceContractMemberus-gaap:OperatingSegmentsMember2020-07</w:t>
      </w:r>
      <w:r>
        <w:rPr>
          <w:rFonts w:ascii="宋体" w:eastAsia="宋体" w:hAnsi="宋体" w:cs="宋体"/>
          <w:vanish/>
        </w:rPr>
        <w:t>-012020-09-300000012927ba:BoeingDefenseSpaceSecuritySegmentMemberus-gaap:FixedPriceContractMemberus-gaap:OperatingSegmentsMember2019-07-012019-09-300000012927ba:BoeingDefenseSpaceSecuritySegmentMemberba:USGovernmentContractsMemberus-gaap:OperatingSegmentsM</w:t>
      </w:r>
      <w:r>
        <w:rPr>
          <w:rFonts w:ascii="宋体" w:eastAsia="宋体" w:hAnsi="宋体" w:cs="宋体"/>
          <w:vanish/>
        </w:rPr>
        <w:t>ember2020-01-012020-09-300000012927ba:BoeingDefenseSpaceSecuritySegmentMemberba:USGovernmentContractsMemberus-gaap:OperatingSegmentsMember2019-01-012019-09-300000012927ba:BoeingDefenseSpaceSecuritySegmentMemberba:USGovernmentContractsMemberus-gaap:Operatin</w:t>
      </w:r>
      <w:r>
        <w:rPr>
          <w:rFonts w:ascii="宋体" w:eastAsia="宋体" w:hAnsi="宋体" w:cs="宋体"/>
          <w:vanish/>
        </w:rPr>
        <w:t>gSegmentsMember2020-07-012020-09-300000012927ba:BoeingDefenseSpaceSecuritySegmentMemberba:USGovernmentContractsMemberus-gaap:OperatingSegmentsMember2019-07-012019-09-300000012927ba:GlobalServicesMember2020-01-012020-09-300000012927ba:GlobalServicesMemberus</w:t>
      </w:r>
      <w:r>
        <w:rPr>
          <w:rFonts w:ascii="宋体" w:eastAsia="宋体" w:hAnsi="宋体" w:cs="宋体"/>
          <w:vanish/>
        </w:rPr>
        <w:t>-gaap:OperatingSegmentsMemberba:CommercialCustomersMember2020-01-012020-09-300000012927ba:GlobalServicesMemberus-gaap:OperatingSegmentsMemberba:CommercialCustomersMember2019-01-012019-09-300000012927ba:GlobalServicesMemberus-gaap:OperatingSegmentsMemberba:</w:t>
      </w:r>
      <w:r>
        <w:rPr>
          <w:rFonts w:ascii="宋体" w:eastAsia="宋体" w:hAnsi="宋体" w:cs="宋体"/>
          <w:vanish/>
        </w:rPr>
        <w:t>CommercialCustomersMember2020-07-012020-09-300000012927ba:GlobalServicesMemberus-gaap:OperatingSegmentsMemberba:CommercialCustomersMember2019-07-012019-09-300000012927ba:GlobalServicesMemberba:GovernmentCustomersMemberus-gaap:OperatingSegmentsMember2020-01</w:t>
      </w:r>
      <w:r>
        <w:rPr>
          <w:rFonts w:ascii="宋体" w:eastAsia="宋体" w:hAnsi="宋体" w:cs="宋体"/>
          <w:vanish/>
        </w:rPr>
        <w:t>-012020-09-300000012927ba:GlobalServicesMemberba:GovernmentCustomersMemberus-gaap:OperatingSegmentsMember2019-01-012019-09-300000012927ba:GlobalServicesMemberba:GovernmentCustomersMemberus-gaap:OperatingSegmentsMember2020-07-012020-09-300000012927ba:Global</w:t>
      </w:r>
      <w:r>
        <w:rPr>
          <w:rFonts w:ascii="宋体" w:eastAsia="宋体" w:hAnsi="宋体" w:cs="宋体"/>
          <w:vanish/>
        </w:rPr>
        <w:t>ServicesMemberba:GovernmentCustomersMemberus-gaap:OperatingSegmentsMember2019-07-012019-09-300000012927ba:GlobalServicesMemberba:ExternalCustomersMemberus-gaap:OperatingSegmentsMember2020-01-012020-09-300000012927ba:GlobalServicesMemberba:ExternalCustomers</w:t>
      </w:r>
      <w:r>
        <w:rPr>
          <w:rFonts w:ascii="宋体" w:eastAsia="宋体" w:hAnsi="宋体" w:cs="宋体"/>
          <w:vanish/>
        </w:rPr>
        <w:t>Memberus-gaap:OperatingSegmentsMember2019-01-012019-09-300000012927ba:GlobalServicesMemberba:ExternalCustomersMemberus-gaap:OperatingSegmentsMember2020-07-012020-09-300000012927ba:GlobalServicesMemberba:ExternalCustomersMemberus-gaap:OperatingSegmentsMembe</w:t>
      </w:r>
      <w:r>
        <w:rPr>
          <w:rFonts w:ascii="宋体" w:eastAsia="宋体" w:hAnsi="宋体" w:cs="宋体"/>
          <w:vanish/>
        </w:rPr>
        <w:t>r2019-07-012019-09-300000012927us-gaap:IntersegmentEliminationMemberba:GlobalServicesMember2020-01-012020-09-300000012927us-gaap:IntersegmentEliminationMemberba:GlobalServicesMember2019-01-012019-09-300000012927us-gaap:IntersegmentEliminationMemberba:Globa</w:t>
      </w:r>
      <w:r>
        <w:rPr>
          <w:rFonts w:ascii="宋体" w:eastAsia="宋体" w:hAnsi="宋体" w:cs="宋体"/>
          <w:vanish/>
        </w:rPr>
        <w:t>lServicesMember2020-07-012020-09-300000012927us-gaap:IntersegmentEliminationMemberba:GlobalServicesMember2019-07-012019-09-300000012927ba:GlobalServicesMemberus-gaap:OperatingSegmentsMemberus-gaap:TransferredAtPointInTimeMember2020-01-012020-09-30000001292</w:t>
      </w:r>
      <w:r>
        <w:rPr>
          <w:rFonts w:ascii="宋体" w:eastAsia="宋体" w:hAnsi="宋体" w:cs="宋体"/>
          <w:vanish/>
        </w:rPr>
        <w:t>7ba:GlobalServicesMemberus-gaap:OperatingSegmentsMemberus-gaap:TransferredAtPointInTimeMember2019-01-012019-09-300000012927ba:GlobalServicesMemberus-gaap:OperatingSegmentsMemberus-gaap:TransferredAtPointInTimeMember2020-07-012020-09-300000012927ba:GlobalSe</w:t>
      </w:r>
      <w:r>
        <w:rPr>
          <w:rFonts w:ascii="宋体" w:eastAsia="宋体" w:hAnsi="宋体" w:cs="宋体"/>
          <w:vanish/>
        </w:rPr>
        <w:t>rvicesMemberus-gaap:OperatingSegmentsMemberus-gaap:TransferredAtPointInTimeMember2019-07-012019-09-300000012927us-gaap:FixedPriceContractMemberba:GlobalServicesMemberus-gaap:OperatingSegmentsMember2020-01-012020-09-300000012927us-gaap:FixedPriceContractMem</w:t>
      </w:r>
      <w:r>
        <w:rPr>
          <w:rFonts w:ascii="宋体" w:eastAsia="宋体" w:hAnsi="宋体" w:cs="宋体"/>
          <w:vanish/>
        </w:rPr>
        <w:t>berba:GlobalServicesMemberus-gaap:OperatingSegmentsMember2019-01-012019-09-300000012927us-gaap:FixedPriceContractMemberba:GlobalServicesMemberus-gaap:OperatingSegmentsMember2020-07-012020-09-300000012927us-gaap:FixedPriceContractMemberba:GlobalServicesMemb</w:t>
      </w:r>
      <w:r>
        <w:rPr>
          <w:rFonts w:ascii="宋体" w:eastAsia="宋体" w:hAnsi="宋体" w:cs="宋体"/>
          <w:vanish/>
        </w:rPr>
        <w:t>erus-gaap:OperatingSegmentsMember2019-07-012019-09-300000012927ba:GlobalServicesMemberba:USGovernmentContractsMemberus-gaap:OperatingSegmentsMember2020-01-012020-09-300000012927ba:GlobalServicesMemberba:USGovernmentContractsMemberus-gaap:OperatingSegmentsM</w:t>
      </w:r>
      <w:r>
        <w:rPr>
          <w:rFonts w:ascii="宋体" w:eastAsia="宋体" w:hAnsi="宋体" w:cs="宋体"/>
          <w:vanish/>
        </w:rPr>
        <w:t>ember2019-01-012019-09-300000012927ba:GlobalServicesMemberba:USGovernmentContractsMemberus-gaap:OperatingSegmentsMember2020-07-012020-09-300000012927ba:GlobalServicesMemberba:USGovernmentContractsMemberus-gaap:OperatingSegmentsMember2019-07-012019-09-30000</w:t>
      </w:r>
      <w:r>
        <w:rPr>
          <w:rFonts w:ascii="宋体" w:eastAsia="宋体" w:hAnsi="宋体" w:cs="宋体"/>
          <w:vanish/>
        </w:rPr>
        <w:t>0012927ba:WithinNext2FiscalYearsMember2020-09-300000012927ba:WithinNext5FiscalYearsMember2020-09-300000012927us-gaap:PensionPlansDefinedBenefitMemberba:CorporateReconcilingItemsAndEliminationsMember2020-01-012020-09-300000012927us-gaap:PensionPlansDefinedB</w:t>
      </w:r>
      <w:r>
        <w:rPr>
          <w:rFonts w:ascii="宋体" w:eastAsia="宋体" w:hAnsi="宋体" w:cs="宋体"/>
          <w:vanish/>
        </w:rPr>
        <w:t>enefitMemberba:CorporateReconcilingItemsAndEliminationsMember2019-01-012019-09-300000012927us-gaap:PensionPlansDefinedBenefitMemberba:CorporateReconcilingItemsAndEliminationsMember2020-07-012020-09-300000012927us-gaap:PensionPlansDefinedBenefitMemberba:Cor</w:t>
      </w:r>
      <w:r>
        <w:rPr>
          <w:rFonts w:ascii="宋体" w:eastAsia="宋体" w:hAnsi="宋体" w:cs="宋体"/>
          <w:vanish/>
        </w:rPr>
        <w:t>porateReconcilingItemsAndEliminationsMember2019-07-012019-09-300000012927us-gaap:OtherPostretirementBenefitPlansDefinedBenefitMemberba:CorporateReconcilingItemsAndEliminationsMember2020-01-012020-09-300000012927us-gaap:OtherPostretirementBenefitPlansDefine</w:t>
      </w:r>
      <w:r>
        <w:rPr>
          <w:rFonts w:ascii="宋体" w:eastAsia="宋体" w:hAnsi="宋体" w:cs="宋体"/>
          <w:vanish/>
        </w:rPr>
        <w:t>dBenefitMemberba:CorporateReconcilingItemsAndEliminationsMember2019-01-012019-09-300000012927us-gaap:OtherPostretirementBenefitPlansDefinedBenefitMemberba:CorporateReconcilingItemsAndEliminationsMember2020-07-012020-09-300000012927us-gaap:OtherPostretireme</w:t>
      </w:r>
      <w:r>
        <w:rPr>
          <w:rFonts w:ascii="宋体" w:eastAsia="宋体" w:hAnsi="宋体" w:cs="宋体"/>
          <w:vanish/>
        </w:rPr>
        <w:t>ntBenefitPlansDefinedBenefitMemberba:CorporateReconcilingItemsAndEliminationsMember2019-07-012019-09-300000012927ba:CommercialAirplanesSegmentMemberus-gaap:OperatingSegmentsMember2020-09-300000012927ba:CommercialAirplanesSegmentMemberus-gaap:OperatingSegme</w:t>
      </w:r>
      <w:r>
        <w:rPr>
          <w:rFonts w:ascii="宋体" w:eastAsia="宋体" w:hAnsi="宋体" w:cs="宋体"/>
          <w:vanish/>
        </w:rPr>
        <w:t>ntsMember2019-12-310000012927ba:BoeingDefenseSpaceSecuritySegmentMemberus-gaap:OperatingSegmentsMember2020-09-300000012927ba:BoeingDefenseSpaceSecuritySegmentMemberus-gaap:OperatingSegmentsMember2019-12-310000012927ba:GlobalServicesMemberus-gaap:OperatingS</w:t>
      </w:r>
      <w:r>
        <w:rPr>
          <w:rFonts w:ascii="宋体" w:eastAsia="宋体" w:hAnsi="宋体" w:cs="宋体"/>
          <w:vanish/>
        </w:rPr>
        <w:t>egmentsMember2020-09-300000012927ba:GlobalServicesMemberus-gaap:OperatingSegmentsMember2019-12-310000012927ba:BoeingCapitalCorporationMemberus-gaap:OperatingSegmentsMember2020-09-300000012927ba:BoeingCapitalCorporationMemberus-gaap:OperatingSegmentsMember2</w:t>
      </w:r>
      <w:r>
        <w:rPr>
          <w:rFonts w:ascii="宋体" w:eastAsia="宋体" w:hAnsi="宋体" w:cs="宋体"/>
          <w:vanish/>
        </w:rPr>
        <w:t>019-12-310000012927ba:CorporateReconcilingItemsAndEliminationsMember2020-09-300000012927ba:CorporateReconcilingItemsAndEliminationsMember2019-12-31</w:t>
      </w:r>
    </w:p>
    <w:p w14:paraId="4090D68A" w14:textId="77777777" w:rsidR="00833634" w:rsidRDefault="00833634">
      <w:pPr>
        <w:spacing w:after="180"/>
        <w:jc w:val="right"/>
      </w:pPr>
    </w:p>
    <w:p w14:paraId="4090D68B" w14:textId="77777777" w:rsidR="00833634" w:rsidRDefault="00E15D51">
      <w:pPr>
        <w:jc w:val="center"/>
      </w:pPr>
      <w:r>
        <w:rPr>
          <w:rFonts w:ascii="宋体" w:eastAsia="宋体" w:hAnsi="宋体" w:cs="宋体"/>
        </w:rPr>
        <w:fldChar w:fldCharType="begin"/>
      </w:r>
      <w:r>
        <w:rPr>
          <w:rFonts w:ascii="宋体" w:eastAsia="宋体" w:hAnsi="宋体" w:cs="宋体"/>
        </w:rPr>
        <w:instrText xml:space="preserve">INCLUDEPICTURE \d "/Users/xuxinrun/Document/04 msra/20230209 </w:instrText>
      </w:r>
      <w:r>
        <w:rPr>
          <w:rFonts w:ascii="宋体" w:eastAsia="宋体" w:hAnsi="宋体" w:cs="宋体"/>
        </w:rPr>
        <w:instrText>公司财报</w:instrText>
      </w:r>
      <w:r>
        <w:rPr>
          <w:rFonts w:ascii="宋体" w:eastAsia="宋体" w:hAnsi="宋体" w:cs="宋体"/>
        </w:rPr>
        <w:instrText>/BOEING/./Inline XBRL Viewer9_files/ba-202</w:instrText>
      </w:r>
      <w:r>
        <w:rPr>
          <w:rFonts w:ascii="宋体" w:eastAsia="宋体" w:hAnsi="宋体" w:cs="宋体"/>
        </w:rPr>
        <w:instrText xml:space="preserve">00930_g1.jpg" \* MERGEFORMATINET </w:instrText>
      </w:r>
      <w:r>
        <w:rPr>
          <w:rFonts w:ascii="宋体" w:eastAsia="宋体" w:hAnsi="宋体" w:cs="宋体"/>
        </w:rPr>
        <w:fldChar w:fldCharType="separate"/>
      </w:r>
      <w:r>
        <w:rPr>
          <w:rFonts w:ascii="宋体" w:eastAsia="宋体" w:hAnsi="宋体" w:cs="宋体"/>
          <w:noProof/>
        </w:rPr>
        <w:drawing>
          <wp:inline distT="0" distB="0" distL="114300" distR="114300" wp14:anchorId="4090FE1D" wp14:editId="4090FE1E">
            <wp:extent cx="304800" cy="304800"/>
            <wp:effectExtent l="0" t="0" r="0" b="0"/>
            <wp:docPr id="22" name="图片 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4"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r>
        <w:rPr>
          <w:rFonts w:ascii="宋体" w:eastAsia="宋体" w:hAnsi="宋体" w:cs="宋体"/>
        </w:rPr>
        <w:fldChar w:fldCharType="end"/>
      </w:r>
    </w:p>
    <w:p w14:paraId="4090D68C" w14:textId="77777777" w:rsidR="00833634" w:rsidRDefault="00E15D51">
      <w:pPr>
        <w:jc w:val="center"/>
      </w:pPr>
      <w:r>
        <w:rPr>
          <w:rFonts w:ascii="Arial" w:eastAsia="宋体" w:hAnsi="Arial" w:cs="Arial"/>
          <w:b/>
          <w:bCs/>
          <w:color w:val="000000"/>
          <w:sz w:val="18"/>
          <w:szCs w:val="18"/>
        </w:rPr>
        <w:t>UNITED STATES</w:t>
      </w:r>
    </w:p>
    <w:p w14:paraId="4090D68D" w14:textId="77777777" w:rsidR="00833634" w:rsidRDefault="00E15D51">
      <w:pPr>
        <w:jc w:val="center"/>
      </w:pPr>
      <w:r>
        <w:rPr>
          <w:rFonts w:ascii="Arial" w:eastAsia="宋体" w:hAnsi="Arial" w:cs="Arial"/>
          <w:b/>
          <w:bCs/>
          <w:color w:val="000000"/>
          <w:sz w:val="18"/>
          <w:szCs w:val="18"/>
        </w:rPr>
        <w:t>SECURITIES AND EXCHANGE COMMISSION</w:t>
      </w:r>
    </w:p>
    <w:p w14:paraId="4090D68E" w14:textId="77777777" w:rsidR="00833634" w:rsidRDefault="00E15D51">
      <w:pPr>
        <w:jc w:val="center"/>
      </w:pPr>
      <w:r>
        <w:rPr>
          <w:rFonts w:ascii="Arial" w:eastAsia="宋体" w:hAnsi="Arial" w:cs="Arial"/>
          <w:b/>
          <w:bCs/>
          <w:color w:val="000000"/>
          <w:sz w:val="18"/>
          <w:szCs w:val="18"/>
        </w:rPr>
        <w:t>Washington, D.C. 20549</w:t>
      </w:r>
    </w:p>
    <w:p w14:paraId="4090D68F" w14:textId="77777777" w:rsidR="00833634" w:rsidRDefault="00E15D51">
      <w:pPr>
        <w:spacing w:before="280"/>
        <w:jc w:val="center"/>
      </w:pPr>
      <w:r>
        <w:rPr>
          <w:rFonts w:ascii="Arial" w:eastAsia="宋体" w:hAnsi="Arial" w:cs="Arial"/>
          <w:b/>
          <w:bCs/>
          <w:color w:val="000000"/>
          <w:sz w:val="28"/>
          <w:szCs w:val="28"/>
        </w:rPr>
        <w:t xml:space="preserve">FORM 10-Q </w:t>
      </w:r>
    </w:p>
    <w:p w14:paraId="4090D690" w14:textId="77777777" w:rsidR="00833634" w:rsidRDefault="00E15D51">
      <w:pPr>
        <w:jc w:val="center"/>
      </w:pPr>
      <w:r>
        <w:rPr>
          <w:rFonts w:ascii="Arial" w:eastAsia="宋体" w:hAnsi="Arial" w:cs="Arial"/>
          <w:color w:val="000000"/>
          <w:sz w:val="18"/>
          <w:szCs w:val="18"/>
        </w:rPr>
        <w:t>(Mark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833634" w14:paraId="4090D69A" w14:textId="77777777">
        <w:trPr>
          <w:jc w:val="center"/>
        </w:trPr>
        <w:tc>
          <w:tcPr>
            <w:tcW w:w="50" w:type="pct"/>
            <w:shd w:val="clear" w:color="auto" w:fill="auto"/>
          </w:tcPr>
          <w:p w14:paraId="4090D691" w14:textId="77777777" w:rsidR="00833634" w:rsidRDefault="00833634">
            <w:pPr>
              <w:rPr>
                <w:rFonts w:ascii="宋体"/>
              </w:rPr>
            </w:pPr>
          </w:p>
        </w:tc>
        <w:tc>
          <w:tcPr>
            <w:tcW w:w="204" w:type="pct"/>
            <w:shd w:val="clear" w:color="auto" w:fill="auto"/>
          </w:tcPr>
          <w:p w14:paraId="4090D692" w14:textId="77777777" w:rsidR="00833634" w:rsidRDefault="00833634">
            <w:pPr>
              <w:rPr>
                <w:rFonts w:ascii="宋体"/>
              </w:rPr>
            </w:pPr>
          </w:p>
        </w:tc>
        <w:tc>
          <w:tcPr>
            <w:tcW w:w="5" w:type="pct"/>
            <w:shd w:val="clear" w:color="auto" w:fill="auto"/>
          </w:tcPr>
          <w:p w14:paraId="4090D693" w14:textId="77777777" w:rsidR="00833634" w:rsidRDefault="00833634">
            <w:pPr>
              <w:rPr>
                <w:rFonts w:ascii="宋体"/>
              </w:rPr>
            </w:pPr>
          </w:p>
        </w:tc>
        <w:tc>
          <w:tcPr>
            <w:tcW w:w="50" w:type="pct"/>
            <w:shd w:val="clear" w:color="auto" w:fill="auto"/>
          </w:tcPr>
          <w:p w14:paraId="4090D694" w14:textId="77777777" w:rsidR="00833634" w:rsidRDefault="00833634">
            <w:pPr>
              <w:rPr>
                <w:rFonts w:ascii="宋体"/>
              </w:rPr>
            </w:pPr>
          </w:p>
        </w:tc>
        <w:tc>
          <w:tcPr>
            <w:tcW w:w="102" w:type="pct"/>
            <w:shd w:val="clear" w:color="auto" w:fill="auto"/>
          </w:tcPr>
          <w:p w14:paraId="4090D695" w14:textId="77777777" w:rsidR="00833634" w:rsidRDefault="00833634">
            <w:pPr>
              <w:rPr>
                <w:rFonts w:ascii="宋体"/>
              </w:rPr>
            </w:pPr>
          </w:p>
        </w:tc>
        <w:tc>
          <w:tcPr>
            <w:tcW w:w="5" w:type="pct"/>
            <w:shd w:val="clear" w:color="auto" w:fill="auto"/>
          </w:tcPr>
          <w:p w14:paraId="4090D696" w14:textId="77777777" w:rsidR="00833634" w:rsidRDefault="00833634">
            <w:pPr>
              <w:rPr>
                <w:rFonts w:ascii="宋体"/>
              </w:rPr>
            </w:pPr>
          </w:p>
        </w:tc>
        <w:tc>
          <w:tcPr>
            <w:tcW w:w="50" w:type="pct"/>
            <w:shd w:val="clear" w:color="auto" w:fill="auto"/>
          </w:tcPr>
          <w:p w14:paraId="4090D697" w14:textId="77777777" w:rsidR="00833634" w:rsidRDefault="00833634">
            <w:pPr>
              <w:rPr>
                <w:rFonts w:ascii="宋体"/>
              </w:rPr>
            </w:pPr>
          </w:p>
        </w:tc>
        <w:tc>
          <w:tcPr>
            <w:tcW w:w="4528" w:type="pct"/>
            <w:shd w:val="clear" w:color="auto" w:fill="auto"/>
          </w:tcPr>
          <w:p w14:paraId="4090D698" w14:textId="77777777" w:rsidR="00833634" w:rsidRDefault="00833634">
            <w:pPr>
              <w:rPr>
                <w:rFonts w:ascii="宋体"/>
              </w:rPr>
            </w:pPr>
          </w:p>
        </w:tc>
        <w:tc>
          <w:tcPr>
            <w:tcW w:w="5" w:type="pct"/>
            <w:shd w:val="clear" w:color="auto" w:fill="auto"/>
          </w:tcPr>
          <w:p w14:paraId="4090D699" w14:textId="77777777" w:rsidR="00833634" w:rsidRDefault="00833634">
            <w:pPr>
              <w:rPr>
                <w:rFonts w:ascii="宋体"/>
              </w:rPr>
            </w:pPr>
          </w:p>
        </w:tc>
      </w:tr>
      <w:tr w:rsidR="00833634" w14:paraId="4090D69E" w14:textId="77777777">
        <w:trPr>
          <w:jc w:val="center"/>
        </w:trPr>
        <w:tc>
          <w:tcPr>
            <w:tcW w:w="0" w:type="auto"/>
            <w:gridSpan w:val="3"/>
            <w:shd w:val="clear" w:color="auto" w:fill="auto"/>
            <w:tcMar>
              <w:top w:w="40" w:type="dxa"/>
              <w:left w:w="20" w:type="dxa"/>
              <w:bottom w:w="40" w:type="dxa"/>
              <w:right w:w="20" w:type="dxa"/>
            </w:tcMar>
          </w:tcPr>
          <w:p w14:paraId="4090D69B" w14:textId="77777777" w:rsidR="00833634" w:rsidRDefault="00E15D51">
            <w:pPr>
              <w:textAlignment w:val="top"/>
            </w:pPr>
            <w:r>
              <w:rPr>
                <w:rFonts w:ascii="Arial" w:eastAsia="宋体" w:hAnsi="Arial" w:cs="Arial"/>
                <w:color w:val="000000"/>
                <w:sz w:val="18"/>
                <w:szCs w:val="18"/>
              </w:rPr>
              <w:t>☒</w:t>
            </w:r>
          </w:p>
        </w:tc>
        <w:tc>
          <w:tcPr>
            <w:tcW w:w="0" w:type="auto"/>
            <w:gridSpan w:val="3"/>
            <w:shd w:val="clear" w:color="auto" w:fill="auto"/>
            <w:tcMar>
              <w:top w:w="40" w:type="dxa"/>
              <w:left w:w="20" w:type="dxa"/>
              <w:bottom w:w="40" w:type="dxa"/>
              <w:right w:w="20" w:type="dxa"/>
            </w:tcMar>
          </w:tcPr>
          <w:p w14:paraId="4090D69C" w14:textId="77777777" w:rsidR="00833634" w:rsidRDefault="00E15D51">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4090D69D" w14:textId="77777777" w:rsidR="00833634" w:rsidRDefault="00E15D51">
            <w:pPr>
              <w:jc w:val="both"/>
              <w:textAlignment w:val="top"/>
            </w:pPr>
            <w:r>
              <w:rPr>
                <w:rFonts w:ascii="Arial" w:eastAsia="宋体" w:hAnsi="Arial" w:cs="Arial"/>
                <w:color w:val="000000"/>
                <w:sz w:val="20"/>
                <w:szCs w:val="20"/>
              </w:rPr>
              <w:t>QUARTERLY REPORT PURSUANT TO SECTION 13 OR 15(d) OF THE SECURITIES EXCHANGE ACT OF 1934</w:t>
            </w:r>
          </w:p>
        </w:tc>
      </w:tr>
    </w:tbl>
    <w:p w14:paraId="4090D69F" w14:textId="77777777" w:rsidR="00833634" w:rsidRDefault="00E15D51">
      <w:pPr>
        <w:spacing w:before="180"/>
        <w:jc w:val="center"/>
      </w:pPr>
      <w:r>
        <w:rPr>
          <w:rFonts w:ascii="Arial" w:eastAsia="宋体" w:hAnsi="Arial" w:cs="Arial"/>
          <w:color w:val="000000"/>
          <w:sz w:val="18"/>
          <w:szCs w:val="18"/>
        </w:rPr>
        <w:t xml:space="preserve">For the quarterly period ended September 30, 2020 </w:t>
      </w:r>
    </w:p>
    <w:p w14:paraId="4090D6A0" w14:textId="77777777" w:rsidR="00833634" w:rsidRDefault="00E15D51">
      <w:pPr>
        <w:spacing w:before="60"/>
        <w:jc w:val="center"/>
      </w:pPr>
      <w:r>
        <w:rPr>
          <w:rFonts w:ascii="Arial" w:eastAsia="宋体" w:hAnsi="Arial" w:cs="Arial"/>
          <w:color w:val="000000"/>
          <w:sz w:val="18"/>
          <w:szCs w:val="18"/>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26"/>
        <w:gridCol w:w="36"/>
        <w:gridCol w:w="69"/>
        <w:gridCol w:w="156"/>
        <w:gridCol w:w="36"/>
        <w:gridCol w:w="70"/>
        <w:gridCol w:w="7538"/>
        <w:gridCol w:w="36"/>
      </w:tblGrid>
      <w:tr w:rsidR="00833634" w14:paraId="4090D6AA" w14:textId="77777777">
        <w:trPr>
          <w:jc w:val="center"/>
        </w:trPr>
        <w:tc>
          <w:tcPr>
            <w:tcW w:w="50" w:type="pct"/>
            <w:shd w:val="clear" w:color="auto" w:fill="auto"/>
          </w:tcPr>
          <w:p w14:paraId="4090D6A1" w14:textId="77777777" w:rsidR="00833634" w:rsidRDefault="00833634">
            <w:pPr>
              <w:rPr>
                <w:rFonts w:ascii="宋体"/>
              </w:rPr>
            </w:pPr>
          </w:p>
        </w:tc>
        <w:tc>
          <w:tcPr>
            <w:tcW w:w="204" w:type="pct"/>
            <w:shd w:val="clear" w:color="auto" w:fill="auto"/>
          </w:tcPr>
          <w:p w14:paraId="4090D6A2" w14:textId="77777777" w:rsidR="00833634" w:rsidRDefault="00833634">
            <w:pPr>
              <w:rPr>
                <w:rFonts w:ascii="宋体"/>
              </w:rPr>
            </w:pPr>
          </w:p>
        </w:tc>
        <w:tc>
          <w:tcPr>
            <w:tcW w:w="5" w:type="pct"/>
            <w:shd w:val="clear" w:color="auto" w:fill="auto"/>
          </w:tcPr>
          <w:p w14:paraId="4090D6A3" w14:textId="77777777" w:rsidR="00833634" w:rsidRDefault="00833634">
            <w:pPr>
              <w:rPr>
                <w:rFonts w:ascii="宋体"/>
              </w:rPr>
            </w:pPr>
          </w:p>
        </w:tc>
        <w:tc>
          <w:tcPr>
            <w:tcW w:w="50" w:type="pct"/>
            <w:shd w:val="clear" w:color="auto" w:fill="auto"/>
          </w:tcPr>
          <w:p w14:paraId="4090D6A4" w14:textId="77777777" w:rsidR="00833634" w:rsidRDefault="00833634">
            <w:pPr>
              <w:rPr>
                <w:rFonts w:ascii="宋体"/>
              </w:rPr>
            </w:pPr>
          </w:p>
        </w:tc>
        <w:tc>
          <w:tcPr>
            <w:tcW w:w="102" w:type="pct"/>
            <w:shd w:val="clear" w:color="auto" w:fill="auto"/>
          </w:tcPr>
          <w:p w14:paraId="4090D6A5" w14:textId="77777777" w:rsidR="00833634" w:rsidRDefault="00833634">
            <w:pPr>
              <w:rPr>
                <w:rFonts w:ascii="宋体"/>
              </w:rPr>
            </w:pPr>
          </w:p>
        </w:tc>
        <w:tc>
          <w:tcPr>
            <w:tcW w:w="5" w:type="pct"/>
            <w:shd w:val="clear" w:color="auto" w:fill="auto"/>
          </w:tcPr>
          <w:p w14:paraId="4090D6A6" w14:textId="77777777" w:rsidR="00833634" w:rsidRDefault="00833634">
            <w:pPr>
              <w:rPr>
                <w:rFonts w:ascii="宋体"/>
              </w:rPr>
            </w:pPr>
          </w:p>
        </w:tc>
        <w:tc>
          <w:tcPr>
            <w:tcW w:w="50" w:type="pct"/>
            <w:shd w:val="clear" w:color="auto" w:fill="auto"/>
          </w:tcPr>
          <w:p w14:paraId="4090D6A7" w14:textId="77777777" w:rsidR="00833634" w:rsidRDefault="00833634">
            <w:pPr>
              <w:rPr>
                <w:rFonts w:ascii="宋体"/>
              </w:rPr>
            </w:pPr>
          </w:p>
        </w:tc>
        <w:tc>
          <w:tcPr>
            <w:tcW w:w="4528" w:type="pct"/>
            <w:shd w:val="clear" w:color="auto" w:fill="auto"/>
          </w:tcPr>
          <w:p w14:paraId="4090D6A8" w14:textId="77777777" w:rsidR="00833634" w:rsidRDefault="00833634">
            <w:pPr>
              <w:rPr>
                <w:rFonts w:ascii="宋体"/>
              </w:rPr>
            </w:pPr>
          </w:p>
        </w:tc>
        <w:tc>
          <w:tcPr>
            <w:tcW w:w="5" w:type="pct"/>
            <w:shd w:val="clear" w:color="auto" w:fill="auto"/>
          </w:tcPr>
          <w:p w14:paraId="4090D6A9" w14:textId="77777777" w:rsidR="00833634" w:rsidRDefault="00833634">
            <w:pPr>
              <w:rPr>
                <w:rFonts w:ascii="宋体"/>
              </w:rPr>
            </w:pPr>
          </w:p>
        </w:tc>
      </w:tr>
      <w:tr w:rsidR="00833634" w14:paraId="4090D6AE" w14:textId="77777777">
        <w:trPr>
          <w:jc w:val="center"/>
        </w:trPr>
        <w:tc>
          <w:tcPr>
            <w:tcW w:w="0" w:type="auto"/>
            <w:gridSpan w:val="3"/>
            <w:shd w:val="clear" w:color="auto" w:fill="auto"/>
            <w:tcMar>
              <w:top w:w="40" w:type="dxa"/>
              <w:left w:w="20" w:type="dxa"/>
              <w:bottom w:w="40" w:type="dxa"/>
              <w:right w:w="20" w:type="dxa"/>
            </w:tcMar>
          </w:tcPr>
          <w:p w14:paraId="4090D6AB" w14:textId="77777777" w:rsidR="00833634" w:rsidRDefault="00E15D51">
            <w:pPr>
              <w:textAlignment w:val="top"/>
            </w:pPr>
            <w:r>
              <w:rPr>
                <w:rFonts w:ascii="Arial" w:eastAsia="宋体" w:hAnsi="Arial" w:cs="Arial"/>
                <w:color w:val="000000"/>
                <w:sz w:val="18"/>
                <w:szCs w:val="18"/>
              </w:rPr>
              <w:t>☐</w:t>
            </w:r>
          </w:p>
        </w:tc>
        <w:tc>
          <w:tcPr>
            <w:tcW w:w="0" w:type="auto"/>
            <w:gridSpan w:val="3"/>
            <w:shd w:val="clear" w:color="auto" w:fill="auto"/>
            <w:tcMar>
              <w:top w:w="40" w:type="dxa"/>
              <w:left w:w="20" w:type="dxa"/>
              <w:bottom w:w="40" w:type="dxa"/>
              <w:right w:w="20" w:type="dxa"/>
            </w:tcMar>
          </w:tcPr>
          <w:p w14:paraId="4090D6AC" w14:textId="77777777" w:rsidR="00833634" w:rsidRDefault="00E15D51">
            <w:pPr>
              <w:textAlignment w:val="top"/>
            </w:pPr>
            <w:r>
              <w:rPr>
                <w:rFonts w:ascii="Arial" w:eastAsia="宋体" w:hAnsi="Arial" w:cs="Arial"/>
                <w:color w:val="000000"/>
                <w:sz w:val="18"/>
                <w:szCs w:val="18"/>
              </w:rPr>
              <w:t> </w:t>
            </w:r>
          </w:p>
        </w:tc>
        <w:tc>
          <w:tcPr>
            <w:tcW w:w="0" w:type="auto"/>
            <w:gridSpan w:val="3"/>
            <w:shd w:val="clear" w:color="auto" w:fill="auto"/>
            <w:tcMar>
              <w:top w:w="40" w:type="dxa"/>
              <w:left w:w="20" w:type="dxa"/>
              <w:bottom w:w="40" w:type="dxa"/>
              <w:right w:w="20" w:type="dxa"/>
            </w:tcMar>
          </w:tcPr>
          <w:p w14:paraId="4090D6AD" w14:textId="77777777" w:rsidR="00833634" w:rsidRDefault="00E15D51">
            <w:pPr>
              <w:jc w:val="both"/>
              <w:textAlignment w:val="top"/>
            </w:pPr>
            <w:r>
              <w:rPr>
                <w:rFonts w:ascii="Arial" w:eastAsia="宋体" w:hAnsi="Arial" w:cs="Arial"/>
                <w:color w:val="000000"/>
                <w:sz w:val="20"/>
                <w:szCs w:val="20"/>
              </w:rPr>
              <w:t>TRANSITION REPORT PURSUANT TO SECTION 13 OR 15(d) OF THE SECURITIES EXCHANGE ACT OF 1934</w:t>
            </w:r>
          </w:p>
        </w:tc>
      </w:tr>
    </w:tbl>
    <w:p w14:paraId="4090D6AF" w14:textId="77777777" w:rsidR="00833634" w:rsidRDefault="00E15D51">
      <w:pPr>
        <w:spacing w:before="60"/>
        <w:jc w:val="center"/>
      </w:pPr>
      <w:r>
        <w:rPr>
          <w:rFonts w:ascii="Arial" w:eastAsia="宋体" w:hAnsi="Arial" w:cs="Arial"/>
          <w:color w:val="000000"/>
          <w:sz w:val="18"/>
          <w:szCs w:val="18"/>
        </w:rPr>
        <w:t>For the transition period from </w:t>
      </w:r>
      <w:r>
        <w:rPr>
          <w:rFonts w:ascii="Arial" w:eastAsia="宋体" w:hAnsi="Arial" w:cs="Arial"/>
          <w:color w:val="000000"/>
          <w:sz w:val="18"/>
          <w:szCs w:val="18"/>
          <w:u w:val="single"/>
        </w:rPr>
        <w:t>                    </w:t>
      </w:r>
      <w:r>
        <w:rPr>
          <w:rFonts w:ascii="Arial" w:eastAsia="宋体" w:hAnsi="Arial" w:cs="Arial"/>
          <w:color w:val="000000"/>
          <w:sz w:val="18"/>
          <w:szCs w:val="18"/>
        </w:rPr>
        <w:t> to </w:t>
      </w:r>
      <w:r>
        <w:rPr>
          <w:rFonts w:ascii="Arial" w:eastAsia="宋体" w:hAnsi="Arial" w:cs="Arial"/>
          <w:color w:val="000000"/>
          <w:sz w:val="18"/>
          <w:szCs w:val="18"/>
          <w:u w:val="single"/>
        </w:rPr>
        <w:t>                     </w:t>
      </w:r>
    </w:p>
    <w:p w14:paraId="4090D6B0" w14:textId="77777777" w:rsidR="00833634" w:rsidRDefault="00E15D51">
      <w:pPr>
        <w:spacing w:before="160"/>
        <w:jc w:val="center"/>
      </w:pPr>
      <w:r>
        <w:rPr>
          <w:rFonts w:ascii="Arial" w:eastAsia="宋体" w:hAnsi="Arial" w:cs="Arial"/>
          <w:color w:val="000000"/>
          <w:sz w:val="18"/>
          <w:szCs w:val="18"/>
        </w:rPr>
        <w:t xml:space="preserve">Commission file number </w:t>
      </w:r>
      <w:r>
        <w:rPr>
          <w:rFonts w:ascii="Arial" w:eastAsia="宋体" w:hAnsi="Arial" w:cs="Arial"/>
          <w:b/>
          <w:bCs/>
          <w:color w:val="000000"/>
          <w:sz w:val="18"/>
          <w:szCs w:val="18"/>
        </w:rPr>
        <w:t>1-442</w:t>
      </w:r>
      <w:r>
        <w:rPr>
          <w:rFonts w:ascii="Arial" w:eastAsia="宋体" w:hAnsi="Arial" w:cs="Arial"/>
          <w:color w:val="000000"/>
          <w:sz w:val="18"/>
          <w:szCs w:val="18"/>
        </w:rPr>
        <w:t xml:space="preserve">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523"/>
        <w:gridCol w:w="36"/>
        <w:gridCol w:w="69"/>
        <w:gridCol w:w="6868"/>
        <w:gridCol w:w="36"/>
        <w:gridCol w:w="70"/>
        <w:gridCol w:w="629"/>
        <w:gridCol w:w="36"/>
      </w:tblGrid>
      <w:tr w:rsidR="00833634" w14:paraId="4090D6BA" w14:textId="77777777">
        <w:trPr>
          <w:jc w:val="center"/>
        </w:trPr>
        <w:tc>
          <w:tcPr>
            <w:tcW w:w="50" w:type="pct"/>
            <w:shd w:val="clear" w:color="auto" w:fill="auto"/>
          </w:tcPr>
          <w:p w14:paraId="4090D6B1" w14:textId="77777777" w:rsidR="00833634" w:rsidRDefault="00833634">
            <w:pPr>
              <w:rPr>
                <w:rFonts w:ascii="宋体"/>
              </w:rPr>
            </w:pPr>
          </w:p>
        </w:tc>
        <w:tc>
          <w:tcPr>
            <w:tcW w:w="322" w:type="pct"/>
            <w:shd w:val="clear" w:color="auto" w:fill="auto"/>
          </w:tcPr>
          <w:p w14:paraId="4090D6B2" w14:textId="77777777" w:rsidR="00833634" w:rsidRDefault="00833634">
            <w:pPr>
              <w:rPr>
                <w:rFonts w:ascii="宋体"/>
              </w:rPr>
            </w:pPr>
          </w:p>
        </w:tc>
        <w:tc>
          <w:tcPr>
            <w:tcW w:w="5" w:type="pct"/>
            <w:shd w:val="clear" w:color="auto" w:fill="auto"/>
          </w:tcPr>
          <w:p w14:paraId="4090D6B3" w14:textId="77777777" w:rsidR="00833634" w:rsidRDefault="00833634">
            <w:pPr>
              <w:rPr>
                <w:rFonts w:ascii="宋体"/>
              </w:rPr>
            </w:pPr>
          </w:p>
        </w:tc>
        <w:tc>
          <w:tcPr>
            <w:tcW w:w="50" w:type="pct"/>
            <w:shd w:val="clear" w:color="auto" w:fill="auto"/>
          </w:tcPr>
          <w:p w14:paraId="4090D6B4" w14:textId="77777777" w:rsidR="00833634" w:rsidRDefault="00833634">
            <w:pPr>
              <w:rPr>
                <w:rFonts w:ascii="宋体"/>
              </w:rPr>
            </w:pPr>
          </w:p>
        </w:tc>
        <w:tc>
          <w:tcPr>
            <w:tcW w:w="4127" w:type="pct"/>
            <w:shd w:val="clear" w:color="auto" w:fill="auto"/>
          </w:tcPr>
          <w:p w14:paraId="4090D6B5" w14:textId="77777777" w:rsidR="00833634" w:rsidRDefault="00833634">
            <w:pPr>
              <w:rPr>
                <w:rFonts w:ascii="宋体"/>
              </w:rPr>
            </w:pPr>
          </w:p>
        </w:tc>
        <w:tc>
          <w:tcPr>
            <w:tcW w:w="5" w:type="pct"/>
            <w:shd w:val="clear" w:color="auto" w:fill="auto"/>
          </w:tcPr>
          <w:p w14:paraId="4090D6B6" w14:textId="77777777" w:rsidR="00833634" w:rsidRDefault="00833634">
            <w:pPr>
              <w:rPr>
                <w:rFonts w:ascii="宋体"/>
              </w:rPr>
            </w:pPr>
          </w:p>
        </w:tc>
        <w:tc>
          <w:tcPr>
            <w:tcW w:w="50" w:type="pct"/>
            <w:shd w:val="clear" w:color="auto" w:fill="auto"/>
          </w:tcPr>
          <w:p w14:paraId="4090D6B7" w14:textId="77777777" w:rsidR="00833634" w:rsidRDefault="00833634">
            <w:pPr>
              <w:rPr>
                <w:rFonts w:ascii="宋体"/>
              </w:rPr>
            </w:pPr>
          </w:p>
        </w:tc>
        <w:tc>
          <w:tcPr>
            <w:tcW w:w="385" w:type="pct"/>
            <w:shd w:val="clear" w:color="auto" w:fill="auto"/>
          </w:tcPr>
          <w:p w14:paraId="4090D6B8" w14:textId="77777777" w:rsidR="00833634" w:rsidRDefault="00833634">
            <w:pPr>
              <w:rPr>
                <w:rFonts w:ascii="宋体"/>
              </w:rPr>
            </w:pPr>
          </w:p>
        </w:tc>
        <w:tc>
          <w:tcPr>
            <w:tcW w:w="5" w:type="pct"/>
            <w:shd w:val="clear" w:color="auto" w:fill="auto"/>
          </w:tcPr>
          <w:p w14:paraId="4090D6B9" w14:textId="77777777" w:rsidR="00833634" w:rsidRDefault="00833634">
            <w:pPr>
              <w:rPr>
                <w:rFonts w:ascii="宋体"/>
              </w:rPr>
            </w:pPr>
          </w:p>
        </w:tc>
      </w:tr>
      <w:tr w:rsidR="00833634" w14:paraId="4090D6BE" w14:textId="77777777">
        <w:trPr>
          <w:jc w:val="center"/>
        </w:trPr>
        <w:tc>
          <w:tcPr>
            <w:tcW w:w="0" w:type="auto"/>
            <w:gridSpan w:val="3"/>
            <w:shd w:val="clear" w:color="auto" w:fill="auto"/>
            <w:tcMar>
              <w:top w:w="0" w:type="dxa"/>
              <w:left w:w="20" w:type="dxa"/>
              <w:bottom w:w="0" w:type="dxa"/>
              <w:right w:w="20" w:type="dxa"/>
            </w:tcMar>
          </w:tcPr>
          <w:p w14:paraId="4090D6BB" w14:textId="77777777" w:rsidR="00833634" w:rsidRDefault="0083363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090D6BC" w14:textId="77777777" w:rsidR="00833634" w:rsidRDefault="00E15D51">
            <w:pPr>
              <w:spacing w:before="220"/>
              <w:jc w:val="center"/>
              <w:textAlignment w:val="bottom"/>
            </w:pPr>
            <w:r>
              <w:rPr>
                <w:rFonts w:ascii="Arial" w:eastAsia="宋体" w:hAnsi="Arial" w:cs="Arial"/>
                <w:b/>
                <w:bCs/>
                <w:color w:val="000000"/>
                <w:sz w:val="36"/>
                <w:szCs w:val="36"/>
              </w:rPr>
              <w:t> THE BOEING COMPANY</w:t>
            </w:r>
          </w:p>
        </w:tc>
        <w:tc>
          <w:tcPr>
            <w:tcW w:w="0" w:type="auto"/>
            <w:gridSpan w:val="3"/>
            <w:shd w:val="clear" w:color="auto" w:fill="auto"/>
            <w:tcMar>
              <w:top w:w="0" w:type="dxa"/>
              <w:left w:w="20" w:type="dxa"/>
              <w:bottom w:w="0" w:type="dxa"/>
              <w:right w:w="20" w:type="dxa"/>
            </w:tcMar>
          </w:tcPr>
          <w:p w14:paraId="4090D6BD" w14:textId="77777777" w:rsidR="00833634" w:rsidRDefault="00833634">
            <w:pPr>
              <w:rPr>
                <w:rFonts w:ascii="宋体"/>
              </w:rPr>
            </w:pPr>
          </w:p>
        </w:tc>
      </w:tr>
    </w:tbl>
    <w:p w14:paraId="4090D6BF" w14:textId="77777777" w:rsidR="00833634" w:rsidRDefault="00E15D51">
      <w:pPr>
        <w:jc w:val="center"/>
      </w:pPr>
      <w:r>
        <w:rPr>
          <w:rFonts w:ascii="Arial" w:eastAsia="宋体" w:hAnsi="Arial" w:cs="Arial"/>
          <w:b/>
          <w:bCs/>
          <w:color w:val="000000"/>
          <w:sz w:val="16"/>
          <w:szCs w:val="16"/>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54"/>
        <w:gridCol w:w="2148"/>
        <w:gridCol w:w="38"/>
        <w:gridCol w:w="87"/>
        <w:gridCol w:w="790"/>
        <w:gridCol w:w="36"/>
        <w:gridCol w:w="54"/>
        <w:gridCol w:w="783"/>
        <w:gridCol w:w="36"/>
        <w:gridCol w:w="36"/>
        <w:gridCol w:w="151"/>
        <w:gridCol w:w="36"/>
        <w:gridCol w:w="54"/>
        <w:gridCol w:w="3984"/>
        <w:gridCol w:w="36"/>
      </w:tblGrid>
      <w:tr w:rsidR="00833634" w14:paraId="4090D6CF" w14:textId="77777777">
        <w:trPr>
          <w:jc w:val="center"/>
        </w:trPr>
        <w:tc>
          <w:tcPr>
            <w:tcW w:w="50" w:type="pct"/>
            <w:shd w:val="clear" w:color="auto" w:fill="auto"/>
          </w:tcPr>
          <w:p w14:paraId="4090D6C0" w14:textId="77777777" w:rsidR="00833634" w:rsidRDefault="00833634">
            <w:pPr>
              <w:rPr>
                <w:rFonts w:ascii="宋体"/>
              </w:rPr>
            </w:pPr>
          </w:p>
        </w:tc>
        <w:tc>
          <w:tcPr>
            <w:tcW w:w="1307" w:type="pct"/>
            <w:shd w:val="clear" w:color="auto" w:fill="auto"/>
          </w:tcPr>
          <w:p w14:paraId="4090D6C1" w14:textId="77777777" w:rsidR="00833634" w:rsidRDefault="00833634">
            <w:pPr>
              <w:rPr>
                <w:rFonts w:ascii="宋体"/>
              </w:rPr>
            </w:pPr>
          </w:p>
        </w:tc>
        <w:tc>
          <w:tcPr>
            <w:tcW w:w="5" w:type="pct"/>
            <w:shd w:val="clear" w:color="auto" w:fill="auto"/>
          </w:tcPr>
          <w:p w14:paraId="4090D6C2" w14:textId="77777777" w:rsidR="00833634" w:rsidRDefault="00833634">
            <w:pPr>
              <w:rPr>
                <w:rFonts w:ascii="宋体"/>
              </w:rPr>
            </w:pPr>
          </w:p>
        </w:tc>
        <w:tc>
          <w:tcPr>
            <w:tcW w:w="50" w:type="pct"/>
            <w:shd w:val="clear" w:color="auto" w:fill="auto"/>
          </w:tcPr>
          <w:p w14:paraId="4090D6C3" w14:textId="77777777" w:rsidR="00833634" w:rsidRDefault="00833634">
            <w:pPr>
              <w:rPr>
                <w:rFonts w:ascii="宋体"/>
              </w:rPr>
            </w:pPr>
          </w:p>
        </w:tc>
        <w:tc>
          <w:tcPr>
            <w:tcW w:w="456" w:type="pct"/>
            <w:shd w:val="clear" w:color="auto" w:fill="auto"/>
          </w:tcPr>
          <w:p w14:paraId="4090D6C4" w14:textId="77777777" w:rsidR="00833634" w:rsidRDefault="00833634">
            <w:pPr>
              <w:rPr>
                <w:rFonts w:ascii="宋体"/>
              </w:rPr>
            </w:pPr>
          </w:p>
        </w:tc>
        <w:tc>
          <w:tcPr>
            <w:tcW w:w="5" w:type="pct"/>
            <w:shd w:val="clear" w:color="auto" w:fill="auto"/>
          </w:tcPr>
          <w:p w14:paraId="4090D6C5" w14:textId="77777777" w:rsidR="00833634" w:rsidRDefault="00833634">
            <w:pPr>
              <w:rPr>
                <w:rFonts w:ascii="宋体"/>
              </w:rPr>
            </w:pPr>
          </w:p>
        </w:tc>
        <w:tc>
          <w:tcPr>
            <w:tcW w:w="50" w:type="pct"/>
            <w:shd w:val="clear" w:color="auto" w:fill="auto"/>
          </w:tcPr>
          <w:p w14:paraId="4090D6C6" w14:textId="77777777" w:rsidR="00833634" w:rsidRDefault="00833634">
            <w:pPr>
              <w:rPr>
                <w:rFonts w:ascii="宋体"/>
              </w:rPr>
            </w:pPr>
          </w:p>
        </w:tc>
        <w:tc>
          <w:tcPr>
            <w:tcW w:w="488" w:type="pct"/>
            <w:shd w:val="clear" w:color="auto" w:fill="auto"/>
          </w:tcPr>
          <w:p w14:paraId="4090D6C7" w14:textId="77777777" w:rsidR="00833634" w:rsidRDefault="00833634">
            <w:pPr>
              <w:rPr>
                <w:rFonts w:ascii="宋体"/>
              </w:rPr>
            </w:pPr>
          </w:p>
        </w:tc>
        <w:tc>
          <w:tcPr>
            <w:tcW w:w="5" w:type="pct"/>
            <w:shd w:val="clear" w:color="auto" w:fill="auto"/>
          </w:tcPr>
          <w:p w14:paraId="4090D6C8" w14:textId="77777777" w:rsidR="00833634" w:rsidRDefault="00833634">
            <w:pPr>
              <w:rPr>
                <w:rFonts w:ascii="宋体"/>
              </w:rPr>
            </w:pPr>
          </w:p>
        </w:tc>
        <w:tc>
          <w:tcPr>
            <w:tcW w:w="5" w:type="pct"/>
            <w:shd w:val="clear" w:color="auto" w:fill="auto"/>
          </w:tcPr>
          <w:p w14:paraId="4090D6C9" w14:textId="77777777" w:rsidR="00833634" w:rsidRDefault="00833634">
            <w:pPr>
              <w:rPr>
                <w:rFonts w:ascii="宋体"/>
              </w:rPr>
            </w:pPr>
          </w:p>
        </w:tc>
        <w:tc>
          <w:tcPr>
            <w:tcW w:w="108" w:type="pct"/>
            <w:shd w:val="clear" w:color="auto" w:fill="auto"/>
          </w:tcPr>
          <w:p w14:paraId="4090D6CA" w14:textId="77777777" w:rsidR="00833634" w:rsidRDefault="00833634">
            <w:pPr>
              <w:rPr>
                <w:rFonts w:ascii="宋体"/>
              </w:rPr>
            </w:pPr>
          </w:p>
        </w:tc>
        <w:tc>
          <w:tcPr>
            <w:tcW w:w="5" w:type="pct"/>
            <w:shd w:val="clear" w:color="auto" w:fill="auto"/>
          </w:tcPr>
          <w:p w14:paraId="4090D6CB" w14:textId="77777777" w:rsidR="00833634" w:rsidRDefault="00833634">
            <w:pPr>
              <w:rPr>
                <w:rFonts w:ascii="宋体"/>
              </w:rPr>
            </w:pPr>
          </w:p>
        </w:tc>
        <w:tc>
          <w:tcPr>
            <w:tcW w:w="50" w:type="pct"/>
            <w:shd w:val="clear" w:color="auto" w:fill="auto"/>
          </w:tcPr>
          <w:p w14:paraId="4090D6CC" w14:textId="77777777" w:rsidR="00833634" w:rsidRDefault="00833634">
            <w:pPr>
              <w:rPr>
                <w:rFonts w:ascii="宋体"/>
              </w:rPr>
            </w:pPr>
          </w:p>
        </w:tc>
        <w:tc>
          <w:tcPr>
            <w:tcW w:w="2409" w:type="pct"/>
            <w:shd w:val="clear" w:color="auto" w:fill="auto"/>
          </w:tcPr>
          <w:p w14:paraId="4090D6CD" w14:textId="77777777" w:rsidR="00833634" w:rsidRDefault="00833634">
            <w:pPr>
              <w:rPr>
                <w:rFonts w:ascii="宋体"/>
              </w:rPr>
            </w:pPr>
          </w:p>
        </w:tc>
        <w:tc>
          <w:tcPr>
            <w:tcW w:w="5" w:type="pct"/>
            <w:shd w:val="clear" w:color="auto" w:fill="auto"/>
          </w:tcPr>
          <w:p w14:paraId="4090D6CE" w14:textId="77777777" w:rsidR="00833634" w:rsidRDefault="00833634">
            <w:pPr>
              <w:rPr>
                <w:rFonts w:ascii="宋体"/>
              </w:rPr>
            </w:pPr>
          </w:p>
        </w:tc>
      </w:tr>
      <w:tr w:rsidR="00833634" w14:paraId="4090D6D3"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4090D6D0" w14:textId="77777777" w:rsidR="00833634" w:rsidRDefault="00E15D51">
            <w:pPr>
              <w:jc w:val="center"/>
              <w:textAlignment w:val="bottom"/>
            </w:pPr>
            <w:r>
              <w:rPr>
                <w:rFonts w:ascii="Arial" w:eastAsia="宋体" w:hAnsi="Arial" w:cs="Arial"/>
                <w:b/>
                <w:bCs/>
                <w:color w:val="000000"/>
                <w:sz w:val="20"/>
                <w:szCs w:val="20"/>
              </w:rPr>
              <w:t>Delaware</w:t>
            </w:r>
          </w:p>
        </w:tc>
        <w:tc>
          <w:tcPr>
            <w:tcW w:w="0" w:type="auto"/>
            <w:gridSpan w:val="3"/>
            <w:shd w:val="clear" w:color="auto" w:fill="auto"/>
            <w:tcMar>
              <w:top w:w="40" w:type="dxa"/>
              <w:left w:w="20" w:type="dxa"/>
              <w:bottom w:w="40" w:type="dxa"/>
              <w:right w:w="20" w:type="dxa"/>
            </w:tcMar>
            <w:vAlign w:val="bottom"/>
          </w:tcPr>
          <w:p w14:paraId="4090D6D1" w14:textId="77777777" w:rsidR="00833634" w:rsidRDefault="00E15D51">
            <w:pPr>
              <w:textAlignment w:val="bottom"/>
            </w:pPr>
            <w:r>
              <w:rPr>
                <w:rFonts w:ascii="Arial" w:eastAsia="宋体" w:hAnsi="Arial" w:cs="Arial"/>
                <w:b/>
                <w:bCs/>
                <w:color w:val="000000"/>
                <w:sz w:val="18"/>
                <w:szCs w:val="18"/>
              </w:rPr>
              <w:t> </w:t>
            </w:r>
          </w:p>
        </w:tc>
        <w:tc>
          <w:tcPr>
            <w:tcW w:w="0" w:type="auto"/>
            <w:gridSpan w:val="3"/>
            <w:shd w:val="clear" w:color="auto" w:fill="auto"/>
            <w:tcMar>
              <w:top w:w="40" w:type="dxa"/>
              <w:left w:w="20" w:type="dxa"/>
              <w:bottom w:w="40" w:type="dxa"/>
              <w:right w:w="20" w:type="dxa"/>
            </w:tcMar>
            <w:vAlign w:val="bottom"/>
          </w:tcPr>
          <w:p w14:paraId="4090D6D2" w14:textId="77777777" w:rsidR="00833634" w:rsidRDefault="00E15D51">
            <w:pPr>
              <w:jc w:val="center"/>
              <w:textAlignment w:val="bottom"/>
            </w:pPr>
            <w:r>
              <w:rPr>
                <w:rFonts w:ascii="Arial" w:eastAsia="宋体" w:hAnsi="Arial" w:cs="Arial"/>
                <w:b/>
                <w:bCs/>
                <w:color w:val="000000"/>
                <w:sz w:val="20"/>
                <w:szCs w:val="20"/>
              </w:rPr>
              <w:t>91-0425694</w:t>
            </w:r>
          </w:p>
        </w:tc>
      </w:tr>
      <w:tr w:rsidR="00833634" w14:paraId="4090D6D7"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090D6D4" w14:textId="77777777" w:rsidR="00833634" w:rsidRDefault="00E15D51">
            <w:pPr>
              <w:jc w:val="center"/>
              <w:textAlignment w:val="bottom"/>
            </w:pPr>
            <w:r>
              <w:rPr>
                <w:rFonts w:ascii="Arial" w:eastAsia="宋体" w:hAnsi="Arial" w:cs="Arial"/>
                <w:b/>
                <w:bCs/>
                <w:color w:val="000000"/>
                <w:sz w:val="16"/>
                <w:szCs w:val="16"/>
              </w:rPr>
              <w:t>(State or other jurisdiction of</w:t>
            </w:r>
            <w:r>
              <w:rPr>
                <w:rFonts w:ascii="Arial" w:eastAsia="宋体" w:hAnsi="Arial" w:cs="Arial"/>
                <w:b/>
                <w:bCs/>
                <w:color w:val="000000"/>
                <w:sz w:val="16"/>
                <w:szCs w:val="16"/>
              </w:rPr>
              <w:br/>
              <w:t>incorporation or organization)</w:t>
            </w:r>
          </w:p>
        </w:tc>
        <w:tc>
          <w:tcPr>
            <w:tcW w:w="0" w:type="auto"/>
            <w:gridSpan w:val="3"/>
            <w:shd w:val="clear" w:color="auto" w:fill="auto"/>
            <w:tcMar>
              <w:top w:w="40" w:type="dxa"/>
              <w:left w:w="20" w:type="dxa"/>
              <w:bottom w:w="40" w:type="dxa"/>
              <w:right w:w="20" w:type="dxa"/>
            </w:tcMar>
            <w:vAlign w:val="bottom"/>
          </w:tcPr>
          <w:p w14:paraId="4090D6D5" w14:textId="77777777" w:rsidR="00833634" w:rsidRDefault="00E15D51">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tcPr>
          <w:p w14:paraId="4090D6D6" w14:textId="77777777" w:rsidR="00833634" w:rsidRDefault="00E15D51">
            <w:pPr>
              <w:jc w:val="center"/>
              <w:textAlignment w:val="top"/>
            </w:pPr>
            <w:r>
              <w:rPr>
                <w:rFonts w:ascii="Arial" w:eastAsia="宋体" w:hAnsi="Arial" w:cs="Arial"/>
                <w:b/>
                <w:bCs/>
                <w:color w:val="000000"/>
                <w:sz w:val="16"/>
                <w:szCs w:val="16"/>
              </w:rPr>
              <w:t xml:space="preserve">(I.R.S. Employer </w:t>
            </w:r>
            <w:r>
              <w:rPr>
                <w:rFonts w:ascii="Arial" w:eastAsia="宋体" w:hAnsi="Arial" w:cs="Arial"/>
                <w:b/>
                <w:bCs/>
                <w:color w:val="000000"/>
                <w:sz w:val="16"/>
                <w:szCs w:val="16"/>
              </w:rPr>
              <w:t>Identification No.)</w:t>
            </w:r>
          </w:p>
        </w:tc>
      </w:tr>
      <w:tr w:rsidR="00833634" w14:paraId="4090D6DD" w14:textId="77777777">
        <w:trPr>
          <w:trHeight w:val="160"/>
          <w:jc w:val="center"/>
        </w:trPr>
        <w:tc>
          <w:tcPr>
            <w:tcW w:w="0" w:type="auto"/>
            <w:gridSpan w:val="3"/>
            <w:shd w:val="clear" w:color="auto" w:fill="auto"/>
            <w:tcMar>
              <w:top w:w="0" w:type="dxa"/>
              <w:left w:w="20" w:type="dxa"/>
              <w:bottom w:w="0" w:type="dxa"/>
              <w:right w:w="20" w:type="dxa"/>
            </w:tcMar>
          </w:tcPr>
          <w:p w14:paraId="4090D6D8"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6D9"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6DA"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6DB"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6DC" w14:textId="77777777" w:rsidR="00833634" w:rsidRDefault="00833634">
            <w:pPr>
              <w:rPr>
                <w:rFonts w:ascii="宋体"/>
              </w:rPr>
            </w:pPr>
          </w:p>
        </w:tc>
      </w:tr>
      <w:tr w:rsidR="00833634" w14:paraId="4090D6E3" w14:textId="77777777">
        <w:trPr>
          <w:jc w:val="center"/>
        </w:trPr>
        <w:tc>
          <w:tcPr>
            <w:tcW w:w="0" w:type="auto"/>
            <w:gridSpan w:val="3"/>
            <w:shd w:val="clear" w:color="auto" w:fill="auto"/>
            <w:tcMar>
              <w:top w:w="40" w:type="dxa"/>
              <w:left w:w="20" w:type="dxa"/>
              <w:bottom w:w="40" w:type="dxa"/>
              <w:right w:w="20" w:type="dxa"/>
            </w:tcMar>
            <w:vAlign w:val="bottom"/>
          </w:tcPr>
          <w:p w14:paraId="4090D6DE" w14:textId="77777777" w:rsidR="00833634" w:rsidRDefault="00E15D51">
            <w:pPr>
              <w:jc w:val="right"/>
              <w:textAlignment w:val="bottom"/>
            </w:pPr>
            <w:r>
              <w:rPr>
                <w:rFonts w:ascii="Arial" w:eastAsia="宋体" w:hAnsi="Arial" w:cs="Arial"/>
                <w:b/>
                <w:bCs/>
                <w:color w:val="000000"/>
                <w:sz w:val="20"/>
                <w:szCs w:val="20"/>
              </w:rPr>
              <w:t>100 N. Riverside Plaza,</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090D6DF" w14:textId="77777777" w:rsidR="00833634" w:rsidRDefault="00E15D51">
            <w:pPr>
              <w:textAlignment w:val="bottom"/>
            </w:pPr>
            <w:r>
              <w:rPr>
                <w:rFonts w:ascii="Arial" w:eastAsia="宋体" w:hAnsi="Arial" w:cs="Arial"/>
                <w:b/>
                <w:bCs/>
                <w:color w:val="000000"/>
                <w:sz w:val="20"/>
                <w:szCs w:val="20"/>
              </w:rPr>
              <w:t>Chicago,</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090D6E0" w14:textId="77777777" w:rsidR="00833634" w:rsidRDefault="00E15D51">
            <w:pPr>
              <w:textAlignment w:val="bottom"/>
            </w:pPr>
            <w:r>
              <w:rPr>
                <w:rFonts w:ascii="Arial" w:eastAsia="宋体" w:hAnsi="Arial" w:cs="Arial"/>
                <w:b/>
                <w:bCs/>
                <w:color w:val="000000"/>
                <w:sz w:val="20"/>
                <w:szCs w:val="20"/>
              </w:rPr>
              <w:t>IL</w:t>
            </w:r>
          </w:p>
        </w:tc>
        <w:tc>
          <w:tcPr>
            <w:tcW w:w="0" w:type="auto"/>
            <w:gridSpan w:val="3"/>
            <w:shd w:val="clear" w:color="auto" w:fill="auto"/>
            <w:tcMar>
              <w:top w:w="40" w:type="dxa"/>
              <w:left w:w="20" w:type="dxa"/>
              <w:bottom w:w="40" w:type="dxa"/>
              <w:right w:w="20" w:type="dxa"/>
            </w:tcMar>
            <w:vAlign w:val="bottom"/>
          </w:tcPr>
          <w:p w14:paraId="4090D6E1" w14:textId="77777777" w:rsidR="00833634" w:rsidRDefault="00E15D51">
            <w:pPr>
              <w:textAlignment w:val="bottom"/>
            </w:pPr>
            <w:r>
              <w:rPr>
                <w:rFonts w:ascii="Arial" w:eastAsia="宋体" w:hAnsi="Arial" w:cs="Arial"/>
                <w:b/>
                <w:bCs/>
                <w:color w:val="000000"/>
                <w:sz w:val="18"/>
                <w:szCs w:val="18"/>
              </w:rPr>
              <w:t> </w:t>
            </w:r>
          </w:p>
        </w:tc>
        <w:tc>
          <w:tcPr>
            <w:tcW w:w="0" w:type="auto"/>
            <w:gridSpan w:val="3"/>
            <w:shd w:val="clear" w:color="auto" w:fill="auto"/>
            <w:tcMar>
              <w:top w:w="40" w:type="dxa"/>
              <w:left w:w="20" w:type="dxa"/>
              <w:bottom w:w="40" w:type="dxa"/>
              <w:right w:w="20" w:type="dxa"/>
            </w:tcMar>
            <w:vAlign w:val="bottom"/>
          </w:tcPr>
          <w:p w14:paraId="4090D6E2" w14:textId="77777777" w:rsidR="00833634" w:rsidRDefault="00E15D51">
            <w:pPr>
              <w:jc w:val="center"/>
              <w:textAlignment w:val="bottom"/>
            </w:pPr>
            <w:r>
              <w:rPr>
                <w:rFonts w:ascii="Arial" w:eastAsia="宋体" w:hAnsi="Arial" w:cs="Arial"/>
                <w:b/>
                <w:bCs/>
                <w:color w:val="000000"/>
                <w:sz w:val="20"/>
                <w:szCs w:val="20"/>
              </w:rPr>
              <w:t>60606-1596</w:t>
            </w:r>
          </w:p>
        </w:tc>
      </w:tr>
      <w:tr w:rsidR="00833634" w14:paraId="4090D6E7"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090D6E4" w14:textId="77777777" w:rsidR="00833634" w:rsidRDefault="00E15D51">
            <w:pPr>
              <w:jc w:val="center"/>
              <w:textAlignment w:val="bottom"/>
            </w:pPr>
            <w:r>
              <w:rPr>
                <w:rFonts w:ascii="Arial" w:eastAsia="宋体" w:hAnsi="Arial" w:cs="Arial"/>
                <w:b/>
                <w:bCs/>
                <w:color w:val="000000"/>
                <w:sz w:val="16"/>
                <w:szCs w:val="16"/>
              </w:rPr>
              <w:t>(Address of principal executive offices)</w:t>
            </w:r>
          </w:p>
        </w:tc>
        <w:tc>
          <w:tcPr>
            <w:tcW w:w="0" w:type="auto"/>
            <w:gridSpan w:val="3"/>
            <w:shd w:val="clear" w:color="auto" w:fill="auto"/>
            <w:tcMar>
              <w:top w:w="40" w:type="dxa"/>
              <w:left w:w="20" w:type="dxa"/>
              <w:bottom w:w="40" w:type="dxa"/>
              <w:right w:w="20" w:type="dxa"/>
            </w:tcMar>
            <w:vAlign w:val="bottom"/>
          </w:tcPr>
          <w:p w14:paraId="4090D6E5" w14:textId="77777777" w:rsidR="00833634" w:rsidRDefault="00E15D51">
            <w:pPr>
              <w:textAlignment w:val="bottom"/>
            </w:pPr>
            <w:r>
              <w:rPr>
                <w:rFonts w:ascii="Arial" w:eastAsia="宋体" w:hAnsi="Arial" w:cs="Arial"/>
                <w:b/>
                <w:bCs/>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6E6" w14:textId="77777777" w:rsidR="00833634" w:rsidRDefault="00E15D51">
            <w:pPr>
              <w:jc w:val="center"/>
              <w:textAlignment w:val="bottom"/>
            </w:pPr>
            <w:r>
              <w:rPr>
                <w:rFonts w:ascii="Arial" w:eastAsia="宋体" w:hAnsi="Arial" w:cs="Arial"/>
                <w:b/>
                <w:bCs/>
                <w:color w:val="000000"/>
                <w:sz w:val="16"/>
                <w:szCs w:val="16"/>
              </w:rPr>
              <w:t>(Zip Code)</w:t>
            </w:r>
          </w:p>
        </w:tc>
      </w:tr>
    </w:tbl>
    <w:p w14:paraId="4090D6E8" w14:textId="77777777" w:rsidR="00833634" w:rsidRDefault="00833634">
      <w:pPr>
        <w:rPr>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2162"/>
        <w:gridCol w:w="36"/>
        <w:gridCol w:w="69"/>
        <w:gridCol w:w="1637"/>
        <w:gridCol w:w="36"/>
        <w:gridCol w:w="70"/>
        <w:gridCol w:w="1638"/>
        <w:gridCol w:w="36"/>
        <w:gridCol w:w="70"/>
        <w:gridCol w:w="2464"/>
        <w:gridCol w:w="36"/>
      </w:tblGrid>
      <w:tr w:rsidR="00833634" w14:paraId="4090D6F5" w14:textId="77777777">
        <w:trPr>
          <w:jc w:val="center"/>
        </w:trPr>
        <w:tc>
          <w:tcPr>
            <w:tcW w:w="50" w:type="pct"/>
            <w:shd w:val="clear" w:color="auto" w:fill="auto"/>
          </w:tcPr>
          <w:p w14:paraId="4090D6E9" w14:textId="77777777" w:rsidR="00833634" w:rsidRDefault="00833634">
            <w:pPr>
              <w:rPr>
                <w:rFonts w:ascii="宋体"/>
              </w:rPr>
            </w:pPr>
          </w:p>
        </w:tc>
        <w:tc>
          <w:tcPr>
            <w:tcW w:w="1307" w:type="pct"/>
            <w:shd w:val="clear" w:color="auto" w:fill="auto"/>
          </w:tcPr>
          <w:p w14:paraId="4090D6EA" w14:textId="77777777" w:rsidR="00833634" w:rsidRDefault="00833634">
            <w:pPr>
              <w:rPr>
                <w:rFonts w:ascii="宋体"/>
              </w:rPr>
            </w:pPr>
          </w:p>
        </w:tc>
        <w:tc>
          <w:tcPr>
            <w:tcW w:w="5" w:type="pct"/>
            <w:shd w:val="clear" w:color="auto" w:fill="auto"/>
          </w:tcPr>
          <w:p w14:paraId="4090D6EB" w14:textId="77777777" w:rsidR="00833634" w:rsidRDefault="00833634">
            <w:pPr>
              <w:rPr>
                <w:rFonts w:ascii="宋体"/>
              </w:rPr>
            </w:pPr>
          </w:p>
        </w:tc>
        <w:tc>
          <w:tcPr>
            <w:tcW w:w="50" w:type="pct"/>
            <w:shd w:val="clear" w:color="auto" w:fill="auto"/>
          </w:tcPr>
          <w:p w14:paraId="4090D6EC" w14:textId="77777777" w:rsidR="00833634" w:rsidRDefault="00833634">
            <w:pPr>
              <w:rPr>
                <w:rFonts w:ascii="宋体"/>
              </w:rPr>
            </w:pPr>
          </w:p>
        </w:tc>
        <w:tc>
          <w:tcPr>
            <w:tcW w:w="992" w:type="pct"/>
            <w:shd w:val="clear" w:color="auto" w:fill="auto"/>
          </w:tcPr>
          <w:p w14:paraId="4090D6ED" w14:textId="77777777" w:rsidR="00833634" w:rsidRDefault="00833634">
            <w:pPr>
              <w:rPr>
                <w:rFonts w:ascii="宋体"/>
              </w:rPr>
            </w:pPr>
          </w:p>
        </w:tc>
        <w:tc>
          <w:tcPr>
            <w:tcW w:w="5" w:type="pct"/>
            <w:shd w:val="clear" w:color="auto" w:fill="auto"/>
          </w:tcPr>
          <w:p w14:paraId="4090D6EE" w14:textId="77777777" w:rsidR="00833634" w:rsidRDefault="00833634">
            <w:pPr>
              <w:rPr>
                <w:rFonts w:ascii="宋体"/>
              </w:rPr>
            </w:pPr>
          </w:p>
        </w:tc>
        <w:tc>
          <w:tcPr>
            <w:tcW w:w="50" w:type="pct"/>
            <w:shd w:val="clear" w:color="auto" w:fill="auto"/>
          </w:tcPr>
          <w:p w14:paraId="4090D6EF" w14:textId="77777777" w:rsidR="00833634" w:rsidRDefault="00833634">
            <w:pPr>
              <w:rPr>
                <w:rFonts w:ascii="宋体"/>
              </w:rPr>
            </w:pPr>
          </w:p>
        </w:tc>
        <w:tc>
          <w:tcPr>
            <w:tcW w:w="992" w:type="pct"/>
            <w:shd w:val="clear" w:color="auto" w:fill="auto"/>
          </w:tcPr>
          <w:p w14:paraId="4090D6F0" w14:textId="77777777" w:rsidR="00833634" w:rsidRDefault="00833634">
            <w:pPr>
              <w:rPr>
                <w:rFonts w:ascii="宋体"/>
              </w:rPr>
            </w:pPr>
          </w:p>
        </w:tc>
        <w:tc>
          <w:tcPr>
            <w:tcW w:w="5" w:type="pct"/>
            <w:shd w:val="clear" w:color="auto" w:fill="auto"/>
          </w:tcPr>
          <w:p w14:paraId="4090D6F1" w14:textId="77777777" w:rsidR="00833634" w:rsidRDefault="00833634">
            <w:pPr>
              <w:rPr>
                <w:rFonts w:ascii="宋体"/>
              </w:rPr>
            </w:pPr>
          </w:p>
        </w:tc>
        <w:tc>
          <w:tcPr>
            <w:tcW w:w="50" w:type="pct"/>
            <w:shd w:val="clear" w:color="auto" w:fill="auto"/>
          </w:tcPr>
          <w:p w14:paraId="4090D6F2" w14:textId="77777777" w:rsidR="00833634" w:rsidRDefault="00833634">
            <w:pPr>
              <w:rPr>
                <w:rFonts w:ascii="宋体"/>
              </w:rPr>
            </w:pPr>
          </w:p>
        </w:tc>
        <w:tc>
          <w:tcPr>
            <w:tcW w:w="1488" w:type="pct"/>
            <w:shd w:val="clear" w:color="auto" w:fill="auto"/>
          </w:tcPr>
          <w:p w14:paraId="4090D6F3" w14:textId="77777777" w:rsidR="00833634" w:rsidRDefault="00833634">
            <w:pPr>
              <w:rPr>
                <w:rFonts w:ascii="宋体"/>
              </w:rPr>
            </w:pPr>
          </w:p>
        </w:tc>
        <w:tc>
          <w:tcPr>
            <w:tcW w:w="5" w:type="pct"/>
            <w:shd w:val="clear" w:color="auto" w:fill="auto"/>
          </w:tcPr>
          <w:p w14:paraId="4090D6F4" w14:textId="77777777" w:rsidR="00833634" w:rsidRDefault="00833634">
            <w:pPr>
              <w:rPr>
                <w:rFonts w:ascii="宋体"/>
              </w:rPr>
            </w:pPr>
          </w:p>
        </w:tc>
      </w:tr>
      <w:tr w:rsidR="00833634" w14:paraId="4090D6FA" w14:textId="77777777">
        <w:trPr>
          <w:jc w:val="center"/>
        </w:trPr>
        <w:tc>
          <w:tcPr>
            <w:tcW w:w="0" w:type="auto"/>
            <w:gridSpan w:val="3"/>
            <w:shd w:val="clear" w:color="auto" w:fill="auto"/>
            <w:tcMar>
              <w:top w:w="0" w:type="dxa"/>
              <w:left w:w="20" w:type="dxa"/>
              <w:bottom w:w="0" w:type="dxa"/>
              <w:right w:w="20" w:type="dxa"/>
            </w:tcMar>
          </w:tcPr>
          <w:p w14:paraId="4090D6F6" w14:textId="77777777" w:rsidR="00833634" w:rsidRDefault="00833634">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090D6F7" w14:textId="77777777" w:rsidR="00833634" w:rsidRDefault="00E15D51">
            <w:pPr>
              <w:jc w:val="right"/>
              <w:textAlignment w:val="bottom"/>
            </w:pPr>
            <w:r>
              <w:rPr>
                <w:rFonts w:ascii="Arial" w:eastAsia="宋体" w:hAnsi="Arial" w:cs="Arial"/>
                <w:b/>
                <w:bCs/>
                <w:color w:val="000000"/>
                <w:sz w:val="20"/>
                <w:szCs w:val="20"/>
              </w:rPr>
              <w:t>(312)</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090D6F8" w14:textId="77777777" w:rsidR="00833634" w:rsidRDefault="00E15D51">
            <w:pPr>
              <w:textAlignment w:val="bottom"/>
            </w:pPr>
            <w:r>
              <w:rPr>
                <w:rFonts w:ascii="Arial" w:eastAsia="宋体" w:hAnsi="Arial" w:cs="Arial"/>
                <w:b/>
                <w:bCs/>
                <w:color w:val="000000"/>
                <w:sz w:val="20"/>
                <w:szCs w:val="20"/>
              </w:rPr>
              <w:t>544-2000</w:t>
            </w:r>
          </w:p>
        </w:tc>
        <w:tc>
          <w:tcPr>
            <w:tcW w:w="0" w:type="auto"/>
            <w:gridSpan w:val="3"/>
            <w:shd w:val="clear" w:color="auto" w:fill="auto"/>
            <w:tcMar>
              <w:top w:w="0" w:type="dxa"/>
              <w:left w:w="20" w:type="dxa"/>
              <w:bottom w:w="0" w:type="dxa"/>
              <w:right w:w="20" w:type="dxa"/>
            </w:tcMar>
          </w:tcPr>
          <w:p w14:paraId="4090D6F9" w14:textId="77777777" w:rsidR="00833634" w:rsidRDefault="00833634">
            <w:pPr>
              <w:rPr>
                <w:rFonts w:ascii="宋体"/>
              </w:rPr>
            </w:pPr>
          </w:p>
        </w:tc>
      </w:tr>
    </w:tbl>
    <w:p w14:paraId="4090D6FB" w14:textId="77777777" w:rsidR="00833634" w:rsidRDefault="00E15D51">
      <w:pPr>
        <w:jc w:val="center"/>
      </w:pPr>
      <w:r>
        <w:rPr>
          <w:rFonts w:ascii="Arial" w:eastAsia="宋体" w:hAnsi="Arial" w:cs="Arial"/>
          <w:b/>
          <w:bCs/>
          <w:color w:val="000000"/>
          <w:sz w:val="16"/>
          <w:szCs w:val="16"/>
        </w:rPr>
        <w:t>(Registrant’s telephone number, including area code)</w:t>
      </w:r>
    </w:p>
    <w:p w14:paraId="4090D6FC" w14:textId="77777777" w:rsidR="00833634" w:rsidRDefault="00E15D51">
      <w:pPr>
        <w:spacing w:before="80"/>
      </w:pPr>
      <w:r>
        <w:rPr>
          <w:rFonts w:ascii="Arial" w:eastAsia="宋体" w:hAnsi="Arial" w:cs="Arial"/>
          <w:color w:val="000000"/>
          <w:sz w:val="18"/>
          <w:szCs w:val="18"/>
        </w:rPr>
        <w:t>Indicate by check mark whether the registrant (1) has filed all reports required to be filed by Section 13 or 15(d) of the Securities Exchange Act of 1934 during the preceding 12 months (or for such shorter period that the registrant was required to file s</w:t>
      </w:r>
      <w:r>
        <w:rPr>
          <w:rFonts w:ascii="Arial" w:eastAsia="宋体" w:hAnsi="Arial" w:cs="Arial"/>
          <w:color w:val="000000"/>
          <w:sz w:val="18"/>
          <w:szCs w:val="18"/>
        </w:rPr>
        <w:t xml:space="preserve">uch reports), and (2) has been subject to such filing requirements for the past 90 days. Yes </w:t>
      </w:r>
      <w:r>
        <w:rPr>
          <w:rFonts w:ascii="Arial Unicode MS" w:eastAsia="Arial Unicode MS" w:hAnsi="Arial Unicode MS" w:cs="Arial Unicode MS"/>
          <w:color w:val="000000"/>
          <w:sz w:val="18"/>
          <w:szCs w:val="18"/>
        </w:rPr>
        <w:t>☒</w:t>
      </w:r>
      <w:r>
        <w:rPr>
          <w:rFonts w:ascii="Arial" w:eastAsia="宋体" w:hAnsi="Arial" w:cs="Arial"/>
          <w:color w:val="000000"/>
          <w:sz w:val="18"/>
          <w:szCs w:val="18"/>
        </w:rPr>
        <w:t xml:space="preserve"> No </w:t>
      </w:r>
      <w:r>
        <w:rPr>
          <w:rFonts w:ascii="Arial Unicode MS" w:eastAsia="Arial Unicode MS" w:hAnsi="Arial Unicode MS" w:cs="Arial Unicode MS" w:hint="eastAsia"/>
          <w:color w:val="000000"/>
          <w:sz w:val="18"/>
          <w:szCs w:val="18"/>
        </w:rPr>
        <w:t>☐</w:t>
      </w:r>
    </w:p>
    <w:p w14:paraId="4090D6FD" w14:textId="77777777" w:rsidR="00833634" w:rsidRDefault="00E15D51">
      <w:pPr>
        <w:spacing w:before="80"/>
      </w:pPr>
      <w:r>
        <w:rPr>
          <w:rFonts w:ascii="Arial" w:eastAsia="宋体" w:hAnsi="Arial" w:cs="Arial"/>
          <w:color w:val="000000"/>
          <w:sz w:val="18"/>
          <w:szCs w:val="18"/>
        </w:rPr>
        <w:t>Indicate by check mark whether the registrant has submitted electronically every Interactive Data File required to be submitted pursuant to Rule 405 of Regu</w:t>
      </w:r>
      <w:r>
        <w:rPr>
          <w:rFonts w:ascii="Arial" w:eastAsia="宋体" w:hAnsi="Arial" w:cs="Arial"/>
          <w:color w:val="000000"/>
          <w:sz w:val="18"/>
          <w:szCs w:val="18"/>
        </w:rPr>
        <w:t xml:space="preserve">lation S-T (§232.405/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8"/>
          <w:szCs w:val="18"/>
        </w:rPr>
        <w:t>☒</w:t>
      </w:r>
      <w:r>
        <w:rPr>
          <w:rFonts w:ascii="Arial" w:eastAsia="宋体" w:hAnsi="Arial" w:cs="Arial"/>
          <w:color w:val="000000"/>
          <w:sz w:val="18"/>
          <w:szCs w:val="18"/>
        </w:rPr>
        <w:t xml:space="preserve"> No </w:t>
      </w:r>
      <w:r>
        <w:rPr>
          <w:rFonts w:ascii="Arial Unicode MS" w:eastAsia="Arial Unicode MS" w:hAnsi="Arial Unicode MS" w:cs="Arial Unicode MS" w:hint="eastAsia"/>
          <w:color w:val="000000"/>
          <w:sz w:val="18"/>
          <w:szCs w:val="18"/>
        </w:rPr>
        <w:t>☐</w:t>
      </w:r>
    </w:p>
    <w:p w14:paraId="4090D6FE" w14:textId="77777777" w:rsidR="00833634" w:rsidRDefault="00E15D51">
      <w:pPr>
        <w:spacing w:before="80"/>
      </w:pPr>
      <w:r>
        <w:rPr>
          <w:rFonts w:ascii="Arial" w:eastAsia="宋体" w:hAnsi="Arial" w:cs="Arial"/>
          <w:color w:val="000000"/>
          <w:sz w:val="18"/>
          <w:szCs w:val="18"/>
        </w:rPr>
        <w:t xml:space="preserve">Indicate by check mark whether the registrant is a large accelerated filer, an accelerated </w:t>
      </w:r>
      <w:r>
        <w:rPr>
          <w:rFonts w:ascii="Arial" w:eastAsia="宋体" w:hAnsi="Arial" w:cs="Arial"/>
          <w:color w:val="000000"/>
          <w:sz w:val="18"/>
          <w:szCs w:val="18"/>
        </w:rPr>
        <w:t>filer, a non-accelerated filer, a smaller reporting company, or an emerging growth company. See the definitions of “large accelerated filer,” “accelerated filer,” “smaller reporting company,” and "emerging growth company" in Rule 12b-2 of the Exchange Act.</w:t>
      </w:r>
      <w:r>
        <w:rPr>
          <w:rFonts w:ascii="Arial" w:eastAsia="宋体" w:hAnsi="Arial" w:cs="Arial"/>
          <w:color w:val="000000"/>
          <w:sz w:val="18"/>
          <w:szCs w:val="18"/>
        </w:rPr>
        <w:t xml:space="preserve"> (Check one):</w:t>
      </w:r>
    </w:p>
    <w:tbl>
      <w:tblPr>
        <w:tblW w:w="5000" w:type="pct"/>
        <w:jc w:val="center"/>
        <w:tblCellMar>
          <w:top w:w="15" w:type="dxa"/>
          <w:left w:w="15" w:type="dxa"/>
          <w:bottom w:w="15" w:type="dxa"/>
          <w:right w:w="15" w:type="dxa"/>
        </w:tblCellMar>
        <w:tblLook w:val="04A0" w:firstRow="1" w:lastRow="0" w:firstColumn="1" w:lastColumn="0" w:noHBand="0" w:noVBand="1"/>
      </w:tblPr>
      <w:tblGrid>
        <w:gridCol w:w="56"/>
        <w:gridCol w:w="1875"/>
        <w:gridCol w:w="37"/>
        <w:gridCol w:w="45"/>
        <w:gridCol w:w="223"/>
        <w:gridCol w:w="36"/>
        <w:gridCol w:w="39"/>
        <w:gridCol w:w="3426"/>
        <w:gridCol w:w="36"/>
        <w:gridCol w:w="93"/>
        <w:gridCol w:w="2139"/>
        <w:gridCol w:w="36"/>
        <w:gridCol w:w="47"/>
        <w:gridCol w:w="212"/>
        <w:gridCol w:w="36"/>
      </w:tblGrid>
      <w:tr w:rsidR="00833634" w14:paraId="4090D70E" w14:textId="77777777">
        <w:trPr>
          <w:jc w:val="center"/>
        </w:trPr>
        <w:tc>
          <w:tcPr>
            <w:tcW w:w="50" w:type="pct"/>
            <w:shd w:val="clear" w:color="auto" w:fill="auto"/>
          </w:tcPr>
          <w:p w14:paraId="4090D6FF" w14:textId="77777777" w:rsidR="00833634" w:rsidRDefault="00833634">
            <w:pPr>
              <w:rPr>
                <w:rFonts w:ascii="宋体"/>
              </w:rPr>
            </w:pPr>
          </w:p>
        </w:tc>
        <w:tc>
          <w:tcPr>
            <w:tcW w:w="1161" w:type="pct"/>
            <w:shd w:val="clear" w:color="auto" w:fill="auto"/>
          </w:tcPr>
          <w:p w14:paraId="4090D700" w14:textId="77777777" w:rsidR="00833634" w:rsidRDefault="00833634">
            <w:pPr>
              <w:rPr>
                <w:rFonts w:ascii="宋体"/>
              </w:rPr>
            </w:pPr>
          </w:p>
        </w:tc>
        <w:tc>
          <w:tcPr>
            <w:tcW w:w="5" w:type="pct"/>
            <w:shd w:val="clear" w:color="auto" w:fill="auto"/>
          </w:tcPr>
          <w:p w14:paraId="4090D701" w14:textId="77777777" w:rsidR="00833634" w:rsidRDefault="00833634">
            <w:pPr>
              <w:rPr>
                <w:rFonts w:ascii="宋体"/>
              </w:rPr>
            </w:pPr>
          </w:p>
        </w:tc>
        <w:tc>
          <w:tcPr>
            <w:tcW w:w="50" w:type="pct"/>
            <w:shd w:val="clear" w:color="auto" w:fill="auto"/>
          </w:tcPr>
          <w:p w14:paraId="4090D702" w14:textId="77777777" w:rsidR="00833634" w:rsidRDefault="00833634">
            <w:pPr>
              <w:rPr>
                <w:rFonts w:ascii="宋体"/>
              </w:rPr>
            </w:pPr>
          </w:p>
        </w:tc>
        <w:tc>
          <w:tcPr>
            <w:tcW w:w="164" w:type="pct"/>
            <w:shd w:val="clear" w:color="auto" w:fill="auto"/>
          </w:tcPr>
          <w:p w14:paraId="4090D703" w14:textId="77777777" w:rsidR="00833634" w:rsidRDefault="00833634">
            <w:pPr>
              <w:rPr>
                <w:rFonts w:ascii="宋体"/>
              </w:rPr>
            </w:pPr>
          </w:p>
        </w:tc>
        <w:tc>
          <w:tcPr>
            <w:tcW w:w="5" w:type="pct"/>
            <w:shd w:val="clear" w:color="auto" w:fill="auto"/>
          </w:tcPr>
          <w:p w14:paraId="4090D704" w14:textId="77777777" w:rsidR="00833634" w:rsidRDefault="00833634">
            <w:pPr>
              <w:rPr>
                <w:rFonts w:ascii="宋体"/>
              </w:rPr>
            </w:pPr>
          </w:p>
        </w:tc>
        <w:tc>
          <w:tcPr>
            <w:tcW w:w="50" w:type="pct"/>
            <w:shd w:val="clear" w:color="auto" w:fill="auto"/>
          </w:tcPr>
          <w:p w14:paraId="4090D705" w14:textId="77777777" w:rsidR="00833634" w:rsidRDefault="00833634">
            <w:pPr>
              <w:rPr>
                <w:rFonts w:ascii="宋体"/>
              </w:rPr>
            </w:pPr>
          </w:p>
        </w:tc>
        <w:tc>
          <w:tcPr>
            <w:tcW w:w="2080" w:type="pct"/>
            <w:shd w:val="clear" w:color="auto" w:fill="auto"/>
          </w:tcPr>
          <w:p w14:paraId="4090D706" w14:textId="77777777" w:rsidR="00833634" w:rsidRDefault="00833634">
            <w:pPr>
              <w:rPr>
                <w:rFonts w:ascii="宋体"/>
              </w:rPr>
            </w:pPr>
          </w:p>
        </w:tc>
        <w:tc>
          <w:tcPr>
            <w:tcW w:w="5" w:type="pct"/>
            <w:shd w:val="clear" w:color="auto" w:fill="auto"/>
          </w:tcPr>
          <w:p w14:paraId="4090D707" w14:textId="77777777" w:rsidR="00833634" w:rsidRDefault="00833634">
            <w:pPr>
              <w:rPr>
                <w:rFonts w:ascii="宋体"/>
              </w:rPr>
            </w:pPr>
          </w:p>
        </w:tc>
        <w:tc>
          <w:tcPr>
            <w:tcW w:w="50" w:type="pct"/>
            <w:shd w:val="clear" w:color="auto" w:fill="auto"/>
          </w:tcPr>
          <w:p w14:paraId="4090D708" w14:textId="77777777" w:rsidR="00833634" w:rsidRDefault="00833634">
            <w:pPr>
              <w:rPr>
                <w:rFonts w:ascii="宋体"/>
              </w:rPr>
            </w:pPr>
          </w:p>
        </w:tc>
        <w:tc>
          <w:tcPr>
            <w:tcW w:w="1161" w:type="pct"/>
            <w:shd w:val="clear" w:color="auto" w:fill="auto"/>
          </w:tcPr>
          <w:p w14:paraId="4090D709" w14:textId="77777777" w:rsidR="00833634" w:rsidRDefault="00833634">
            <w:pPr>
              <w:rPr>
                <w:rFonts w:ascii="宋体"/>
              </w:rPr>
            </w:pPr>
          </w:p>
        </w:tc>
        <w:tc>
          <w:tcPr>
            <w:tcW w:w="5" w:type="pct"/>
            <w:shd w:val="clear" w:color="auto" w:fill="auto"/>
          </w:tcPr>
          <w:p w14:paraId="4090D70A" w14:textId="77777777" w:rsidR="00833634" w:rsidRDefault="00833634">
            <w:pPr>
              <w:rPr>
                <w:rFonts w:ascii="宋体"/>
              </w:rPr>
            </w:pPr>
          </w:p>
        </w:tc>
        <w:tc>
          <w:tcPr>
            <w:tcW w:w="50" w:type="pct"/>
            <w:shd w:val="clear" w:color="auto" w:fill="auto"/>
          </w:tcPr>
          <w:p w14:paraId="4090D70B" w14:textId="77777777" w:rsidR="00833634" w:rsidRDefault="00833634">
            <w:pPr>
              <w:rPr>
                <w:rFonts w:ascii="宋体"/>
              </w:rPr>
            </w:pPr>
          </w:p>
        </w:tc>
        <w:tc>
          <w:tcPr>
            <w:tcW w:w="157" w:type="pct"/>
            <w:shd w:val="clear" w:color="auto" w:fill="auto"/>
          </w:tcPr>
          <w:p w14:paraId="4090D70C" w14:textId="77777777" w:rsidR="00833634" w:rsidRDefault="00833634">
            <w:pPr>
              <w:rPr>
                <w:rFonts w:ascii="宋体"/>
              </w:rPr>
            </w:pPr>
          </w:p>
        </w:tc>
        <w:tc>
          <w:tcPr>
            <w:tcW w:w="5" w:type="pct"/>
            <w:shd w:val="clear" w:color="auto" w:fill="auto"/>
          </w:tcPr>
          <w:p w14:paraId="4090D70D" w14:textId="77777777" w:rsidR="00833634" w:rsidRDefault="00833634">
            <w:pPr>
              <w:rPr>
                <w:rFonts w:ascii="宋体"/>
              </w:rPr>
            </w:pPr>
          </w:p>
        </w:tc>
      </w:tr>
      <w:tr w:rsidR="00833634" w14:paraId="4090D714" w14:textId="77777777">
        <w:trPr>
          <w:jc w:val="center"/>
        </w:trPr>
        <w:tc>
          <w:tcPr>
            <w:tcW w:w="0" w:type="auto"/>
            <w:gridSpan w:val="3"/>
            <w:shd w:val="clear" w:color="auto" w:fill="auto"/>
            <w:tcMar>
              <w:top w:w="40" w:type="dxa"/>
              <w:left w:w="20" w:type="dxa"/>
              <w:bottom w:w="40" w:type="dxa"/>
              <w:right w:w="20" w:type="dxa"/>
            </w:tcMar>
          </w:tcPr>
          <w:p w14:paraId="4090D70F" w14:textId="77777777" w:rsidR="00833634" w:rsidRDefault="00E15D51">
            <w:pPr>
              <w:textAlignment w:val="top"/>
            </w:pPr>
            <w:r>
              <w:rPr>
                <w:rFonts w:ascii="Arial" w:eastAsia="宋体" w:hAnsi="Arial" w:cs="Arial"/>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4090D710" w14:textId="77777777" w:rsidR="00833634" w:rsidRDefault="00E15D51">
            <w:pP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tcPr>
          <w:p w14:paraId="4090D711"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12" w14:textId="77777777" w:rsidR="00833634" w:rsidRDefault="00E15D51">
            <w:pPr>
              <w:textAlignment w:val="bottom"/>
            </w:pPr>
            <w:r>
              <w:rPr>
                <w:rFonts w:ascii="Arial" w:eastAsia="宋体" w:hAnsi="Arial" w:cs="Arial"/>
                <w:color w:val="000000"/>
                <w:sz w:val="18"/>
                <w:szCs w:val="18"/>
              </w:rPr>
              <w:t>Accelerated filer</w:t>
            </w:r>
          </w:p>
        </w:tc>
        <w:tc>
          <w:tcPr>
            <w:tcW w:w="0" w:type="auto"/>
            <w:gridSpan w:val="3"/>
            <w:shd w:val="clear" w:color="auto" w:fill="auto"/>
            <w:tcMar>
              <w:top w:w="40" w:type="dxa"/>
              <w:left w:w="20" w:type="dxa"/>
              <w:bottom w:w="40" w:type="dxa"/>
              <w:right w:w="20" w:type="dxa"/>
            </w:tcMar>
            <w:vAlign w:val="bottom"/>
          </w:tcPr>
          <w:p w14:paraId="4090D713" w14:textId="77777777" w:rsidR="00833634" w:rsidRDefault="00E15D51">
            <w:pPr>
              <w:textAlignment w:val="bottom"/>
            </w:pPr>
            <w:r>
              <w:rPr>
                <w:rFonts w:ascii="Arial Unicode MS" w:eastAsia="Arial Unicode MS" w:hAnsi="Arial Unicode MS" w:cs="Arial Unicode MS" w:hint="eastAsia"/>
                <w:color w:val="000000"/>
                <w:sz w:val="18"/>
                <w:szCs w:val="18"/>
              </w:rPr>
              <w:t>☐</w:t>
            </w:r>
          </w:p>
        </w:tc>
      </w:tr>
      <w:tr w:rsidR="00833634" w14:paraId="4090D71A" w14:textId="77777777">
        <w:trPr>
          <w:jc w:val="center"/>
        </w:trPr>
        <w:tc>
          <w:tcPr>
            <w:tcW w:w="0" w:type="auto"/>
            <w:gridSpan w:val="3"/>
            <w:shd w:val="clear" w:color="auto" w:fill="auto"/>
            <w:tcMar>
              <w:top w:w="40" w:type="dxa"/>
              <w:left w:w="20" w:type="dxa"/>
              <w:bottom w:w="40" w:type="dxa"/>
              <w:right w:w="20" w:type="dxa"/>
            </w:tcMar>
          </w:tcPr>
          <w:p w14:paraId="4090D715" w14:textId="77777777" w:rsidR="00833634" w:rsidRDefault="00E15D51">
            <w:pPr>
              <w:textAlignment w:val="top"/>
            </w:pPr>
            <w:r>
              <w:rPr>
                <w:rFonts w:ascii="Arial" w:eastAsia="宋体" w:hAnsi="Arial" w:cs="Arial"/>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4090D716" w14:textId="77777777" w:rsidR="00833634" w:rsidRDefault="00E15D51">
            <w:pP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tcPr>
          <w:p w14:paraId="4090D717"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18" w14:textId="77777777" w:rsidR="00833634" w:rsidRDefault="00E15D51">
            <w:pPr>
              <w:textAlignment w:val="bottom"/>
            </w:pPr>
            <w:r>
              <w:rPr>
                <w:rFonts w:ascii="Arial" w:eastAsia="宋体" w:hAnsi="Arial" w:cs="Arial"/>
                <w:color w:val="000000"/>
                <w:sz w:val="18"/>
                <w:szCs w:val="18"/>
              </w:rPr>
              <w:t>Smaller reporting company </w:t>
            </w:r>
          </w:p>
        </w:tc>
        <w:tc>
          <w:tcPr>
            <w:tcW w:w="0" w:type="auto"/>
            <w:gridSpan w:val="3"/>
            <w:shd w:val="clear" w:color="auto" w:fill="auto"/>
            <w:tcMar>
              <w:top w:w="40" w:type="dxa"/>
              <w:left w:w="20" w:type="dxa"/>
              <w:bottom w:w="40" w:type="dxa"/>
              <w:right w:w="20" w:type="dxa"/>
            </w:tcMar>
            <w:vAlign w:val="bottom"/>
          </w:tcPr>
          <w:p w14:paraId="4090D719" w14:textId="77777777" w:rsidR="00833634" w:rsidRDefault="00E15D51">
            <w:pPr>
              <w:textAlignment w:val="bottom"/>
            </w:pPr>
            <w:r>
              <w:rPr>
                <w:rFonts w:ascii="Arial Unicode MS" w:eastAsia="Arial Unicode MS" w:hAnsi="Arial Unicode MS" w:cs="Arial Unicode MS" w:hint="eastAsia"/>
                <w:color w:val="000000"/>
                <w:sz w:val="18"/>
                <w:szCs w:val="18"/>
              </w:rPr>
              <w:t>☐</w:t>
            </w:r>
          </w:p>
        </w:tc>
      </w:tr>
      <w:tr w:rsidR="00833634" w14:paraId="4090D720" w14:textId="77777777">
        <w:trPr>
          <w:jc w:val="center"/>
        </w:trPr>
        <w:tc>
          <w:tcPr>
            <w:tcW w:w="0" w:type="auto"/>
            <w:gridSpan w:val="3"/>
            <w:shd w:val="clear" w:color="auto" w:fill="auto"/>
            <w:tcMar>
              <w:top w:w="40" w:type="dxa"/>
              <w:left w:w="20" w:type="dxa"/>
              <w:bottom w:w="40" w:type="dxa"/>
              <w:right w:w="20" w:type="dxa"/>
            </w:tcMar>
          </w:tcPr>
          <w:p w14:paraId="4090D71B" w14:textId="77777777" w:rsidR="00833634" w:rsidRDefault="00E15D51">
            <w:pPr>
              <w:textAlignment w:val="top"/>
            </w:pPr>
            <w:r>
              <w:rPr>
                <w:rFonts w:ascii="Arial" w:eastAsia="宋体" w:hAnsi="Arial" w:cs="Arial"/>
                <w:color w:val="000000"/>
                <w:sz w:val="18"/>
                <w:szCs w:val="18"/>
              </w:rPr>
              <w:lastRenderedPageBreak/>
              <w:t>Emerging growth company</w:t>
            </w:r>
          </w:p>
        </w:tc>
        <w:tc>
          <w:tcPr>
            <w:tcW w:w="0" w:type="auto"/>
            <w:gridSpan w:val="3"/>
            <w:shd w:val="clear" w:color="auto" w:fill="auto"/>
            <w:tcMar>
              <w:top w:w="40" w:type="dxa"/>
              <w:left w:w="20" w:type="dxa"/>
              <w:bottom w:w="40" w:type="dxa"/>
              <w:right w:w="20" w:type="dxa"/>
            </w:tcMar>
            <w:vAlign w:val="bottom"/>
          </w:tcPr>
          <w:p w14:paraId="4090D71C" w14:textId="77777777" w:rsidR="00833634" w:rsidRDefault="00E15D51">
            <w:pP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tcPr>
          <w:p w14:paraId="4090D71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1E"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1F" w14:textId="77777777" w:rsidR="00833634" w:rsidRDefault="00833634">
            <w:pPr>
              <w:rPr>
                <w:rFonts w:ascii="宋体"/>
              </w:rPr>
            </w:pPr>
          </w:p>
        </w:tc>
      </w:tr>
    </w:tbl>
    <w:p w14:paraId="4090D721" w14:textId="77777777" w:rsidR="00833634" w:rsidRDefault="00E15D51">
      <w:pPr>
        <w:spacing w:before="60"/>
      </w:pPr>
      <w:r>
        <w:rPr>
          <w:rFonts w:ascii="Arial" w:eastAsia="宋体" w:hAnsi="Arial" w:cs="Arial"/>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rPr>
        <w:t>☐</w:t>
      </w:r>
    </w:p>
    <w:p w14:paraId="4090D722" w14:textId="77777777" w:rsidR="00833634" w:rsidRDefault="00E15D51">
      <w:pPr>
        <w:spacing w:before="60"/>
      </w:pPr>
      <w:r>
        <w:rPr>
          <w:rFonts w:ascii="Arial" w:eastAsia="宋体" w:hAnsi="Arial" w:cs="Arial"/>
          <w:color w:val="000000"/>
          <w:sz w:val="18"/>
          <w:szCs w:val="18"/>
        </w:rPr>
        <w:t>Ind</w:t>
      </w:r>
      <w:r>
        <w:rPr>
          <w:rFonts w:ascii="Arial" w:eastAsia="宋体" w:hAnsi="Arial" w:cs="Arial"/>
          <w:color w:val="000000"/>
          <w:sz w:val="18"/>
          <w:szCs w:val="18"/>
        </w:rPr>
        <w:t>icate by check mark whether the registrant is a shell company (as defined in Rule 12b-2 of the Exchange Act).</w:t>
      </w:r>
    </w:p>
    <w:p w14:paraId="4090D723" w14:textId="77777777" w:rsidR="00833634" w:rsidRDefault="00E15D51">
      <w:pPr>
        <w:spacing w:before="60"/>
      </w:pPr>
      <w:r>
        <w:rPr>
          <w:rFonts w:ascii="Arial" w:eastAsia="宋体" w:hAnsi="Arial" w:cs="Arial"/>
          <w:color w:val="000000"/>
          <w:sz w:val="18"/>
          <w:szCs w:val="18"/>
        </w:rPr>
        <w:t xml:space="preserve">Yes </w:t>
      </w:r>
      <w:r>
        <w:rPr>
          <w:rFonts w:ascii="Arial Unicode MS" w:eastAsia="Arial Unicode MS" w:hAnsi="Arial Unicode MS" w:cs="Arial Unicode MS" w:hint="eastAsia"/>
          <w:color w:val="000000"/>
          <w:sz w:val="18"/>
          <w:szCs w:val="18"/>
        </w:rPr>
        <w:t>☐</w:t>
      </w:r>
      <w:r>
        <w:rPr>
          <w:rFonts w:ascii="Arial" w:eastAsia="宋体" w:hAnsi="Arial" w:cs="Arial"/>
          <w:color w:val="000000"/>
          <w:sz w:val="18"/>
          <w:szCs w:val="18"/>
        </w:rPr>
        <w:t xml:space="preserve"> No </w:t>
      </w:r>
      <w:r>
        <w:rPr>
          <w:rFonts w:ascii="Arial Unicode MS" w:eastAsia="Arial Unicode MS" w:hAnsi="Arial Unicode MS" w:cs="Arial Unicode MS" w:hint="eastAsia"/>
          <w:color w:val="000000"/>
          <w:sz w:val="18"/>
          <w:szCs w:val="18"/>
        </w:rPr>
        <w:t>☒</w:t>
      </w:r>
    </w:p>
    <w:p w14:paraId="4090D724" w14:textId="77777777" w:rsidR="00833634" w:rsidRDefault="00E15D51">
      <w:pPr>
        <w:spacing w:before="60"/>
      </w:pPr>
      <w:r>
        <w:rPr>
          <w:rFonts w:ascii="Arial" w:eastAsia="宋体" w:hAnsi="Arial" w:cs="Arial"/>
          <w:color w:val="000000"/>
          <w:sz w:val="18"/>
          <w:szCs w:val="18"/>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58"/>
        <w:gridCol w:w="2821"/>
        <w:gridCol w:w="37"/>
        <w:gridCol w:w="36"/>
        <w:gridCol w:w="36"/>
        <w:gridCol w:w="36"/>
        <w:gridCol w:w="47"/>
        <w:gridCol w:w="1457"/>
        <w:gridCol w:w="36"/>
        <w:gridCol w:w="36"/>
        <w:gridCol w:w="36"/>
        <w:gridCol w:w="36"/>
        <w:gridCol w:w="47"/>
        <w:gridCol w:w="3568"/>
        <w:gridCol w:w="36"/>
      </w:tblGrid>
      <w:tr w:rsidR="00833634" w14:paraId="4090D734" w14:textId="77777777">
        <w:trPr>
          <w:jc w:val="center"/>
        </w:trPr>
        <w:tc>
          <w:tcPr>
            <w:tcW w:w="50" w:type="pct"/>
            <w:shd w:val="clear" w:color="auto" w:fill="auto"/>
          </w:tcPr>
          <w:p w14:paraId="4090D725" w14:textId="77777777" w:rsidR="00833634" w:rsidRDefault="00833634">
            <w:pPr>
              <w:rPr>
                <w:rFonts w:ascii="宋体"/>
              </w:rPr>
            </w:pPr>
          </w:p>
        </w:tc>
        <w:tc>
          <w:tcPr>
            <w:tcW w:w="1708" w:type="pct"/>
            <w:shd w:val="clear" w:color="auto" w:fill="auto"/>
          </w:tcPr>
          <w:p w14:paraId="4090D726" w14:textId="77777777" w:rsidR="00833634" w:rsidRDefault="00833634">
            <w:pPr>
              <w:rPr>
                <w:rFonts w:ascii="宋体"/>
              </w:rPr>
            </w:pPr>
          </w:p>
        </w:tc>
        <w:tc>
          <w:tcPr>
            <w:tcW w:w="5" w:type="pct"/>
            <w:shd w:val="clear" w:color="auto" w:fill="auto"/>
          </w:tcPr>
          <w:p w14:paraId="4090D727" w14:textId="77777777" w:rsidR="00833634" w:rsidRDefault="00833634">
            <w:pPr>
              <w:rPr>
                <w:rFonts w:ascii="宋体"/>
              </w:rPr>
            </w:pPr>
          </w:p>
        </w:tc>
        <w:tc>
          <w:tcPr>
            <w:tcW w:w="5" w:type="pct"/>
            <w:shd w:val="clear" w:color="auto" w:fill="auto"/>
          </w:tcPr>
          <w:p w14:paraId="4090D728" w14:textId="77777777" w:rsidR="00833634" w:rsidRDefault="00833634">
            <w:pPr>
              <w:rPr>
                <w:rFonts w:ascii="宋体"/>
              </w:rPr>
            </w:pPr>
          </w:p>
        </w:tc>
        <w:tc>
          <w:tcPr>
            <w:tcW w:w="29" w:type="pct"/>
            <w:shd w:val="clear" w:color="auto" w:fill="auto"/>
          </w:tcPr>
          <w:p w14:paraId="4090D729" w14:textId="77777777" w:rsidR="00833634" w:rsidRDefault="00833634">
            <w:pPr>
              <w:rPr>
                <w:rFonts w:ascii="宋体"/>
              </w:rPr>
            </w:pPr>
          </w:p>
        </w:tc>
        <w:tc>
          <w:tcPr>
            <w:tcW w:w="5" w:type="pct"/>
            <w:shd w:val="clear" w:color="auto" w:fill="auto"/>
          </w:tcPr>
          <w:p w14:paraId="4090D72A" w14:textId="77777777" w:rsidR="00833634" w:rsidRDefault="00833634">
            <w:pPr>
              <w:rPr>
                <w:rFonts w:ascii="宋体"/>
              </w:rPr>
            </w:pPr>
          </w:p>
        </w:tc>
        <w:tc>
          <w:tcPr>
            <w:tcW w:w="50" w:type="pct"/>
            <w:shd w:val="clear" w:color="auto" w:fill="auto"/>
          </w:tcPr>
          <w:p w14:paraId="4090D72B" w14:textId="77777777" w:rsidR="00833634" w:rsidRDefault="00833634">
            <w:pPr>
              <w:rPr>
                <w:rFonts w:ascii="宋体"/>
              </w:rPr>
            </w:pPr>
          </w:p>
        </w:tc>
        <w:tc>
          <w:tcPr>
            <w:tcW w:w="889" w:type="pct"/>
            <w:shd w:val="clear" w:color="auto" w:fill="auto"/>
          </w:tcPr>
          <w:p w14:paraId="4090D72C" w14:textId="77777777" w:rsidR="00833634" w:rsidRDefault="00833634">
            <w:pPr>
              <w:rPr>
                <w:rFonts w:ascii="宋体"/>
              </w:rPr>
            </w:pPr>
          </w:p>
        </w:tc>
        <w:tc>
          <w:tcPr>
            <w:tcW w:w="5" w:type="pct"/>
            <w:shd w:val="clear" w:color="auto" w:fill="auto"/>
          </w:tcPr>
          <w:p w14:paraId="4090D72D" w14:textId="77777777" w:rsidR="00833634" w:rsidRDefault="00833634">
            <w:pPr>
              <w:rPr>
                <w:rFonts w:ascii="宋体"/>
              </w:rPr>
            </w:pPr>
          </w:p>
        </w:tc>
        <w:tc>
          <w:tcPr>
            <w:tcW w:w="5" w:type="pct"/>
            <w:shd w:val="clear" w:color="auto" w:fill="auto"/>
          </w:tcPr>
          <w:p w14:paraId="4090D72E" w14:textId="77777777" w:rsidR="00833634" w:rsidRDefault="00833634">
            <w:pPr>
              <w:rPr>
                <w:rFonts w:ascii="宋体"/>
              </w:rPr>
            </w:pPr>
          </w:p>
        </w:tc>
        <w:tc>
          <w:tcPr>
            <w:tcW w:w="29" w:type="pct"/>
            <w:shd w:val="clear" w:color="auto" w:fill="auto"/>
          </w:tcPr>
          <w:p w14:paraId="4090D72F" w14:textId="77777777" w:rsidR="00833634" w:rsidRDefault="00833634">
            <w:pPr>
              <w:rPr>
                <w:rFonts w:ascii="宋体"/>
              </w:rPr>
            </w:pPr>
          </w:p>
        </w:tc>
        <w:tc>
          <w:tcPr>
            <w:tcW w:w="5" w:type="pct"/>
            <w:shd w:val="clear" w:color="auto" w:fill="auto"/>
          </w:tcPr>
          <w:p w14:paraId="4090D730" w14:textId="77777777" w:rsidR="00833634" w:rsidRDefault="00833634">
            <w:pPr>
              <w:rPr>
                <w:rFonts w:ascii="宋体"/>
              </w:rPr>
            </w:pPr>
          </w:p>
        </w:tc>
        <w:tc>
          <w:tcPr>
            <w:tcW w:w="50" w:type="pct"/>
            <w:shd w:val="clear" w:color="auto" w:fill="auto"/>
          </w:tcPr>
          <w:p w14:paraId="4090D731" w14:textId="77777777" w:rsidR="00833634" w:rsidRDefault="00833634">
            <w:pPr>
              <w:rPr>
                <w:rFonts w:ascii="宋体"/>
              </w:rPr>
            </w:pPr>
          </w:p>
        </w:tc>
        <w:tc>
          <w:tcPr>
            <w:tcW w:w="2157" w:type="pct"/>
            <w:shd w:val="clear" w:color="auto" w:fill="auto"/>
          </w:tcPr>
          <w:p w14:paraId="4090D732" w14:textId="77777777" w:rsidR="00833634" w:rsidRDefault="00833634">
            <w:pPr>
              <w:rPr>
                <w:rFonts w:ascii="宋体"/>
              </w:rPr>
            </w:pPr>
          </w:p>
        </w:tc>
        <w:tc>
          <w:tcPr>
            <w:tcW w:w="5" w:type="pct"/>
            <w:shd w:val="clear" w:color="auto" w:fill="auto"/>
          </w:tcPr>
          <w:p w14:paraId="4090D733" w14:textId="77777777" w:rsidR="00833634" w:rsidRDefault="00833634">
            <w:pPr>
              <w:rPr>
                <w:rFonts w:ascii="宋体"/>
              </w:rPr>
            </w:pPr>
          </w:p>
        </w:tc>
      </w:tr>
      <w:tr w:rsidR="00833634" w14:paraId="4090D73A" w14:textId="77777777">
        <w:trPr>
          <w:jc w:val="center"/>
        </w:trPr>
        <w:tc>
          <w:tcPr>
            <w:tcW w:w="0" w:type="auto"/>
            <w:gridSpan w:val="3"/>
            <w:shd w:val="clear" w:color="auto" w:fill="auto"/>
            <w:tcMar>
              <w:top w:w="40" w:type="dxa"/>
              <w:left w:w="20" w:type="dxa"/>
              <w:bottom w:w="40" w:type="dxa"/>
              <w:right w:w="20" w:type="dxa"/>
            </w:tcMar>
            <w:vAlign w:val="bottom"/>
          </w:tcPr>
          <w:p w14:paraId="4090D735" w14:textId="77777777" w:rsidR="00833634" w:rsidRDefault="00E15D51">
            <w:pPr>
              <w:jc w:val="center"/>
              <w:textAlignment w:val="bottom"/>
            </w:pPr>
            <w:r>
              <w:rPr>
                <w:rFonts w:ascii="Arial" w:eastAsia="宋体" w:hAnsi="Arial" w:cs="Arial"/>
                <w:color w:val="000000"/>
                <w:sz w:val="18"/>
                <w:szCs w:val="18"/>
              </w:rPr>
              <w:t>Title of each class</w:t>
            </w:r>
          </w:p>
        </w:tc>
        <w:tc>
          <w:tcPr>
            <w:tcW w:w="0" w:type="auto"/>
            <w:gridSpan w:val="3"/>
            <w:shd w:val="clear" w:color="auto" w:fill="auto"/>
            <w:tcMar>
              <w:top w:w="0" w:type="dxa"/>
              <w:left w:w="20" w:type="dxa"/>
              <w:bottom w:w="0" w:type="dxa"/>
              <w:right w:w="20" w:type="dxa"/>
            </w:tcMar>
          </w:tcPr>
          <w:p w14:paraId="4090D73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37" w14:textId="77777777" w:rsidR="00833634" w:rsidRDefault="00E15D51">
            <w:pPr>
              <w:jc w:val="center"/>
              <w:textAlignment w:val="bottom"/>
            </w:pPr>
            <w:r>
              <w:rPr>
                <w:rFonts w:ascii="Arial" w:eastAsia="宋体" w:hAnsi="Arial" w:cs="Arial"/>
                <w:color w:val="000000"/>
                <w:sz w:val="18"/>
                <w:szCs w:val="18"/>
              </w:rPr>
              <w:t>Trading Symbol(s)</w:t>
            </w:r>
          </w:p>
        </w:tc>
        <w:tc>
          <w:tcPr>
            <w:tcW w:w="0" w:type="auto"/>
            <w:gridSpan w:val="3"/>
            <w:shd w:val="clear" w:color="auto" w:fill="auto"/>
            <w:tcMar>
              <w:top w:w="0" w:type="dxa"/>
              <w:left w:w="20" w:type="dxa"/>
              <w:bottom w:w="0" w:type="dxa"/>
              <w:right w:w="20" w:type="dxa"/>
            </w:tcMar>
          </w:tcPr>
          <w:p w14:paraId="4090D738"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39" w14:textId="77777777" w:rsidR="00833634" w:rsidRDefault="00E15D51">
            <w:pPr>
              <w:jc w:val="center"/>
              <w:textAlignment w:val="bottom"/>
            </w:pPr>
            <w:r>
              <w:rPr>
                <w:rFonts w:ascii="Arial" w:eastAsia="宋体" w:hAnsi="Arial" w:cs="Arial"/>
                <w:color w:val="000000"/>
                <w:sz w:val="18"/>
                <w:szCs w:val="18"/>
              </w:rPr>
              <w:t xml:space="preserve">Name of each </w:t>
            </w:r>
            <w:r>
              <w:rPr>
                <w:rFonts w:ascii="Arial" w:eastAsia="宋体" w:hAnsi="Arial" w:cs="Arial"/>
                <w:color w:val="000000"/>
                <w:sz w:val="18"/>
                <w:szCs w:val="18"/>
              </w:rPr>
              <w:t>exchange on which registered</w:t>
            </w:r>
          </w:p>
        </w:tc>
      </w:tr>
      <w:tr w:rsidR="00833634" w14:paraId="4090D740"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73B" w14:textId="77777777" w:rsidR="00833634" w:rsidRDefault="00E15D51">
            <w:pPr>
              <w:jc w:val="center"/>
              <w:textAlignment w:val="bottom"/>
            </w:pPr>
            <w:r>
              <w:rPr>
                <w:rFonts w:ascii="Arial" w:eastAsia="宋体" w:hAnsi="Arial" w:cs="Arial"/>
                <w:color w:val="000000"/>
                <w:sz w:val="18"/>
                <w:szCs w:val="18"/>
              </w:rPr>
              <w:t>Common Stock, $5.00 Par Value</w:t>
            </w:r>
          </w:p>
        </w:tc>
        <w:tc>
          <w:tcPr>
            <w:tcW w:w="0" w:type="auto"/>
            <w:gridSpan w:val="3"/>
            <w:shd w:val="clear" w:color="auto" w:fill="auto"/>
            <w:tcMar>
              <w:top w:w="0" w:type="dxa"/>
              <w:left w:w="20" w:type="dxa"/>
              <w:bottom w:w="0" w:type="dxa"/>
              <w:right w:w="20" w:type="dxa"/>
            </w:tcMar>
          </w:tcPr>
          <w:p w14:paraId="4090D73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73D" w14:textId="77777777" w:rsidR="00833634" w:rsidRDefault="00E15D51">
            <w:pPr>
              <w:jc w:val="center"/>
              <w:textAlignment w:val="bottom"/>
            </w:pPr>
            <w:r>
              <w:rPr>
                <w:rFonts w:ascii="Arial" w:eastAsia="宋体" w:hAnsi="Arial" w:cs="Arial"/>
                <w:color w:val="000000"/>
                <w:sz w:val="18"/>
                <w:szCs w:val="18"/>
              </w:rPr>
              <w:t>BA</w:t>
            </w:r>
          </w:p>
        </w:tc>
        <w:tc>
          <w:tcPr>
            <w:tcW w:w="0" w:type="auto"/>
            <w:gridSpan w:val="3"/>
            <w:shd w:val="clear" w:color="auto" w:fill="auto"/>
            <w:tcMar>
              <w:top w:w="0" w:type="dxa"/>
              <w:left w:w="20" w:type="dxa"/>
              <w:bottom w:w="0" w:type="dxa"/>
              <w:right w:w="20" w:type="dxa"/>
            </w:tcMar>
          </w:tcPr>
          <w:p w14:paraId="4090D73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73F" w14:textId="77777777" w:rsidR="00833634" w:rsidRDefault="00E15D51">
            <w:pPr>
              <w:jc w:val="center"/>
              <w:textAlignment w:val="bottom"/>
            </w:pPr>
            <w:r>
              <w:rPr>
                <w:rFonts w:ascii="Arial" w:eastAsia="宋体" w:hAnsi="Arial" w:cs="Arial"/>
                <w:color w:val="000000"/>
                <w:sz w:val="18"/>
                <w:szCs w:val="18"/>
              </w:rPr>
              <w:t>New York Stock Exchange</w:t>
            </w:r>
          </w:p>
        </w:tc>
      </w:tr>
    </w:tbl>
    <w:p w14:paraId="4090D741" w14:textId="77777777" w:rsidR="00833634" w:rsidRDefault="00E15D51">
      <w:pPr>
        <w:spacing w:before="60"/>
        <w:jc w:val="center"/>
      </w:pPr>
      <w:r>
        <w:rPr>
          <w:rFonts w:ascii="Arial" w:eastAsia="宋体" w:hAnsi="Arial" w:cs="Arial"/>
          <w:color w:val="000000"/>
          <w:sz w:val="18"/>
          <w:szCs w:val="18"/>
        </w:rPr>
        <w:t>As of October 21, 2020, there were 564,529,686 shares of common stock, $5.00 par value, issued and outstanding.</w:t>
      </w:r>
    </w:p>
    <w:p w14:paraId="4090D742" w14:textId="77777777" w:rsidR="00833634" w:rsidRDefault="00833634">
      <w:pPr>
        <w:spacing w:after="180"/>
        <w:jc w:val="both"/>
      </w:pPr>
    </w:p>
    <w:p w14:paraId="4090D743" w14:textId="77777777" w:rsidR="00833634" w:rsidRDefault="00E15D51">
      <w:r>
        <w:pict w14:anchorId="4090FE1F">
          <v:rect id="_x0000_i1025" style="width:415.3pt;height:1.5pt" o:hralign="center" o:hrstd="t" o:hr="t" fillcolor="#a0a0a0" stroked="f"/>
        </w:pict>
      </w:r>
    </w:p>
    <w:p w14:paraId="4090D744" w14:textId="77777777" w:rsidR="00833634" w:rsidRDefault="00833634">
      <w:pPr>
        <w:spacing w:after="180"/>
        <w:jc w:val="both"/>
      </w:pPr>
    </w:p>
    <w:p w14:paraId="4090D745" w14:textId="77777777" w:rsidR="00833634" w:rsidRDefault="00E15D51">
      <w:pPr>
        <w:spacing w:before="60"/>
        <w:jc w:val="center"/>
      </w:pPr>
      <w:r>
        <w:rPr>
          <w:rFonts w:ascii="Arial" w:eastAsia="宋体" w:hAnsi="Arial" w:cs="Arial"/>
          <w:b/>
          <w:bCs/>
          <w:color w:val="000000"/>
          <w:sz w:val="18"/>
          <w:szCs w:val="18"/>
        </w:rPr>
        <w:t>THE BOEING COMPANY</w:t>
      </w:r>
    </w:p>
    <w:p w14:paraId="4090D746" w14:textId="77777777" w:rsidR="00833634" w:rsidRDefault="00E15D51">
      <w:pPr>
        <w:spacing w:before="60"/>
        <w:jc w:val="center"/>
      </w:pPr>
      <w:r>
        <w:rPr>
          <w:rFonts w:ascii="Arial" w:eastAsia="宋体" w:hAnsi="Arial" w:cs="Arial"/>
          <w:b/>
          <w:bCs/>
          <w:color w:val="000000"/>
          <w:sz w:val="18"/>
          <w:szCs w:val="18"/>
        </w:rPr>
        <w:t>FORM 10-Q</w:t>
      </w:r>
    </w:p>
    <w:p w14:paraId="4090D747" w14:textId="77777777" w:rsidR="00833634" w:rsidRDefault="00E15D51">
      <w:pPr>
        <w:spacing w:before="60"/>
        <w:jc w:val="center"/>
      </w:pPr>
      <w:r>
        <w:rPr>
          <w:rFonts w:ascii="Arial" w:eastAsia="宋体" w:hAnsi="Arial" w:cs="Arial"/>
          <w:b/>
          <w:bCs/>
          <w:color w:val="000000"/>
          <w:sz w:val="18"/>
          <w:szCs w:val="18"/>
        </w:rPr>
        <w:t xml:space="preserve">For the </w:t>
      </w:r>
      <w:r>
        <w:rPr>
          <w:rFonts w:ascii="Arial" w:eastAsia="宋体" w:hAnsi="Arial" w:cs="Arial"/>
          <w:b/>
          <w:bCs/>
          <w:color w:val="000000"/>
          <w:sz w:val="18"/>
          <w:szCs w:val="18"/>
        </w:rPr>
        <w:t>Quarter Ended September 30, 2020</w:t>
      </w:r>
    </w:p>
    <w:p w14:paraId="4090D748" w14:textId="77777777" w:rsidR="00833634" w:rsidRDefault="00E15D51">
      <w:pPr>
        <w:spacing w:before="60"/>
        <w:jc w:val="center"/>
      </w:pPr>
      <w:r>
        <w:rPr>
          <w:rFonts w:ascii="Arial" w:eastAsia="宋体" w:hAnsi="Arial" w:cs="Arial"/>
          <w:b/>
          <w:bCs/>
          <w:color w:val="000000"/>
          <w:sz w:val="18"/>
          <w:szCs w:val="18"/>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87"/>
        <w:gridCol w:w="39"/>
        <w:gridCol w:w="68"/>
        <w:gridCol w:w="6750"/>
        <w:gridCol w:w="38"/>
        <w:gridCol w:w="69"/>
        <w:gridCol w:w="481"/>
        <w:gridCol w:w="36"/>
      </w:tblGrid>
      <w:tr w:rsidR="00833634" w14:paraId="4090D752" w14:textId="77777777">
        <w:trPr>
          <w:jc w:val="center"/>
        </w:trPr>
        <w:tc>
          <w:tcPr>
            <w:tcW w:w="50" w:type="pct"/>
            <w:shd w:val="clear" w:color="auto" w:fill="auto"/>
          </w:tcPr>
          <w:p w14:paraId="4090D749" w14:textId="77777777" w:rsidR="00833634" w:rsidRDefault="00833634">
            <w:pPr>
              <w:rPr>
                <w:rFonts w:ascii="宋体"/>
              </w:rPr>
            </w:pPr>
          </w:p>
        </w:tc>
        <w:tc>
          <w:tcPr>
            <w:tcW w:w="481" w:type="pct"/>
            <w:shd w:val="clear" w:color="auto" w:fill="auto"/>
          </w:tcPr>
          <w:p w14:paraId="4090D74A" w14:textId="77777777" w:rsidR="00833634" w:rsidRDefault="00833634">
            <w:pPr>
              <w:rPr>
                <w:rFonts w:ascii="宋体"/>
              </w:rPr>
            </w:pPr>
          </w:p>
        </w:tc>
        <w:tc>
          <w:tcPr>
            <w:tcW w:w="5" w:type="pct"/>
            <w:shd w:val="clear" w:color="auto" w:fill="auto"/>
          </w:tcPr>
          <w:p w14:paraId="4090D74B" w14:textId="77777777" w:rsidR="00833634" w:rsidRDefault="00833634">
            <w:pPr>
              <w:rPr>
                <w:rFonts w:ascii="宋体"/>
              </w:rPr>
            </w:pPr>
          </w:p>
        </w:tc>
        <w:tc>
          <w:tcPr>
            <w:tcW w:w="50" w:type="pct"/>
            <w:shd w:val="clear" w:color="auto" w:fill="auto"/>
          </w:tcPr>
          <w:p w14:paraId="4090D74C" w14:textId="77777777" w:rsidR="00833634" w:rsidRDefault="00833634">
            <w:pPr>
              <w:rPr>
                <w:rFonts w:ascii="宋体"/>
              </w:rPr>
            </w:pPr>
          </w:p>
        </w:tc>
        <w:tc>
          <w:tcPr>
            <w:tcW w:w="4055" w:type="pct"/>
            <w:shd w:val="clear" w:color="auto" w:fill="auto"/>
          </w:tcPr>
          <w:p w14:paraId="4090D74D" w14:textId="77777777" w:rsidR="00833634" w:rsidRDefault="00833634">
            <w:pPr>
              <w:rPr>
                <w:rFonts w:ascii="宋体"/>
              </w:rPr>
            </w:pPr>
          </w:p>
        </w:tc>
        <w:tc>
          <w:tcPr>
            <w:tcW w:w="5" w:type="pct"/>
            <w:shd w:val="clear" w:color="auto" w:fill="auto"/>
          </w:tcPr>
          <w:p w14:paraId="4090D74E" w14:textId="77777777" w:rsidR="00833634" w:rsidRDefault="00833634">
            <w:pPr>
              <w:rPr>
                <w:rFonts w:ascii="宋体"/>
              </w:rPr>
            </w:pPr>
          </w:p>
        </w:tc>
        <w:tc>
          <w:tcPr>
            <w:tcW w:w="50" w:type="pct"/>
            <w:shd w:val="clear" w:color="auto" w:fill="auto"/>
          </w:tcPr>
          <w:p w14:paraId="4090D74F" w14:textId="77777777" w:rsidR="00833634" w:rsidRDefault="00833634">
            <w:pPr>
              <w:rPr>
                <w:rFonts w:ascii="宋体"/>
              </w:rPr>
            </w:pPr>
          </w:p>
        </w:tc>
        <w:tc>
          <w:tcPr>
            <w:tcW w:w="297" w:type="pct"/>
            <w:shd w:val="clear" w:color="auto" w:fill="auto"/>
          </w:tcPr>
          <w:p w14:paraId="4090D750" w14:textId="77777777" w:rsidR="00833634" w:rsidRDefault="00833634">
            <w:pPr>
              <w:rPr>
                <w:rFonts w:ascii="宋体"/>
              </w:rPr>
            </w:pPr>
          </w:p>
        </w:tc>
        <w:tc>
          <w:tcPr>
            <w:tcW w:w="5" w:type="pct"/>
            <w:shd w:val="clear" w:color="auto" w:fill="auto"/>
          </w:tcPr>
          <w:p w14:paraId="4090D751" w14:textId="77777777" w:rsidR="00833634" w:rsidRDefault="00833634">
            <w:pPr>
              <w:rPr>
                <w:rFonts w:ascii="宋体"/>
              </w:rPr>
            </w:pPr>
          </w:p>
        </w:tc>
      </w:tr>
      <w:tr w:rsidR="00833634" w14:paraId="4090D755" w14:textId="77777777">
        <w:trPr>
          <w:jc w:val="center"/>
        </w:trPr>
        <w:tc>
          <w:tcPr>
            <w:tcW w:w="0" w:type="auto"/>
            <w:gridSpan w:val="6"/>
            <w:shd w:val="clear" w:color="auto" w:fill="auto"/>
            <w:tcMar>
              <w:top w:w="40" w:type="dxa"/>
              <w:left w:w="20" w:type="dxa"/>
              <w:bottom w:w="40" w:type="dxa"/>
              <w:right w:w="20" w:type="dxa"/>
            </w:tcMar>
          </w:tcPr>
          <w:p w14:paraId="4090D753" w14:textId="77777777" w:rsidR="00833634" w:rsidRDefault="00E15D51">
            <w:pPr>
              <w:textAlignment w:val="top"/>
            </w:pPr>
            <w:r>
              <w:rPr>
                <w:rFonts w:ascii="Arial" w:eastAsia="宋体" w:hAnsi="Arial" w:cs="Arial"/>
                <w:b/>
                <w:bCs/>
                <w:color w:val="000000"/>
                <w:sz w:val="16"/>
                <w:szCs w:val="16"/>
              </w:rPr>
              <w:t>Part I. Financial Information (Unaudited)</w:t>
            </w:r>
          </w:p>
        </w:tc>
        <w:tc>
          <w:tcPr>
            <w:tcW w:w="0" w:type="auto"/>
            <w:gridSpan w:val="3"/>
            <w:shd w:val="clear" w:color="auto" w:fill="auto"/>
            <w:tcMar>
              <w:top w:w="40" w:type="dxa"/>
              <w:left w:w="20" w:type="dxa"/>
              <w:bottom w:w="40" w:type="dxa"/>
              <w:right w:w="20" w:type="dxa"/>
            </w:tcMar>
            <w:vAlign w:val="bottom"/>
          </w:tcPr>
          <w:p w14:paraId="4090D754" w14:textId="77777777" w:rsidR="00833634" w:rsidRDefault="00E15D51">
            <w:pPr>
              <w:jc w:val="right"/>
              <w:textAlignment w:val="bottom"/>
            </w:pPr>
            <w:r>
              <w:rPr>
                <w:rFonts w:ascii="Arial" w:eastAsia="宋体" w:hAnsi="Arial" w:cs="Arial"/>
                <w:color w:val="000000"/>
                <w:sz w:val="16"/>
                <w:szCs w:val="16"/>
              </w:rPr>
              <w:t>Page</w:t>
            </w:r>
          </w:p>
        </w:tc>
      </w:tr>
      <w:tr w:rsidR="00833634" w14:paraId="4090D759" w14:textId="77777777">
        <w:trPr>
          <w:trHeight w:val="60"/>
          <w:jc w:val="center"/>
        </w:trPr>
        <w:tc>
          <w:tcPr>
            <w:tcW w:w="0" w:type="auto"/>
            <w:gridSpan w:val="3"/>
            <w:shd w:val="clear" w:color="auto" w:fill="auto"/>
            <w:tcMar>
              <w:top w:w="0" w:type="dxa"/>
              <w:left w:w="20" w:type="dxa"/>
              <w:bottom w:w="0" w:type="dxa"/>
              <w:right w:w="20" w:type="dxa"/>
            </w:tcMar>
          </w:tcPr>
          <w:p w14:paraId="4090D756"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57"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58" w14:textId="77777777" w:rsidR="00833634" w:rsidRDefault="00833634">
            <w:pPr>
              <w:rPr>
                <w:rFonts w:ascii="宋体"/>
              </w:rPr>
            </w:pPr>
          </w:p>
        </w:tc>
      </w:tr>
      <w:tr w:rsidR="00833634" w14:paraId="4090D75D" w14:textId="77777777">
        <w:trPr>
          <w:jc w:val="center"/>
        </w:trPr>
        <w:tc>
          <w:tcPr>
            <w:tcW w:w="0" w:type="auto"/>
            <w:gridSpan w:val="3"/>
            <w:shd w:val="clear" w:color="auto" w:fill="auto"/>
            <w:tcMar>
              <w:top w:w="40" w:type="dxa"/>
              <w:left w:w="20" w:type="dxa"/>
              <w:bottom w:w="40" w:type="dxa"/>
              <w:right w:w="20" w:type="dxa"/>
            </w:tcMar>
          </w:tcPr>
          <w:p w14:paraId="4090D75A" w14:textId="77777777" w:rsidR="00833634" w:rsidRDefault="00E15D51">
            <w:pPr>
              <w:textAlignment w:val="top"/>
            </w:pPr>
            <w:r>
              <w:rPr>
                <w:rFonts w:ascii="Arial" w:eastAsia="宋体" w:hAnsi="Arial" w:cs="Arial"/>
                <w:color w:val="000000"/>
                <w:sz w:val="16"/>
                <w:szCs w:val="16"/>
              </w:rPr>
              <w:t>Item 1.</w:t>
            </w:r>
          </w:p>
        </w:tc>
        <w:tc>
          <w:tcPr>
            <w:tcW w:w="0" w:type="auto"/>
            <w:gridSpan w:val="3"/>
            <w:shd w:val="clear" w:color="auto" w:fill="auto"/>
            <w:tcMar>
              <w:top w:w="40" w:type="dxa"/>
              <w:left w:w="20" w:type="dxa"/>
              <w:bottom w:w="40" w:type="dxa"/>
              <w:right w:w="20" w:type="dxa"/>
            </w:tcMar>
            <w:vAlign w:val="bottom"/>
          </w:tcPr>
          <w:p w14:paraId="4090D75B" w14:textId="77777777" w:rsidR="00833634" w:rsidRDefault="00E15D51">
            <w:pPr>
              <w:textAlignment w:val="bottom"/>
            </w:pPr>
            <w:hyperlink r:id="rId7" w:anchor="i8d805bfb1e1c4815a1dcd5b6d1e0b117_16" w:history="1">
              <w:r>
                <w:rPr>
                  <w:rStyle w:val="a5"/>
                  <w:rFonts w:ascii="Arial" w:eastAsia="宋体" w:hAnsi="Arial" w:cs="Arial"/>
                  <w:sz w:val="16"/>
                  <w:szCs w:val="16"/>
                </w:rPr>
                <w:t>Financial Statements</w:t>
              </w:r>
            </w:hyperlink>
          </w:p>
        </w:tc>
        <w:tc>
          <w:tcPr>
            <w:tcW w:w="0" w:type="auto"/>
            <w:gridSpan w:val="3"/>
            <w:shd w:val="clear" w:color="auto" w:fill="auto"/>
            <w:tcMar>
              <w:top w:w="40" w:type="dxa"/>
              <w:left w:w="20" w:type="dxa"/>
              <w:bottom w:w="40" w:type="dxa"/>
              <w:right w:w="20" w:type="dxa"/>
            </w:tcMar>
            <w:vAlign w:val="bottom"/>
          </w:tcPr>
          <w:p w14:paraId="4090D75C" w14:textId="77777777" w:rsidR="00833634" w:rsidRDefault="00E15D51">
            <w:pPr>
              <w:jc w:val="right"/>
              <w:textAlignment w:val="bottom"/>
            </w:pPr>
            <w:hyperlink r:id="rId8" w:anchor="i8d805bfb1e1c4815a1dcd5b6d1e0b117_16" w:history="1">
              <w:r>
                <w:rPr>
                  <w:rStyle w:val="a5"/>
                  <w:rFonts w:ascii="Arial" w:eastAsia="宋体" w:hAnsi="Arial" w:cs="Arial"/>
                  <w:sz w:val="16"/>
                  <w:szCs w:val="16"/>
                </w:rPr>
                <w:t>1</w:t>
              </w:r>
            </w:hyperlink>
          </w:p>
        </w:tc>
      </w:tr>
      <w:tr w:rsidR="00833634" w14:paraId="4090D761" w14:textId="77777777">
        <w:trPr>
          <w:jc w:val="center"/>
        </w:trPr>
        <w:tc>
          <w:tcPr>
            <w:tcW w:w="0" w:type="auto"/>
            <w:gridSpan w:val="3"/>
            <w:shd w:val="clear" w:color="auto" w:fill="auto"/>
            <w:tcMar>
              <w:top w:w="0" w:type="dxa"/>
              <w:left w:w="20" w:type="dxa"/>
              <w:bottom w:w="0" w:type="dxa"/>
              <w:right w:w="20" w:type="dxa"/>
            </w:tcMar>
          </w:tcPr>
          <w:p w14:paraId="4090D75E"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5F" w14:textId="77777777" w:rsidR="00833634" w:rsidRDefault="00E15D51">
            <w:pPr>
              <w:textAlignment w:val="bottom"/>
            </w:pPr>
            <w:hyperlink r:id="rId9" w:anchor="i8d805bfb1e1c4815a1dcd5b6d1e0b117_19" w:history="1">
              <w:r>
                <w:rPr>
                  <w:rStyle w:val="a5"/>
                  <w:rFonts w:ascii="Arial" w:eastAsia="宋体" w:hAnsi="Arial" w:cs="Arial"/>
                  <w:sz w:val="16"/>
                  <w:szCs w:val="16"/>
                </w:rPr>
                <w:t>Condensed Consolidated Statements of Operations</w:t>
              </w:r>
            </w:hyperlink>
          </w:p>
        </w:tc>
        <w:tc>
          <w:tcPr>
            <w:tcW w:w="0" w:type="auto"/>
            <w:gridSpan w:val="3"/>
            <w:shd w:val="clear" w:color="auto" w:fill="auto"/>
            <w:tcMar>
              <w:top w:w="40" w:type="dxa"/>
              <w:left w:w="20" w:type="dxa"/>
              <w:bottom w:w="40" w:type="dxa"/>
              <w:right w:w="20" w:type="dxa"/>
            </w:tcMar>
            <w:vAlign w:val="bottom"/>
          </w:tcPr>
          <w:p w14:paraId="4090D760" w14:textId="77777777" w:rsidR="00833634" w:rsidRDefault="00E15D51">
            <w:pPr>
              <w:jc w:val="right"/>
              <w:textAlignment w:val="bottom"/>
            </w:pPr>
            <w:hyperlink r:id="rId10" w:anchor="i8d805bfb1e1c4815a1dcd5b6d1e0b117_19" w:history="1">
              <w:r>
                <w:rPr>
                  <w:rStyle w:val="a5"/>
                  <w:rFonts w:ascii="Arial" w:eastAsia="宋体" w:hAnsi="Arial" w:cs="Arial"/>
                  <w:sz w:val="16"/>
                  <w:szCs w:val="16"/>
                </w:rPr>
                <w:t>1</w:t>
              </w:r>
            </w:hyperlink>
          </w:p>
        </w:tc>
      </w:tr>
      <w:tr w:rsidR="00833634" w14:paraId="4090D765" w14:textId="77777777">
        <w:trPr>
          <w:jc w:val="center"/>
        </w:trPr>
        <w:tc>
          <w:tcPr>
            <w:tcW w:w="0" w:type="auto"/>
            <w:gridSpan w:val="3"/>
            <w:shd w:val="clear" w:color="auto" w:fill="auto"/>
            <w:tcMar>
              <w:top w:w="0" w:type="dxa"/>
              <w:left w:w="20" w:type="dxa"/>
              <w:bottom w:w="0" w:type="dxa"/>
              <w:right w:w="20" w:type="dxa"/>
            </w:tcMar>
          </w:tcPr>
          <w:p w14:paraId="4090D76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63" w14:textId="77777777" w:rsidR="00833634" w:rsidRDefault="00E15D51">
            <w:pPr>
              <w:textAlignment w:val="bottom"/>
            </w:pPr>
            <w:hyperlink r:id="rId11" w:anchor="i8d805bfb1e1c4815a1dcd5b6d1e0b117_22" w:history="1">
              <w:r>
                <w:rPr>
                  <w:rStyle w:val="a5"/>
                  <w:rFonts w:ascii="Arial" w:eastAsia="宋体" w:hAnsi="Arial" w:cs="Arial"/>
                  <w:sz w:val="16"/>
                  <w:szCs w:val="16"/>
                </w:rPr>
                <w:t>Condensed Consolidated Statements of Comprehensive Income</w:t>
              </w:r>
            </w:hyperlink>
          </w:p>
        </w:tc>
        <w:tc>
          <w:tcPr>
            <w:tcW w:w="0" w:type="auto"/>
            <w:gridSpan w:val="3"/>
            <w:shd w:val="clear" w:color="auto" w:fill="auto"/>
            <w:tcMar>
              <w:top w:w="40" w:type="dxa"/>
              <w:left w:w="20" w:type="dxa"/>
              <w:bottom w:w="40" w:type="dxa"/>
              <w:right w:w="20" w:type="dxa"/>
            </w:tcMar>
            <w:vAlign w:val="bottom"/>
          </w:tcPr>
          <w:p w14:paraId="4090D764" w14:textId="77777777" w:rsidR="00833634" w:rsidRDefault="00E15D51">
            <w:pPr>
              <w:jc w:val="right"/>
              <w:textAlignment w:val="bottom"/>
            </w:pPr>
            <w:hyperlink r:id="rId12" w:anchor="i8d805bfb1e1c4815a1dcd5b6d1e0b117_22" w:history="1">
              <w:r>
                <w:rPr>
                  <w:rStyle w:val="a5"/>
                  <w:rFonts w:ascii="Arial" w:eastAsia="宋体" w:hAnsi="Arial" w:cs="Arial"/>
                  <w:sz w:val="16"/>
                  <w:szCs w:val="16"/>
                </w:rPr>
                <w:t>2</w:t>
              </w:r>
            </w:hyperlink>
          </w:p>
        </w:tc>
      </w:tr>
      <w:tr w:rsidR="00833634" w14:paraId="4090D769" w14:textId="77777777">
        <w:trPr>
          <w:jc w:val="center"/>
        </w:trPr>
        <w:tc>
          <w:tcPr>
            <w:tcW w:w="0" w:type="auto"/>
            <w:gridSpan w:val="3"/>
            <w:shd w:val="clear" w:color="auto" w:fill="auto"/>
            <w:tcMar>
              <w:top w:w="0" w:type="dxa"/>
              <w:left w:w="20" w:type="dxa"/>
              <w:bottom w:w="0" w:type="dxa"/>
              <w:right w:w="20" w:type="dxa"/>
            </w:tcMar>
          </w:tcPr>
          <w:p w14:paraId="4090D76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67" w14:textId="77777777" w:rsidR="00833634" w:rsidRDefault="00E15D51">
            <w:pPr>
              <w:textAlignment w:val="bottom"/>
            </w:pPr>
            <w:hyperlink r:id="rId13" w:anchor="i8d805bfb1e1c4815a1dcd5b6d1e0b117_28" w:history="1">
              <w:r>
                <w:rPr>
                  <w:rStyle w:val="a5"/>
                  <w:rFonts w:ascii="Arial" w:eastAsia="宋体" w:hAnsi="Arial" w:cs="Arial"/>
                  <w:sz w:val="16"/>
                  <w:szCs w:val="16"/>
                </w:rPr>
                <w:t>Condensed Consolidated Statements of Financial Position</w:t>
              </w:r>
            </w:hyperlink>
          </w:p>
        </w:tc>
        <w:tc>
          <w:tcPr>
            <w:tcW w:w="0" w:type="auto"/>
            <w:gridSpan w:val="3"/>
            <w:shd w:val="clear" w:color="auto" w:fill="auto"/>
            <w:tcMar>
              <w:top w:w="40" w:type="dxa"/>
              <w:left w:w="20" w:type="dxa"/>
              <w:bottom w:w="40" w:type="dxa"/>
              <w:right w:w="20" w:type="dxa"/>
            </w:tcMar>
            <w:vAlign w:val="bottom"/>
          </w:tcPr>
          <w:p w14:paraId="4090D768" w14:textId="77777777" w:rsidR="00833634" w:rsidRDefault="00E15D51">
            <w:pPr>
              <w:jc w:val="right"/>
              <w:textAlignment w:val="bottom"/>
            </w:pPr>
            <w:hyperlink r:id="rId14" w:anchor="i8d805bfb1e1c4815a1dcd5b6d1e0b117_28" w:history="1">
              <w:r>
                <w:rPr>
                  <w:rStyle w:val="a5"/>
                  <w:rFonts w:ascii="Arial" w:eastAsia="宋体" w:hAnsi="Arial" w:cs="Arial"/>
                  <w:sz w:val="16"/>
                  <w:szCs w:val="16"/>
                </w:rPr>
                <w:t>3</w:t>
              </w:r>
            </w:hyperlink>
          </w:p>
        </w:tc>
      </w:tr>
      <w:tr w:rsidR="00833634" w14:paraId="4090D76D" w14:textId="77777777">
        <w:trPr>
          <w:jc w:val="center"/>
        </w:trPr>
        <w:tc>
          <w:tcPr>
            <w:tcW w:w="0" w:type="auto"/>
            <w:gridSpan w:val="3"/>
            <w:shd w:val="clear" w:color="auto" w:fill="auto"/>
            <w:tcMar>
              <w:top w:w="0" w:type="dxa"/>
              <w:left w:w="20" w:type="dxa"/>
              <w:bottom w:w="0" w:type="dxa"/>
              <w:right w:w="20" w:type="dxa"/>
            </w:tcMar>
          </w:tcPr>
          <w:p w14:paraId="4090D76A"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6B" w14:textId="77777777" w:rsidR="00833634" w:rsidRDefault="00E15D51">
            <w:pPr>
              <w:textAlignment w:val="bottom"/>
            </w:pPr>
            <w:hyperlink r:id="rId15" w:anchor="i8d805bfb1e1c4815a1dcd5b6d1e0b117_34" w:history="1">
              <w:r>
                <w:rPr>
                  <w:rStyle w:val="a5"/>
                  <w:rFonts w:ascii="Arial" w:eastAsia="宋体" w:hAnsi="Arial" w:cs="Arial"/>
                  <w:sz w:val="16"/>
                  <w:szCs w:val="16"/>
                </w:rPr>
                <w:t>Condensed Consolidated Statements of Cash Flows</w:t>
              </w:r>
            </w:hyperlink>
          </w:p>
        </w:tc>
        <w:tc>
          <w:tcPr>
            <w:tcW w:w="0" w:type="auto"/>
            <w:gridSpan w:val="3"/>
            <w:shd w:val="clear" w:color="auto" w:fill="auto"/>
            <w:tcMar>
              <w:top w:w="40" w:type="dxa"/>
              <w:left w:w="20" w:type="dxa"/>
              <w:bottom w:w="40" w:type="dxa"/>
              <w:right w:w="20" w:type="dxa"/>
            </w:tcMar>
            <w:vAlign w:val="bottom"/>
          </w:tcPr>
          <w:p w14:paraId="4090D76C" w14:textId="77777777" w:rsidR="00833634" w:rsidRDefault="00E15D51">
            <w:pPr>
              <w:jc w:val="right"/>
              <w:textAlignment w:val="bottom"/>
            </w:pPr>
            <w:hyperlink r:id="rId16" w:anchor="i8d805bfb1e1c4815a1dcd5b6d1e0b117_34" w:history="1">
              <w:r>
                <w:rPr>
                  <w:rStyle w:val="a5"/>
                  <w:rFonts w:ascii="Arial" w:eastAsia="宋体" w:hAnsi="Arial" w:cs="Arial"/>
                  <w:sz w:val="16"/>
                  <w:szCs w:val="16"/>
                </w:rPr>
                <w:t>4</w:t>
              </w:r>
            </w:hyperlink>
          </w:p>
        </w:tc>
      </w:tr>
      <w:tr w:rsidR="00833634" w14:paraId="4090D771" w14:textId="77777777">
        <w:trPr>
          <w:jc w:val="center"/>
        </w:trPr>
        <w:tc>
          <w:tcPr>
            <w:tcW w:w="0" w:type="auto"/>
            <w:gridSpan w:val="3"/>
            <w:shd w:val="clear" w:color="auto" w:fill="auto"/>
            <w:tcMar>
              <w:top w:w="0" w:type="dxa"/>
              <w:left w:w="20" w:type="dxa"/>
              <w:bottom w:w="0" w:type="dxa"/>
              <w:right w:w="20" w:type="dxa"/>
            </w:tcMar>
          </w:tcPr>
          <w:p w14:paraId="4090D76E"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6F" w14:textId="77777777" w:rsidR="00833634" w:rsidRDefault="00E15D51">
            <w:pPr>
              <w:textAlignment w:val="bottom"/>
            </w:pPr>
            <w:hyperlink r:id="rId17" w:anchor="i8d805bfb1e1c4815a1dcd5b6d1e0b117_37" w:history="1">
              <w:r>
                <w:rPr>
                  <w:rStyle w:val="a5"/>
                  <w:rFonts w:ascii="Arial" w:eastAsia="宋体" w:hAnsi="Arial" w:cs="Arial"/>
                  <w:sz w:val="16"/>
                  <w:szCs w:val="16"/>
                </w:rPr>
                <w:t>Condensed Consolidated Statements of Equity</w:t>
              </w:r>
            </w:hyperlink>
          </w:p>
        </w:tc>
        <w:tc>
          <w:tcPr>
            <w:tcW w:w="0" w:type="auto"/>
            <w:gridSpan w:val="3"/>
            <w:shd w:val="clear" w:color="auto" w:fill="auto"/>
            <w:tcMar>
              <w:top w:w="40" w:type="dxa"/>
              <w:left w:w="20" w:type="dxa"/>
              <w:bottom w:w="40" w:type="dxa"/>
              <w:right w:w="20" w:type="dxa"/>
            </w:tcMar>
            <w:vAlign w:val="bottom"/>
          </w:tcPr>
          <w:p w14:paraId="4090D770" w14:textId="77777777" w:rsidR="00833634" w:rsidRDefault="00E15D51">
            <w:pPr>
              <w:jc w:val="right"/>
              <w:textAlignment w:val="bottom"/>
            </w:pPr>
            <w:hyperlink r:id="rId18" w:anchor="i8d805bfb1e1c4815a1dcd5b6d1e0b117_37" w:history="1">
              <w:r>
                <w:rPr>
                  <w:rStyle w:val="a5"/>
                  <w:rFonts w:ascii="Arial" w:eastAsia="宋体" w:hAnsi="Arial" w:cs="Arial"/>
                  <w:sz w:val="16"/>
                  <w:szCs w:val="16"/>
                </w:rPr>
                <w:t>5</w:t>
              </w:r>
            </w:hyperlink>
          </w:p>
        </w:tc>
      </w:tr>
      <w:tr w:rsidR="00833634" w14:paraId="4090D775" w14:textId="77777777">
        <w:trPr>
          <w:jc w:val="center"/>
        </w:trPr>
        <w:tc>
          <w:tcPr>
            <w:tcW w:w="0" w:type="auto"/>
            <w:gridSpan w:val="3"/>
            <w:shd w:val="clear" w:color="auto" w:fill="auto"/>
            <w:tcMar>
              <w:top w:w="0" w:type="dxa"/>
              <w:left w:w="20" w:type="dxa"/>
              <w:bottom w:w="0" w:type="dxa"/>
              <w:right w:w="20" w:type="dxa"/>
            </w:tcMar>
          </w:tcPr>
          <w:p w14:paraId="4090D77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73" w14:textId="77777777" w:rsidR="00833634" w:rsidRDefault="00E15D51">
            <w:pPr>
              <w:textAlignment w:val="bottom"/>
            </w:pPr>
            <w:hyperlink r:id="rId19" w:anchor="i8d805bfb1e1c4815a1dcd5b6d1e0b117_43" w:history="1">
              <w:r>
                <w:rPr>
                  <w:rStyle w:val="a5"/>
                  <w:rFonts w:ascii="Arial" w:eastAsia="宋体" w:hAnsi="Arial" w:cs="Arial"/>
                  <w:sz w:val="16"/>
                  <w:szCs w:val="16"/>
                </w:rPr>
                <w:t>Summary of Business Segment Data</w:t>
              </w:r>
            </w:hyperlink>
          </w:p>
        </w:tc>
        <w:tc>
          <w:tcPr>
            <w:tcW w:w="0" w:type="auto"/>
            <w:gridSpan w:val="3"/>
            <w:shd w:val="clear" w:color="auto" w:fill="auto"/>
            <w:tcMar>
              <w:top w:w="40" w:type="dxa"/>
              <w:left w:w="20" w:type="dxa"/>
              <w:bottom w:w="40" w:type="dxa"/>
              <w:right w:w="20" w:type="dxa"/>
            </w:tcMar>
            <w:vAlign w:val="bottom"/>
          </w:tcPr>
          <w:p w14:paraId="4090D774" w14:textId="77777777" w:rsidR="00833634" w:rsidRDefault="00E15D51">
            <w:pPr>
              <w:jc w:val="right"/>
              <w:textAlignment w:val="bottom"/>
            </w:pPr>
            <w:hyperlink r:id="rId20" w:anchor="i8d805bfb1e1c4815a1dcd5b6d1e0b117_43" w:history="1">
              <w:r>
                <w:rPr>
                  <w:rStyle w:val="a5"/>
                  <w:rFonts w:ascii="Arial" w:eastAsia="宋体" w:hAnsi="Arial" w:cs="Arial"/>
                  <w:sz w:val="16"/>
                  <w:szCs w:val="16"/>
                </w:rPr>
                <w:t>7</w:t>
              </w:r>
            </w:hyperlink>
          </w:p>
        </w:tc>
      </w:tr>
      <w:tr w:rsidR="00833634" w14:paraId="4090D779" w14:textId="77777777">
        <w:trPr>
          <w:jc w:val="center"/>
        </w:trPr>
        <w:tc>
          <w:tcPr>
            <w:tcW w:w="0" w:type="auto"/>
            <w:gridSpan w:val="3"/>
            <w:shd w:val="clear" w:color="auto" w:fill="auto"/>
            <w:tcMar>
              <w:top w:w="0" w:type="dxa"/>
              <w:left w:w="20" w:type="dxa"/>
              <w:bottom w:w="0" w:type="dxa"/>
              <w:right w:w="20" w:type="dxa"/>
            </w:tcMar>
          </w:tcPr>
          <w:p w14:paraId="4090D77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77" w14:textId="77777777" w:rsidR="00833634" w:rsidRDefault="00E15D51">
            <w:pPr>
              <w:textAlignment w:val="bottom"/>
            </w:pPr>
            <w:hyperlink r:id="rId21" w:anchor="i8d805bfb1e1c4815a1dcd5b6d1e0b117_46" w:history="1">
              <w:r>
                <w:rPr>
                  <w:rStyle w:val="a5"/>
                  <w:rFonts w:ascii="Arial" w:eastAsia="宋体" w:hAnsi="Arial" w:cs="Arial"/>
                  <w:sz w:val="16"/>
                  <w:szCs w:val="16"/>
                </w:rPr>
                <w:t>Note 1 - Basis of Pres</w:t>
              </w:r>
              <w:r>
                <w:rPr>
                  <w:rStyle w:val="a5"/>
                  <w:rFonts w:ascii="Arial" w:eastAsia="宋体" w:hAnsi="Arial" w:cs="Arial"/>
                  <w:sz w:val="16"/>
                  <w:szCs w:val="16"/>
                </w:rPr>
                <w:t>entation</w:t>
              </w:r>
            </w:hyperlink>
          </w:p>
        </w:tc>
        <w:tc>
          <w:tcPr>
            <w:tcW w:w="0" w:type="auto"/>
            <w:gridSpan w:val="3"/>
            <w:shd w:val="clear" w:color="auto" w:fill="auto"/>
            <w:tcMar>
              <w:top w:w="40" w:type="dxa"/>
              <w:left w:w="20" w:type="dxa"/>
              <w:bottom w:w="40" w:type="dxa"/>
              <w:right w:w="20" w:type="dxa"/>
            </w:tcMar>
            <w:vAlign w:val="bottom"/>
          </w:tcPr>
          <w:p w14:paraId="4090D778" w14:textId="77777777" w:rsidR="00833634" w:rsidRDefault="00E15D51">
            <w:pPr>
              <w:jc w:val="right"/>
              <w:textAlignment w:val="bottom"/>
            </w:pPr>
            <w:hyperlink r:id="rId22" w:anchor="i8d805bfb1e1c4815a1dcd5b6d1e0b117_46" w:history="1">
              <w:r>
                <w:rPr>
                  <w:rStyle w:val="a5"/>
                  <w:rFonts w:ascii="Arial" w:eastAsia="宋体" w:hAnsi="Arial" w:cs="Arial"/>
                  <w:sz w:val="16"/>
                  <w:szCs w:val="16"/>
                </w:rPr>
                <w:t>8</w:t>
              </w:r>
            </w:hyperlink>
          </w:p>
        </w:tc>
      </w:tr>
      <w:tr w:rsidR="00833634" w14:paraId="4090D77D" w14:textId="77777777">
        <w:trPr>
          <w:jc w:val="center"/>
        </w:trPr>
        <w:tc>
          <w:tcPr>
            <w:tcW w:w="0" w:type="auto"/>
            <w:gridSpan w:val="3"/>
            <w:shd w:val="clear" w:color="auto" w:fill="auto"/>
            <w:tcMar>
              <w:top w:w="0" w:type="dxa"/>
              <w:left w:w="20" w:type="dxa"/>
              <w:bottom w:w="0" w:type="dxa"/>
              <w:right w:w="20" w:type="dxa"/>
            </w:tcMar>
          </w:tcPr>
          <w:p w14:paraId="4090D77A"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7B" w14:textId="77777777" w:rsidR="00833634" w:rsidRDefault="00E15D51">
            <w:pPr>
              <w:textAlignment w:val="bottom"/>
            </w:pPr>
            <w:hyperlink r:id="rId23" w:anchor="i8d805bfb1e1c4815a1dcd5b6d1e0b117_55" w:history="1">
              <w:r>
                <w:rPr>
                  <w:rStyle w:val="a5"/>
                  <w:rFonts w:ascii="Arial" w:eastAsia="宋体" w:hAnsi="Arial" w:cs="Arial"/>
                  <w:sz w:val="16"/>
                  <w:szCs w:val="16"/>
                </w:rPr>
                <w:t>Note 2 - Goodwill and Acquired Intangibles</w:t>
              </w:r>
            </w:hyperlink>
          </w:p>
        </w:tc>
        <w:tc>
          <w:tcPr>
            <w:tcW w:w="0" w:type="auto"/>
            <w:gridSpan w:val="3"/>
            <w:shd w:val="clear" w:color="auto" w:fill="auto"/>
            <w:tcMar>
              <w:top w:w="40" w:type="dxa"/>
              <w:left w:w="20" w:type="dxa"/>
              <w:bottom w:w="40" w:type="dxa"/>
              <w:right w:w="20" w:type="dxa"/>
            </w:tcMar>
            <w:vAlign w:val="bottom"/>
          </w:tcPr>
          <w:p w14:paraId="4090D77C" w14:textId="77777777" w:rsidR="00833634" w:rsidRDefault="00E15D51">
            <w:pPr>
              <w:jc w:val="right"/>
              <w:textAlignment w:val="bottom"/>
            </w:pPr>
            <w:hyperlink r:id="rId24" w:anchor="i8d805bfb1e1c4815a1dcd5b6d1e0b117_55" w:history="1">
              <w:r>
                <w:rPr>
                  <w:rStyle w:val="a5"/>
                  <w:rFonts w:ascii="Arial" w:eastAsia="宋体" w:hAnsi="Arial" w:cs="Arial"/>
                  <w:sz w:val="16"/>
                  <w:szCs w:val="16"/>
                </w:rPr>
                <w:t>10</w:t>
              </w:r>
            </w:hyperlink>
          </w:p>
        </w:tc>
      </w:tr>
      <w:tr w:rsidR="00833634" w14:paraId="4090D781" w14:textId="77777777">
        <w:trPr>
          <w:jc w:val="center"/>
        </w:trPr>
        <w:tc>
          <w:tcPr>
            <w:tcW w:w="0" w:type="auto"/>
            <w:gridSpan w:val="3"/>
            <w:shd w:val="clear" w:color="auto" w:fill="auto"/>
            <w:tcMar>
              <w:top w:w="0" w:type="dxa"/>
              <w:left w:w="20" w:type="dxa"/>
              <w:bottom w:w="0" w:type="dxa"/>
              <w:right w:w="20" w:type="dxa"/>
            </w:tcMar>
          </w:tcPr>
          <w:p w14:paraId="4090D77E"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7F" w14:textId="77777777" w:rsidR="00833634" w:rsidRDefault="00E15D51">
            <w:pPr>
              <w:textAlignment w:val="bottom"/>
            </w:pPr>
            <w:hyperlink r:id="rId25" w:anchor="i8d805bfb1e1c4815a1dcd5b6d1e0b117_58" w:history="1">
              <w:r>
                <w:rPr>
                  <w:rStyle w:val="a5"/>
                  <w:rFonts w:ascii="Arial" w:eastAsia="宋体" w:hAnsi="Arial" w:cs="Arial"/>
                  <w:sz w:val="16"/>
                  <w:szCs w:val="16"/>
                </w:rPr>
                <w:t>Note 3 - Earnings Per Share</w:t>
              </w:r>
            </w:hyperlink>
          </w:p>
        </w:tc>
        <w:tc>
          <w:tcPr>
            <w:tcW w:w="0" w:type="auto"/>
            <w:gridSpan w:val="3"/>
            <w:shd w:val="clear" w:color="auto" w:fill="auto"/>
            <w:tcMar>
              <w:top w:w="40" w:type="dxa"/>
              <w:left w:w="20" w:type="dxa"/>
              <w:bottom w:w="40" w:type="dxa"/>
              <w:right w:w="20" w:type="dxa"/>
            </w:tcMar>
            <w:vAlign w:val="bottom"/>
          </w:tcPr>
          <w:p w14:paraId="4090D780" w14:textId="77777777" w:rsidR="00833634" w:rsidRDefault="00E15D51">
            <w:pPr>
              <w:jc w:val="right"/>
              <w:textAlignment w:val="bottom"/>
            </w:pPr>
            <w:hyperlink r:id="rId26" w:anchor="i8d805bfb1e1c4815a1dcd5b6d1e0b117_58" w:history="1">
              <w:r>
                <w:rPr>
                  <w:rStyle w:val="a5"/>
                  <w:rFonts w:ascii="Arial" w:eastAsia="宋体" w:hAnsi="Arial" w:cs="Arial"/>
                  <w:sz w:val="16"/>
                  <w:szCs w:val="16"/>
                </w:rPr>
                <w:t>11</w:t>
              </w:r>
            </w:hyperlink>
          </w:p>
        </w:tc>
      </w:tr>
      <w:tr w:rsidR="00833634" w14:paraId="4090D785" w14:textId="77777777">
        <w:trPr>
          <w:jc w:val="center"/>
        </w:trPr>
        <w:tc>
          <w:tcPr>
            <w:tcW w:w="0" w:type="auto"/>
            <w:gridSpan w:val="3"/>
            <w:shd w:val="clear" w:color="auto" w:fill="auto"/>
            <w:tcMar>
              <w:top w:w="0" w:type="dxa"/>
              <w:left w:w="20" w:type="dxa"/>
              <w:bottom w:w="0" w:type="dxa"/>
              <w:right w:w="20" w:type="dxa"/>
            </w:tcMar>
          </w:tcPr>
          <w:p w14:paraId="4090D78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83" w14:textId="77777777" w:rsidR="00833634" w:rsidRDefault="00E15D51">
            <w:pPr>
              <w:textAlignment w:val="bottom"/>
            </w:pPr>
            <w:hyperlink r:id="rId27" w:anchor="i8d805bfb1e1c4815a1dcd5b6d1e0b117_61" w:history="1">
              <w:r>
                <w:rPr>
                  <w:rStyle w:val="a5"/>
                  <w:rFonts w:ascii="Arial" w:eastAsia="宋体" w:hAnsi="Arial" w:cs="Arial"/>
                  <w:sz w:val="16"/>
                  <w:szCs w:val="16"/>
                </w:rPr>
                <w:t>Note 4 - Income Taxes</w:t>
              </w:r>
            </w:hyperlink>
          </w:p>
        </w:tc>
        <w:tc>
          <w:tcPr>
            <w:tcW w:w="0" w:type="auto"/>
            <w:gridSpan w:val="3"/>
            <w:shd w:val="clear" w:color="auto" w:fill="auto"/>
            <w:tcMar>
              <w:top w:w="40" w:type="dxa"/>
              <w:left w:w="20" w:type="dxa"/>
              <w:bottom w:w="40" w:type="dxa"/>
              <w:right w:w="20" w:type="dxa"/>
            </w:tcMar>
            <w:vAlign w:val="bottom"/>
          </w:tcPr>
          <w:p w14:paraId="4090D784" w14:textId="77777777" w:rsidR="00833634" w:rsidRDefault="00E15D51">
            <w:pPr>
              <w:jc w:val="right"/>
              <w:textAlignment w:val="bottom"/>
            </w:pPr>
            <w:hyperlink r:id="rId28" w:anchor="i8d805bfb1e1c4815a1dcd5b6d1e0b117_61" w:history="1">
              <w:r>
                <w:rPr>
                  <w:rStyle w:val="a5"/>
                  <w:rFonts w:ascii="Arial" w:eastAsia="宋体" w:hAnsi="Arial" w:cs="Arial"/>
                  <w:sz w:val="16"/>
                  <w:szCs w:val="16"/>
                </w:rPr>
                <w:t>12</w:t>
              </w:r>
            </w:hyperlink>
          </w:p>
        </w:tc>
      </w:tr>
      <w:tr w:rsidR="00833634" w14:paraId="4090D789" w14:textId="77777777">
        <w:trPr>
          <w:jc w:val="center"/>
        </w:trPr>
        <w:tc>
          <w:tcPr>
            <w:tcW w:w="0" w:type="auto"/>
            <w:gridSpan w:val="3"/>
            <w:shd w:val="clear" w:color="auto" w:fill="auto"/>
            <w:tcMar>
              <w:top w:w="0" w:type="dxa"/>
              <w:left w:w="20" w:type="dxa"/>
              <w:bottom w:w="0" w:type="dxa"/>
              <w:right w:w="20" w:type="dxa"/>
            </w:tcMar>
          </w:tcPr>
          <w:p w14:paraId="4090D78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87" w14:textId="77777777" w:rsidR="00833634" w:rsidRDefault="00E15D51">
            <w:pPr>
              <w:textAlignment w:val="bottom"/>
            </w:pPr>
            <w:hyperlink r:id="rId29" w:anchor="i8d805bfb1e1c4815a1dcd5b6d1e0b117_67" w:history="1">
              <w:r>
                <w:rPr>
                  <w:rStyle w:val="a5"/>
                  <w:rFonts w:ascii="Arial" w:eastAsia="宋体" w:hAnsi="Arial" w:cs="Arial"/>
                  <w:sz w:val="16"/>
                  <w:szCs w:val="16"/>
                </w:rPr>
                <w:t>Note 5 - Allowance for Losses on Financial Assets</w:t>
              </w:r>
            </w:hyperlink>
          </w:p>
        </w:tc>
        <w:tc>
          <w:tcPr>
            <w:tcW w:w="0" w:type="auto"/>
            <w:gridSpan w:val="3"/>
            <w:shd w:val="clear" w:color="auto" w:fill="auto"/>
            <w:tcMar>
              <w:top w:w="40" w:type="dxa"/>
              <w:left w:w="20" w:type="dxa"/>
              <w:bottom w:w="40" w:type="dxa"/>
              <w:right w:w="20" w:type="dxa"/>
            </w:tcMar>
            <w:vAlign w:val="bottom"/>
          </w:tcPr>
          <w:p w14:paraId="4090D788" w14:textId="77777777" w:rsidR="00833634" w:rsidRDefault="00E15D51">
            <w:pPr>
              <w:jc w:val="right"/>
              <w:textAlignment w:val="bottom"/>
            </w:pPr>
            <w:hyperlink r:id="rId30" w:anchor="i8d805bfb1e1c4815a1dcd5b6d1e0b117_67" w:history="1">
              <w:r>
                <w:rPr>
                  <w:rStyle w:val="a5"/>
                  <w:rFonts w:ascii="Arial" w:eastAsia="宋体" w:hAnsi="Arial" w:cs="Arial"/>
                  <w:sz w:val="16"/>
                  <w:szCs w:val="16"/>
                </w:rPr>
                <w:t>13</w:t>
              </w:r>
            </w:hyperlink>
          </w:p>
        </w:tc>
      </w:tr>
      <w:tr w:rsidR="00833634" w14:paraId="4090D78D" w14:textId="77777777">
        <w:trPr>
          <w:jc w:val="center"/>
        </w:trPr>
        <w:tc>
          <w:tcPr>
            <w:tcW w:w="0" w:type="auto"/>
            <w:gridSpan w:val="3"/>
            <w:shd w:val="clear" w:color="auto" w:fill="auto"/>
            <w:tcMar>
              <w:top w:w="0" w:type="dxa"/>
              <w:left w:w="20" w:type="dxa"/>
              <w:bottom w:w="0" w:type="dxa"/>
              <w:right w:w="20" w:type="dxa"/>
            </w:tcMar>
          </w:tcPr>
          <w:p w14:paraId="4090D78A"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8B" w14:textId="77777777" w:rsidR="00833634" w:rsidRDefault="00E15D51">
            <w:pPr>
              <w:textAlignment w:val="bottom"/>
            </w:pPr>
            <w:hyperlink r:id="rId31" w:anchor="i8d805bfb1e1c4815a1dcd5b6d1e0b117_70" w:history="1">
              <w:r>
                <w:rPr>
                  <w:rStyle w:val="a5"/>
                  <w:rFonts w:ascii="Arial" w:eastAsia="宋体" w:hAnsi="Arial" w:cs="Arial"/>
                  <w:sz w:val="16"/>
                  <w:szCs w:val="16"/>
                </w:rPr>
                <w:t>Note 6 - Inventories</w:t>
              </w:r>
            </w:hyperlink>
          </w:p>
        </w:tc>
        <w:tc>
          <w:tcPr>
            <w:tcW w:w="0" w:type="auto"/>
            <w:gridSpan w:val="3"/>
            <w:shd w:val="clear" w:color="auto" w:fill="auto"/>
            <w:tcMar>
              <w:top w:w="40" w:type="dxa"/>
              <w:left w:w="20" w:type="dxa"/>
              <w:bottom w:w="40" w:type="dxa"/>
              <w:right w:w="20" w:type="dxa"/>
            </w:tcMar>
            <w:vAlign w:val="bottom"/>
          </w:tcPr>
          <w:p w14:paraId="4090D78C" w14:textId="77777777" w:rsidR="00833634" w:rsidRDefault="00E15D51">
            <w:pPr>
              <w:jc w:val="right"/>
              <w:textAlignment w:val="bottom"/>
            </w:pPr>
            <w:hyperlink r:id="rId32" w:anchor="i8d805bfb1e1c4815a1dcd5b6d1e0b117_70" w:history="1">
              <w:r>
                <w:rPr>
                  <w:rStyle w:val="a5"/>
                  <w:rFonts w:ascii="Arial" w:eastAsia="宋体" w:hAnsi="Arial" w:cs="Arial"/>
                  <w:sz w:val="16"/>
                  <w:szCs w:val="16"/>
                </w:rPr>
                <w:t>13</w:t>
              </w:r>
            </w:hyperlink>
          </w:p>
        </w:tc>
      </w:tr>
      <w:tr w:rsidR="00833634" w14:paraId="4090D791" w14:textId="77777777">
        <w:trPr>
          <w:jc w:val="center"/>
        </w:trPr>
        <w:tc>
          <w:tcPr>
            <w:tcW w:w="0" w:type="auto"/>
            <w:gridSpan w:val="3"/>
            <w:shd w:val="clear" w:color="auto" w:fill="auto"/>
            <w:tcMar>
              <w:top w:w="0" w:type="dxa"/>
              <w:left w:w="20" w:type="dxa"/>
              <w:bottom w:w="0" w:type="dxa"/>
              <w:right w:w="20" w:type="dxa"/>
            </w:tcMar>
          </w:tcPr>
          <w:p w14:paraId="4090D78E"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8F" w14:textId="77777777" w:rsidR="00833634" w:rsidRDefault="00E15D51">
            <w:pPr>
              <w:textAlignment w:val="bottom"/>
            </w:pPr>
            <w:hyperlink r:id="rId33" w:anchor="i8d805bfb1e1c4815a1dcd5b6d1e0b117_76" w:history="1">
              <w:r>
                <w:rPr>
                  <w:rStyle w:val="a5"/>
                  <w:rFonts w:ascii="Arial" w:eastAsia="宋体" w:hAnsi="Arial" w:cs="Arial"/>
                  <w:sz w:val="16"/>
                  <w:szCs w:val="16"/>
                </w:rPr>
                <w:t>Note 7 - Contracts with Customers</w:t>
              </w:r>
            </w:hyperlink>
          </w:p>
        </w:tc>
        <w:tc>
          <w:tcPr>
            <w:tcW w:w="0" w:type="auto"/>
            <w:gridSpan w:val="3"/>
            <w:shd w:val="clear" w:color="auto" w:fill="auto"/>
            <w:tcMar>
              <w:top w:w="40" w:type="dxa"/>
              <w:left w:w="20" w:type="dxa"/>
              <w:bottom w:w="40" w:type="dxa"/>
              <w:right w:w="20" w:type="dxa"/>
            </w:tcMar>
            <w:vAlign w:val="bottom"/>
          </w:tcPr>
          <w:p w14:paraId="4090D790" w14:textId="77777777" w:rsidR="00833634" w:rsidRDefault="00E15D51">
            <w:pPr>
              <w:jc w:val="right"/>
              <w:textAlignment w:val="bottom"/>
            </w:pPr>
            <w:hyperlink r:id="rId34" w:anchor="i8d805bfb1e1c4815a1dcd5b6d1e0b117_76" w:history="1">
              <w:r>
                <w:rPr>
                  <w:rStyle w:val="a5"/>
                  <w:rFonts w:ascii="Arial" w:eastAsia="宋体" w:hAnsi="Arial" w:cs="Arial"/>
                  <w:sz w:val="16"/>
                  <w:szCs w:val="16"/>
                </w:rPr>
                <w:t>14</w:t>
              </w:r>
            </w:hyperlink>
          </w:p>
        </w:tc>
      </w:tr>
      <w:tr w:rsidR="00833634" w14:paraId="4090D795" w14:textId="77777777">
        <w:trPr>
          <w:jc w:val="center"/>
        </w:trPr>
        <w:tc>
          <w:tcPr>
            <w:tcW w:w="0" w:type="auto"/>
            <w:gridSpan w:val="3"/>
            <w:shd w:val="clear" w:color="auto" w:fill="auto"/>
            <w:tcMar>
              <w:top w:w="0" w:type="dxa"/>
              <w:left w:w="20" w:type="dxa"/>
              <w:bottom w:w="0" w:type="dxa"/>
              <w:right w:w="20" w:type="dxa"/>
            </w:tcMar>
          </w:tcPr>
          <w:p w14:paraId="4090D79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93" w14:textId="77777777" w:rsidR="00833634" w:rsidRDefault="00E15D51">
            <w:pPr>
              <w:textAlignment w:val="bottom"/>
            </w:pPr>
            <w:hyperlink r:id="rId35" w:anchor="i8d805bfb1e1c4815a1dcd5b6d1e0b117_79" w:history="1">
              <w:r>
                <w:rPr>
                  <w:rStyle w:val="a5"/>
                  <w:rFonts w:ascii="Arial" w:eastAsia="宋体" w:hAnsi="Arial" w:cs="Arial"/>
                  <w:sz w:val="16"/>
                  <w:szCs w:val="16"/>
                </w:rPr>
                <w:t>Note 8 - Customer Fi</w:t>
              </w:r>
              <w:r>
                <w:rPr>
                  <w:rStyle w:val="a5"/>
                  <w:rFonts w:ascii="Arial" w:eastAsia="宋体" w:hAnsi="Arial" w:cs="Arial"/>
                  <w:sz w:val="16"/>
                  <w:szCs w:val="16"/>
                </w:rPr>
                <w:t>nancing</w:t>
              </w:r>
            </w:hyperlink>
          </w:p>
        </w:tc>
        <w:tc>
          <w:tcPr>
            <w:tcW w:w="0" w:type="auto"/>
            <w:gridSpan w:val="3"/>
            <w:shd w:val="clear" w:color="auto" w:fill="auto"/>
            <w:tcMar>
              <w:top w:w="40" w:type="dxa"/>
              <w:left w:w="20" w:type="dxa"/>
              <w:bottom w:w="40" w:type="dxa"/>
              <w:right w:w="20" w:type="dxa"/>
            </w:tcMar>
            <w:vAlign w:val="bottom"/>
          </w:tcPr>
          <w:p w14:paraId="4090D794" w14:textId="77777777" w:rsidR="00833634" w:rsidRDefault="00E15D51">
            <w:pPr>
              <w:jc w:val="right"/>
              <w:textAlignment w:val="bottom"/>
            </w:pPr>
            <w:hyperlink r:id="rId36" w:anchor="i8d805bfb1e1c4815a1dcd5b6d1e0b117_79" w:history="1">
              <w:r>
                <w:rPr>
                  <w:rStyle w:val="a5"/>
                  <w:rFonts w:ascii="Arial" w:eastAsia="宋体" w:hAnsi="Arial" w:cs="Arial"/>
                  <w:sz w:val="16"/>
                  <w:szCs w:val="16"/>
                </w:rPr>
                <w:t>14</w:t>
              </w:r>
            </w:hyperlink>
          </w:p>
        </w:tc>
      </w:tr>
      <w:tr w:rsidR="00833634" w14:paraId="4090D799" w14:textId="77777777">
        <w:trPr>
          <w:jc w:val="center"/>
        </w:trPr>
        <w:tc>
          <w:tcPr>
            <w:tcW w:w="0" w:type="auto"/>
            <w:gridSpan w:val="3"/>
            <w:shd w:val="clear" w:color="auto" w:fill="auto"/>
            <w:tcMar>
              <w:top w:w="0" w:type="dxa"/>
              <w:left w:w="20" w:type="dxa"/>
              <w:bottom w:w="0" w:type="dxa"/>
              <w:right w:w="20" w:type="dxa"/>
            </w:tcMar>
          </w:tcPr>
          <w:p w14:paraId="4090D79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97" w14:textId="77777777" w:rsidR="00833634" w:rsidRDefault="00E15D51">
            <w:pPr>
              <w:textAlignment w:val="bottom"/>
            </w:pPr>
            <w:hyperlink r:id="rId37" w:anchor="i8d805bfb1e1c4815a1dcd5b6d1e0b117_85" w:history="1">
              <w:r>
                <w:rPr>
                  <w:rStyle w:val="a5"/>
                  <w:rFonts w:ascii="Arial" w:eastAsia="宋体" w:hAnsi="Arial" w:cs="Arial"/>
                  <w:sz w:val="16"/>
                  <w:szCs w:val="16"/>
                </w:rPr>
                <w:t>Note 9 - Investments</w:t>
              </w:r>
            </w:hyperlink>
          </w:p>
        </w:tc>
        <w:tc>
          <w:tcPr>
            <w:tcW w:w="0" w:type="auto"/>
            <w:gridSpan w:val="3"/>
            <w:shd w:val="clear" w:color="auto" w:fill="auto"/>
            <w:tcMar>
              <w:top w:w="40" w:type="dxa"/>
              <w:left w:w="20" w:type="dxa"/>
              <w:bottom w:w="40" w:type="dxa"/>
              <w:right w:w="20" w:type="dxa"/>
            </w:tcMar>
            <w:vAlign w:val="bottom"/>
          </w:tcPr>
          <w:p w14:paraId="4090D798" w14:textId="77777777" w:rsidR="00833634" w:rsidRDefault="00E15D51">
            <w:pPr>
              <w:jc w:val="right"/>
              <w:textAlignment w:val="bottom"/>
            </w:pPr>
            <w:hyperlink r:id="rId38" w:anchor="i8d805bfb1e1c4815a1dcd5b6d1e0b117_85" w:history="1">
              <w:r>
                <w:rPr>
                  <w:rStyle w:val="a5"/>
                  <w:rFonts w:ascii="Arial" w:eastAsia="宋体" w:hAnsi="Arial" w:cs="Arial"/>
                  <w:sz w:val="16"/>
                  <w:szCs w:val="16"/>
                </w:rPr>
                <w:t>16</w:t>
              </w:r>
            </w:hyperlink>
          </w:p>
        </w:tc>
      </w:tr>
      <w:tr w:rsidR="00833634" w14:paraId="4090D79D" w14:textId="77777777">
        <w:trPr>
          <w:jc w:val="center"/>
        </w:trPr>
        <w:tc>
          <w:tcPr>
            <w:tcW w:w="0" w:type="auto"/>
            <w:gridSpan w:val="3"/>
            <w:shd w:val="clear" w:color="auto" w:fill="auto"/>
            <w:tcMar>
              <w:top w:w="0" w:type="dxa"/>
              <w:left w:w="20" w:type="dxa"/>
              <w:bottom w:w="0" w:type="dxa"/>
              <w:right w:w="20" w:type="dxa"/>
            </w:tcMar>
          </w:tcPr>
          <w:p w14:paraId="4090D79A"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9B" w14:textId="77777777" w:rsidR="00833634" w:rsidRDefault="00E15D51">
            <w:pPr>
              <w:textAlignment w:val="bottom"/>
            </w:pPr>
            <w:hyperlink r:id="rId39" w:anchor="i8d805bfb1e1c4815a1dcd5b6d1e0b117_88" w:history="1">
              <w:r>
                <w:rPr>
                  <w:rStyle w:val="a5"/>
                  <w:rFonts w:ascii="Arial" w:eastAsia="宋体" w:hAnsi="Arial" w:cs="Arial"/>
                  <w:sz w:val="16"/>
                  <w:szCs w:val="16"/>
                </w:rPr>
                <w:t>Note 10 - Commitments &amp; Contingen</w:t>
              </w:r>
              <w:r>
                <w:rPr>
                  <w:rStyle w:val="a5"/>
                  <w:rFonts w:ascii="Arial" w:eastAsia="宋体" w:hAnsi="Arial" w:cs="Arial"/>
                  <w:sz w:val="16"/>
                  <w:szCs w:val="16"/>
                </w:rPr>
                <w:t>cies</w:t>
              </w:r>
            </w:hyperlink>
          </w:p>
        </w:tc>
        <w:tc>
          <w:tcPr>
            <w:tcW w:w="0" w:type="auto"/>
            <w:gridSpan w:val="3"/>
            <w:shd w:val="clear" w:color="auto" w:fill="auto"/>
            <w:tcMar>
              <w:top w:w="40" w:type="dxa"/>
              <w:left w:w="20" w:type="dxa"/>
              <w:bottom w:w="40" w:type="dxa"/>
              <w:right w:w="20" w:type="dxa"/>
            </w:tcMar>
            <w:vAlign w:val="bottom"/>
          </w:tcPr>
          <w:p w14:paraId="4090D79C" w14:textId="77777777" w:rsidR="00833634" w:rsidRDefault="00E15D51">
            <w:pPr>
              <w:jc w:val="right"/>
              <w:textAlignment w:val="bottom"/>
            </w:pPr>
            <w:hyperlink r:id="rId40" w:anchor="i8d805bfb1e1c4815a1dcd5b6d1e0b117_88" w:history="1">
              <w:r>
                <w:rPr>
                  <w:rStyle w:val="a5"/>
                  <w:rFonts w:ascii="Arial" w:eastAsia="宋体" w:hAnsi="Arial" w:cs="Arial"/>
                  <w:sz w:val="16"/>
                  <w:szCs w:val="16"/>
                </w:rPr>
                <w:t>16</w:t>
              </w:r>
            </w:hyperlink>
          </w:p>
        </w:tc>
      </w:tr>
      <w:tr w:rsidR="00833634" w14:paraId="4090D7A1" w14:textId="77777777">
        <w:trPr>
          <w:jc w:val="center"/>
        </w:trPr>
        <w:tc>
          <w:tcPr>
            <w:tcW w:w="0" w:type="auto"/>
            <w:gridSpan w:val="3"/>
            <w:shd w:val="clear" w:color="auto" w:fill="auto"/>
            <w:tcMar>
              <w:top w:w="0" w:type="dxa"/>
              <w:left w:w="20" w:type="dxa"/>
              <w:bottom w:w="0" w:type="dxa"/>
              <w:right w:w="20" w:type="dxa"/>
            </w:tcMar>
          </w:tcPr>
          <w:p w14:paraId="4090D79E"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9F" w14:textId="77777777" w:rsidR="00833634" w:rsidRDefault="00E15D51">
            <w:pPr>
              <w:textAlignment w:val="bottom"/>
            </w:pPr>
            <w:hyperlink r:id="rId41" w:anchor="i8d805bfb1e1c4815a1dcd5b6d1e0b117_94" w:history="1">
              <w:r>
                <w:rPr>
                  <w:rStyle w:val="a5"/>
                  <w:rFonts w:ascii="Arial" w:eastAsia="宋体" w:hAnsi="Arial" w:cs="Arial"/>
                  <w:sz w:val="16"/>
                  <w:szCs w:val="16"/>
                </w:rPr>
                <w:t>Note 11 - Arrangements with Off-Balance Sheet Risk</w:t>
              </w:r>
            </w:hyperlink>
          </w:p>
        </w:tc>
        <w:tc>
          <w:tcPr>
            <w:tcW w:w="0" w:type="auto"/>
            <w:gridSpan w:val="3"/>
            <w:shd w:val="clear" w:color="auto" w:fill="auto"/>
            <w:tcMar>
              <w:top w:w="40" w:type="dxa"/>
              <w:left w:w="20" w:type="dxa"/>
              <w:bottom w:w="40" w:type="dxa"/>
              <w:right w:w="20" w:type="dxa"/>
            </w:tcMar>
            <w:vAlign w:val="bottom"/>
          </w:tcPr>
          <w:p w14:paraId="4090D7A0" w14:textId="77777777" w:rsidR="00833634" w:rsidRDefault="00E15D51">
            <w:pPr>
              <w:jc w:val="right"/>
              <w:textAlignment w:val="bottom"/>
            </w:pPr>
            <w:hyperlink r:id="rId42" w:anchor="i8d805bfb1e1c4815a1dcd5b6d1e0b117_94" w:history="1">
              <w:r>
                <w:rPr>
                  <w:rStyle w:val="a5"/>
                  <w:rFonts w:ascii="Arial" w:eastAsia="宋体" w:hAnsi="Arial" w:cs="Arial"/>
                  <w:sz w:val="16"/>
                  <w:szCs w:val="16"/>
                </w:rPr>
                <w:t>23</w:t>
              </w:r>
            </w:hyperlink>
          </w:p>
        </w:tc>
      </w:tr>
      <w:tr w:rsidR="00833634" w14:paraId="4090D7A5" w14:textId="77777777">
        <w:trPr>
          <w:jc w:val="center"/>
        </w:trPr>
        <w:tc>
          <w:tcPr>
            <w:tcW w:w="0" w:type="auto"/>
            <w:gridSpan w:val="3"/>
            <w:shd w:val="clear" w:color="auto" w:fill="auto"/>
            <w:tcMar>
              <w:top w:w="0" w:type="dxa"/>
              <w:left w:w="20" w:type="dxa"/>
              <w:bottom w:w="0" w:type="dxa"/>
              <w:right w:w="20" w:type="dxa"/>
            </w:tcMar>
          </w:tcPr>
          <w:p w14:paraId="4090D7A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A3" w14:textId="77777777" w:rsidR="00833634" w:rsidRDefault="00E15D51">
            <w:pPr>
              <w:textAlignment w:val="bottom"/>
            </w:pPr>
            <w:hyperlink r:id="rId43" w:anchor="i8d805bfb1e1c4815a1dcd5b6d1e0b117_100" w:history="1">
              <w:r>
                <w:rPr>
                  <w:rStyle w:val="a5"/>
                  <w:rFonts w:ascii="Arial" w:eastAsia="宋体" w:hAnsi="Arial" w:cs="Arial"/>
                  <w:sz w:val="16"/>
                  <w:szCs w:val="16"/>
                </w:rPr>
                <w:t>No</w:t>
              </w:r>
              <w:r>
                <w:rPr>
                  <w:rStyle w:val="a5"/>
                  <w:rFonts w:ascii="Arial" w:eastAsia="宋体" w:hAnsi="Arial" w:cs="Arial"/>
                  <w:sz w:val="16"/>
                  <w:szCs w:val="16"/>
                </w:rPr>
                <w:t>te 12 - Debt</w:t>
              </w:r>
            </w:hyperlink>
          </w:p>
        </w:tc>
        <w:tc>
          <w:tcPr>
            <w:tcW w:w="0" w:type="auto"/>
            <w:gridSpan w:val="3"/>
            <w:shd w:val="clear" w:color="auto" w:fill="auto"/>
            <w:tcMar>
              <w:top w:w="40" w:type="dxa"/>
              <w:left w:w="20" w:type="dxa"/>
              <w:bottom w:w="40" w:type="dxa"/>
              <w:right w:w="20" w:type="dxa"/>
            </w:tcMar>
            <w:vAlign w:val="bottom"/>
          </w:tcPr>
          <w:p w14:paraId="4090D7A4" w14:textId="77777777" w:rsidR="00833634" w:rsidRDefault="00E15D51">
            <w:pPr>
              <w:jc w:val="right"/>
              <w:textAlignment w:val="bottom"/>
            </w:pPr>
            <w:hyperlink r:id="rId44" w:anchor="i8d805bfb1e1c4815a1dcd5b6d1e0b117_100" w:history="1">
              <w:r>
                <w:rPr>
                  <w:rStyle w:val="a5"/>
                  <w:rFonts w:ascii="Arial" w:eastAsia="宋体" w:hAnsi="Arial" w:cs="Arial"/>
                  <w:sz w:val="16"/>
                  <w:szCs w:val="16"/>
                </w:rPr>
                <w:t>23</w:t>
              </w:r>
            </w:hyperlink>
          </w:p>
        </w:tc>
      </w:tr>
      <w:tr w:rsidR="00833634" w14:paraId="4090D7A9" w14:textId="77777777">
        <w:trPr>
          <w:jc w:val="center"/>
        </w:trPr>
        <w:tc>
          <w:tcPr>
            <w:tcW w:w="0" w:type="auto"/>
            <w:gridSpan w:val="3"/>
            <w:shd w:val="clear" w:color="auto" w:fill="auto"/>
            <w:tcMar>
              <w:top w:w="0" w:type="dxa"/>
              <w:left w:w="20" w:type="dxa"/>
              <w:bottom w:w="0" w:type="dxa"/>
              <w:right w:w="20" w:type="dxa"/>
            </w:tcMar>
          </w:tcPr>
          <w:p w14:paraId="4090D7A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A7" w14:textId="77777777" w:rsidR="00833634" w:rsidRDefault="00E15D51">
            <w:pPr>
              <w:textAlignment w:val="bottom"/>
            </w:pPr>
            <w:hyperlink r:id="rId45" w:anchor="i8d805bfb1e1c4815a1dcd5b6d1e0b117_103" w:history="1">
              <w:r>
                <w:rPr>
                  <w:rStyle w:val="a5"/>
                  <w:rFonts w:ascii="Arial" w:eastAsia="宋体" w:hAnsi="Arial" w:cs="Arial"/>
                  <w:sz w:val="16"/>
                  <w:szCs w:val="16"/>
                </w:rPr>
                <w:t>Note 13 - Postretirement Plans</w:t>
              </w:r>
            </w:hyperlink>
          </w:p>
        </w:tc>
        <w:tc>
          <w:tcPr>
            <w:tcW w:w="0" w:type="auto"/>
            <w:gridSpan w:val="3"/>
            <w:shd w:val="clear" w:color="auto" w:fill="auto"/>
            <w:tcMar>
              <w:top w:w="40" w:type="dxa"/>
              <w:left w:w="20" w:type="dxa"/>
              <w:bottom w:w="40" w:type="dxa"/>
              <w:right w:w="20" w:type="dxa"/>
            </w:tcMar>
            <w:vAlign w:val="bottom"/>
          </w:tcPr>
          <w:p w14:paraId="4090D7A8" w14:textId="77777777" w:rsidR="00833634" w:rsidRDefault="00E15D51">
            <w:pPr>
              <w:jc w:val="right"/>
              <w:textAlignment w:val="bottom"/>
            </w:pPr>
            <w:hyperlink r:id="rId46" w:anchor="i8d805bfb1e1c4815a1dcd5b6d1e0b117_103" w:history="1">
              <w:r>
                <w:rPr>
                  <w:rStyle w:val="a5"/>
                  <w:rFonts w:ascii="Arial" w:eastAsia="宋体" w:hAnsi="Arial" w:cs="Arial"/>
                  <w:sz w:val="16"/>
                  <w:szCs w:val="16"/>
                </w:rPr>
                <w:t>24</w:t>
              </w:r>
            </w:hyperlink>
          </w:p>
        </w:tc>
      </w:tr>
      <w:tr w:rsidR="00833634" w14:paraId="4090D7AD" w14:textId="77777777">
        <w:trPr>
          <w:jc w:val="center"/>
        </w:trPr>
        <w:tc>
          <w:tcPr>
            <w:tcW w:w="0" w:type="auto"/>
            <w:gridSpan w:val="3"/>
            <w:shd w:val="clear" w:color="auto" w:fill="auto"/>
            <w:tcMar>
              <w:top w:w="0" w:type="dxa"/>
              <w:left w:w="20" w:type="dxa"/>
              <w:bottom w:w="0" w:type="dxa"/>
              <w:right w:w="20" w:type="dxa"/>
            </w:tcMar>
          </w:tcPr>
          <w:p w14:paraId="4090D7AA"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AB" w14:textId="77777777" w:rsidR="00833634" w:rsidRDefault="00E15D51">
            <w:pPr>
              <w:textAlignment w:val="bottom"/>
            </w:pPr>
            <w:hyperlink r:id="rId47" w:anchor="i8d805bfb1e1c4815a1dcd5b6d1e0b117_106" w:history="1">
              <w:r>
                <w:rPr>
                  <w:rStyle w:val="a5"/>
                  <w:rFonts w:ascii="Arial" w:eastAsia="宋体" w:hAnsi="Arial" w:cs="Arial"/>
                  <w:sz w:val="16"/>
                  <w:szCs w:val="16"/>
                </w:rPr>
                <w:t>Note 14 - Share-Based Compensation and Other Comprehensive Arrangements</w:t>
              </w:r>
            </w:hyperlink>
          </w:p>
        </w:tc>
        <w:tc>
          <w:tcPr>
            <w:tcW w:w="0" w:type="auto"/>
            <w:gridSpan w:val="3"/>
            <w:shd w:val="clear" w:color="auto" w:fill="auto"/>
            <w:tcMar>
              <w:top w:w="40" w:type="dxa"/>
              <w:left w:w="20" w:type="dxa"/>
              <w:bottom w:w="40" w:type="dxa"/>
              <w:right w:w="20" w:type="dxa"/>
            </w:tcMar>
            <w:vAlign w:val="bottom"/>
          </w:tcPr>
          <w:p w14:paraId="4090D7AC" w14:textId="77777777" w:rsidR="00833634" w:rsidRDefault="00E15D51">
            <w:pPr>
              <w:jc w:val="right"/>
              <w:textAlignment w:val="bottom"/>
            </w:pPr>
            <w:hyperlink r:id="rId48" w:anchor="i8d805bfb1e1c4815a1dcd5b6d1e0b117_106" w:history="1">
              <w:r>
                <w:rPr>
                  <w:rStyle w:val="a5"/>
                  <w:rFonts w:ascii="Arial" w:eastAsia="宋体" w:hAnsi="Arial" w:cs="Arial"/>
                  <w:sz w:val="16"/>
                  <w:szCs w:val="16"/>
                </w:rPr>
                <w:t>25</w:t>
              </w:r>
            </w:hyperlink>
          </w:p>
        </w:tc>
      </w:tr>
      <w:tr w:rsidR="00833634" w14:paraId="4090D7B1" w14:textId="77777777">
        <w:trPr>
          <w:jc w:val="center"/>
        </w:trPr>
        <w:tc>
          <w:tcPr>
            <w:tcW w:w="0" w:type="auto"/>
            <w:gridSpan w:val="3"/>
            <w:shd w:val="clear" w:color="auto" w:fill="auto"/>
            <w:tcMar>
              <w:top w:w="0" w:type="dxa"/>
              <w:left w:w="20" w:type="dxa"/>
              <w:bottom w:w="0" w:type="dxa"/>
              <w:right w:w="20" w:type="dxa"/>
            </w:tcMar>
          </w:tcPr>
          <w:p w14:paraId="4090D7AE"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AF" w14:textId="77777777" w:rsidR="00833634" w:rsidRDefault="00E15D51">
            <w:pPr>
              <w:textAlignment w:val="bottom"/>
            </w:pPr>
            <w:hyperlink r:id="rId49" w:anchor="i8d805bfb1e1c4815a1dcd5b6d1e0b117_112" w:history="1">
              <w:r>
                <w:rPr>
                  <w:rStyle w:val="a5"/>
                  <w:rFonts w:ascii="Arial" w:eastAsia="宋体" w:hAnsi="Arial" w:cs="Arial"/>
                  <w:sz w:val="16"/>
                  <w:szCs w:val="16"/>
                </w:rPr>
                <w:t>Note 15 - Shareholders' Equity</w:t>
              </w:r>
            </w:hyperlink>
          </w:p>
        </w:tc>
        <w:tc>
          <w:tcPr>
            <w:tcW w:w="0" w:type="auto"/>
            <w:gridSpan w:val="3"/>
            <w:shd w:val="clear" w:color="auto" w:fill="auto"/>
            <w:tcMar>
              <w:top w:w="40" w:type="dxa"/>
              <w:left w:w="20" w:type="dxa"/>
              <w:bottom w:w="40" w:type="dxa"/>
              <w:right w:w="20" w:type="dxa"/>
            </w:tcMar>
            <w:vAlign w:val="bottom"/>
          </w:tcPr>
          <w:p w14:paraId="4090D7B0" w14:textId="77777777" w:rsidR="00833634" w:rsidRDefault="00E15D51">
            <w:pPr>
              <w:jc w:val="right"/>
              <w:textAlignment w:val="bottom"/>
            </w:pPr>
            <w:hyperlink r:id="rId50" w:anchor="i8d805bfb1e1c4815a1dcd5b6d1e0b117_112" w:history="1">
              <w:r>
                <w:rPr>
                  <w:rStyle w:val="a5"/>
                  <w:rFonts w:ascii="Arial" w:eastAsia="宋体" w:hAnsi="Arial" w:cs="Arial"/>
                  <w:sz w:val="16"/>
                  <w:szCs w:val="16"/>
                </w:rPr>
                <w:t>26</w:t>
              </w:r>
            </w:hyperlink>
          </w:p>
        </w:tc>
      </w:tr>
      <w:tr w:rsidR="00833634" w14:paraId="4090D7B5" w14:textId="77777777">
        <w:trPr>
          <w:jc w:val="center"/>
        </w:trPr>
        <w:tc>
          <w:tcPr>
            <w:tcW w:w="0" w:type="auto"/>
            <w:gridSpan w:val="3"/>
            <w:shd w:val="clear" w:color="auto" w:fill="auto"/>
            <w:tcMar>
              <w:top w:w="0" w:type="dxa"/>
              <w:left w:w="20" w:type="dxa"/>
              <w:bottom w:w="0" w:type="dxa"/>
              <w:right w:w="20" w:type="dxa"/>
            </w:tcMar>
          </w:tcPr>
          <w:p w14:paraId="4090D7B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B3" w14:textId="77777777" w:rsidR="00833634" w:rsidRDefault="00E15D51">
            <w:pPr>
              <w:textAlignment w:val="bottom"/>
            </w:pPr>
            <w:hyperlink r:id="rId51" w:anchor="i8d805bfb1e1c4815a1dcd5b6d1e0b117_115" w:history="1">
              <w:r>
                <w:rPr>
                  <w:rStyle w:val="a5"/>
                  <w:rFonts w:ascii="Arial" w:eastAsia="宋体" w:hAnsi="Arial" w:cs="Arial"/>
                  <w:sz w:val="16"/>
                  <w:szCs w:val="16"/>
                </w:rPr>
                <w:t>Note 16 - Derivative Financial Instruments</w:t>
              </w:r>
            </w:hyperlink>
          </w:p>
        </w:tc>
        <w:tc>
          <w:tcPr>
            <w:tcW w:w="0" w:type="auto"/>
            <w:gridSpan w:val="3"/>
            <w:shd w:val="clear" w:color="auto" w:fill="auto"/>
            <w:tcMar>
              <w:top w:w="40" w:type="dxa"/>
              <w:left w:w="20" w:type="dxa"/>
              <w:bottom w:w="40" w:type="dxa"/>
              <w:right w:w="20" w:type="dxa"/>
            </w:tcMar>
            <w:vAlign w:val="bottom"/>
          </w:tcPr>
          <w:p w14:paraId="4090D7B4" w14:textId="77777777" w:rsidR="00833634" w:rsidRDefault="00E15D51">
            <w:pPr>
              <w:jc w:val="right"/>
              <w:textAlignment w:val="bottom"/>
            </w:pPr>
            <w:hyperlink r:id="rId52" w:anchor="i8d805bfb1e1c4815a1dcd5b6d1e0b117_115" w:history="1">
              <w:r>
                <w:rPr>
                  <w:rStyle w:val="a5"/>
                  <w:rFonts w:ascii="Arial" w:eastAsia="宋体" w:hAnsi="Arial" w:cs="Arial"/>
                  <w:sz w:val="16"/>
                  <w:szCs w:val="16"/>
                </w:rPr>
                <w:t>27</w:t>
              </w:r>
            </w:hyperlink>
          </w:p>
        </w:tc>
      </w:tr>
      <w:tr w:rsidR="00833634" w14:paraId="4090D7B9" w14:textId="77777777">
        <w:trPr>
          <w:jc w:val="center"/>
        </w:trPr>
        <w:tc>
          <w:tcPr>
            <w:tcW w:w="0" w:type="auto"/>
            <w:gridSpan w:val="3"/>
            <w:shd w:val="clear" w:color="auto" w:fill="auto"/>
            <w:tcMar>
              <w:top w:w="0" w:type="dxa"/>
              <w:left w:w="20" w:type="dxa"/>
              <w:bottom w:w="0" w:type="dxa"/>
              <w:right w:w="20" w:type="dxa"/>
            </w:tcMar>
          </w:tcPr>
          <w:p w14:paraId="4090D7B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B7" w14:textId="77777777" w:rsidR="00833634" w:rsidRDefault="00E15D51">
            <w:pPr>
              <w:textAlignment w:val="bottom"/>
            </w:pPr>
            <w:hyperlink r:id="rId53" w:anchor="i8d805bfb1e1c4815a1dcd5b6d1e0b117_118" w:history="1">
              <w:r>
                <w:rPr>
                  <w:rStyle w:val="a5"/>
                  <w:rFonts w:ascii="Arial" w:eastAsia="宋体" w:hAnsi="Arial" w:cs="Arial"/>
                  <w:sz w:val="16"/>
                  <w:szCs w:val="16"/>
                </w:rPr>
                <w:t xml:space="preserve">Note 17 </w:t>
              </w:r>
              <w:r>
                <w:rPr>
                  <w:rStyle w:val="a5"/>
                  <w:rFonts w:ascii="Arial" w:eastAsia="宋体" w:hAnsi="Arial" w:cs="Arial"/>
                  <w:sz w:val="16"/>
                  <w:szCs w:val="16"/>
                </w:rPr>
                <w:t>- Fair Value Measurements</w:t>
              </w:r>
            </w:hyperlink>
          </w:p>
        </w:tc>
        <w:tc>
          <w:tcPr>
            <w:tcW w:w="0" w:type="auto"/>
            <w:gridSpan w:val="3"/>
            <w:shd w:val="clear" w:color="auto" w:fill="auto"/>
            <w:tcMar>
              <w:top w:w="40" w:type="dxa"/>
              <w:left w:w="20" w:type="dxa"/>
              <w:bottom w:w="40" w:type="dxa"/>
              <w:right w:w="20" w:type="dxa"/>
            </w:tcMar>
            <w:vAlign w:val="bottom"/>
          </w:tcPr>
          <w:p w14:paraId="4090D7B8" w14:textId="77777777" w:rsidR="00833634" w:rsidRDefault="00E15D51">
            <w:pPr>
              <w:jc w:val="right"/>
              <w:textAlignment w:val="bottom"/>
            </w:pPr>
            <w:hyperlink r:id="rId54" w:anchor="i8d805bfb1e1c4815a1dcd5b6d1e0b117_118" w:history="1">
              <w:r>
                <w:rPr>
                  <w:rStyle w:val="a5"/>
                  <w:rFonts w:ascii="Arial" w:eastAsia="宋体" w:hAnsi="Arial" w:cs="Arial"/>
                  <w:sz w:val="16"/>
                  <w:szCs w:val="16"/>
                </w:rPr>
                <w:t>29</w:t>
              </w:r>
            </w:hyperlink>
          </w:p>
        </w:tc>
      </w:tr>
      <w:tr w:rsidR="00833634" w14:paraId="4090D7BD" w14:textId="77777777">
        <w:trPr>
          <w:jc w:val="center"/>
        </w:trPr>
        <w:tc>
          <w:tcPr>
            <w:tcW w:w="0" w:type="auto"/>
            <w:gridSpan w:val="3"/>
            <w:shd w:val="clear" w:color="auto" w:fill="auto"/>
            <w:tcMar>
              <w:top w:w="0" w:type="dxa"/>
              <w:left w:w="20" w:type="dxa"/>
              <w:bottom w:w="0" w:type="dxa"/>
              <w:right w:w="20" w:type="dxa"/>
            </w:tcMar>
          </w:tcPr>
          <w:p w14:paraId="4090D7BA"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BB" w14:textId="77777777" w:rsidR="00833634" w:rsidRDefault="00E15D51">
            <w:pPr>
              <w:textAlignment w:val="bottom"/>
            </w:pPr>
            <w:hyperlink r:id="rId55" w:anchor="i8d805bfb1e1c4815a1dcd5b6d1e0b117_124" w:history="1">
              <w:r>
                <w:rPr>
                  <w:rStyle w:val="a5"/>
                  <w:rFonts w:ascii="Arial" w:eastAsia="宋体" w:hAnsi="Arial" w:cs="Arial"/>
                  <w:sz w:val="16"/>
                  <w:szCs w:val="16"/>
                </w:rPr>
                <w:t>Note 18 - Legal Proceedings</w:t>
              </w:r>
            </w:hyperlink>
          </w:p>
        </w:tc>
        <w:tc>
          <w:tcPr>
            <w:tcW w:w="0" w:type="auto"/>
            <w:gridSpan w:val="3"/>
            <w:shd w:val="clear" w:color="auto" w:fill="auto"/>
            <w:tcMar>
              <w:top w:w="40" w:type="dxa"/>
              <w:left w:w="20" w:type="dxa"/>
              <w:bottom w:w="40" w:type="dxa"/>
              <w:right w:w="20" w:type="dxa"/>
            </w:tcMar>
            <w:vAlign w:val="bottom"/>
          </w:tcPr>
          <w:p w14:paraId="4090D7BC" w14:textId="77777777" w:rsidR="00833634" w:rsidRDefault="00E15D51">
            <w:pPr>
              <w:jc w:val="right"/>
              <w:textAlignment w:val="bottom"/>
            </w:pPr>
            <w:hyperlink r:id="rId56" w:anchor="i8d805bfb1e1c4815a1dcd5b6d1e0b117_124" w:history="1">
              <w:r>
                <w:rPr>
                  <w:rStyle w:val="a5"/>
                  <w:rFonts w:ascii="Arial" w:eastAsia="宋体" w:hAnsi="Arial" w:cs="Arial"/>
                  <w:sz w:val="16"/>
                  <w:szCs w:val="16"/>
                </w:rPr>
                <w:t>31</w:t>
              </w:r>
            </w:hyperlink>
          </w:p>
        </w:tc>
      </w:tr>
      <w:tr w:rsidR="00833634" w14:paraId="4090D7C1" w14:textId="77777777">
        <w:trPr>
          <w:jc w:val="center"/>
        </w:trPr>
        <w:tc>
          <w:tcPr>
            <w:tcW w:w="0" w:type="auto"/>
            <w:gridSpan w:val="3"/>
            <w:shd w:val="clear" w:color="auto" w:fill="auto"/>
            <w:tcMar>
              <w:top w:w="0" w:type="dxa"/>
              <w:left w:w="20" w:type="dxa"/>
              <w:bottom w:w="0" w:type="dxa"/>
              <w:right w:w="20" w:type="dxa"/>
            </w:tcMar>
          </w:tcPr>
          <w:p w14:paraId="4090D7BE"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BF" w14:textId="77777777" w:rsidR="00833634" w:rsidRDefault="00E15D51">
            <w:pPr>
              <w:textAlignment w:val="bottom"/>
            </w:pPr>
            <w:hyperlink r:id="rId57" w:anchor="i8d805bfb1e1c4815a1dcd5b6d1e0b117_127" w:history="1">
              <w:r>
                <w:rPr>
                  <w:rStyle w:val="a5"/>
                  <w:rFonts w:ascii="Arial" w:eastAsia="宋体" w:hAnsi="Arial" w:cs="Arial"/>
                  <w:sz w:val="16"/>
                  <w:szCs w:val="16"/>
                </w:rPr>
                <w:t>Note 19 - Segment and Revenue Information</w:t>
              </w:r>
            </w:hyperlink>
          </w:p>
        </w:tc>
        <w:tc>
          <w:tcPr>
            <w:tcW w:w="0" w:type="auto"/>
            <w:gridSpan w:val="3"/>
            <w:shd w:val="clear" w:color="auto" w:fill="auto"/>
            <w:tcMar>
              <w:top w:w="40" w:type="dxa"/>
              <w:left w:w="20" w:type="dxa"/>
              <w:bottom w:w="40" w:type="dxa"/>
              <w:right w:w="20" w:type="dxa"/>
            </w:tcMar>
            <w:vAlign w:val="bottom"/>
          </w:tcPr>
          <w:p w14:paraId="4090D7C0" w14:textId="77777777" w:rsidR="00833634" w:rsidRDefault="00E15D51">
            <w:pPr>
              <w:jc w:val="right"/>
              <w:textAlignment w:val="bottom"/>
            </w:pPr>
            <w:hyperlink r:id="rId58" w:anchor="i8d805bfb1e1c4815a1dcd5b6d1e0b117_127" w:history="1">
              <w:r>
                <w:rPr>
                  <w:rStyle w:val="a5"/>
                  <w:rFonts w:ascii="Arial" w:eastAsia="宋体" w:hAnsi="Arial" w:cs="Arial"/>
                  <w:sz w:val="16"/>
                  <w:szCs w:val="16"/>
                </w:rPr>
                <w:t>31</w:t>
              </w:r>
            </w:hyperlink>
          </w:p>
        </w:tc>
      </w:tr>
      <w:tr w:rsidR="00833634" w14:paraId="4090D7C5" w14:textId="77777777">
        <w:trPr>
          <w:jc w:val="center"/>
        </w:trPr>
        <w:tc>
          <w:tcPr>
            <w:tcW w:w="0" w:type="auto"/>
            <w:gridSpan w:val="3"/>
            <w:shd w:val="clear" w:color="auto" w:fill="auto"/>
            <w:tcMar>
              <w:top w:w="0" w:type="dxa"/>
              <w:left w:w="20" w:type="dxa"/>
              <w:bottom w:w="0" w:type="dxa"/>
              <w:right w:w="20" w:type="dxa"/>
            </w:tcMar>
          </w:tcPr>
          <w:p w14:paraId="4090D7C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C3" w14:textId="77777777" w:rsidR="00833634" w:rsidRDefault="00E15D51">
            <w:pPr>
              <w:textAlignment w:val="bottom"/>
            </w:pPr>
            <w:hyperlink r:id="rId59" w:anchor="i8d805bfb1e1c4815a1dcd5b6d1e0b117_130" w:history="1">
              <w:r>
                <w:rPr>
                  <w:rStyle w:val="a5"/>
                  <w:rFonts w:ascii="Arial" w:eastAsia="宋体" w:hAnsi="Arial" w:cs="Arial"/>
                  <w:sz w:val="16"/>
                  <w:szCs w:val="16"/>
                </w:rPr>
                <w:t>Report of Independent Registered Public Accounting Firm</w:t>
              </w:r>
            </w:hyperlink>
          </w:p>
        </w:tc>
        <w:tc>
          <w:tcPr>
            <w:tcW w:w="0" w:type="auto"/>
            <w:gridSpan w:val="3"/>
            <w:shd w:val="clear" w:color="auto" w:fill="auto"/>
            <w:tcMar>
              <w:top w:w="40" w:type="dxa"/>
              <w:left w:w="20" w:type="dxa"/>
              <w:bottom w:w="40" w:type="dxa"/>
              <w:right w:w="20" w:type="dxa"/>
            </w:tcMar>
            <w:vAlign w:val="bottom"/>
          </w:tcPr>
          <w:p w14:paraId="4090D7C4" w14:textId="77777777" w:rsidR="00833634" w:rsidRDefault="00E15D51">
            <w:pPr>
              <w:jc w:val="right"/>
              <w:textAlignment w:val="bottom"/>
            </w:pPr>
            <w:hyperlink r:id="rId60" w:anchor="i8d805bfb1e1c4815a1dcd5b6d1e0b117_130" w:history="1">
              <w:r>
                <w:rPr>
                  <w:rStyle w:val="a5"/>
                  <w:rFonts w:ascii="Arial" w:eastAsia="宋体" w:hAnsi="Arial" w:cs="Arial"/>
                  <w:sz w:val="16"/>
                  <w:szCs w:val="16"/>
                </w:rPr>
                <w:t>36</w:t>
              </w:r>
            </w:hyperlink>
          </w:p>
        </w:tc>
      </w:tr>
      <w:tr w:rsidR="00833634" w14:paraId="4090D7C9" w14:textId="77777777">
        <w:trPr>
          <w:trHeight w:val="60"/>
          <w:jc w:val="center"/>
        </w:trPr>
        <w:tc>
          <w:tcPr>
            <w:tcW w:w="0" w:type="auto"/>
            <w:gridSpan w:val="3"/>
            <w:shd w:val="clear" w:color="auto" w:fill="auto"/>
            <w:tcMar>
              <w:top w:w="0" w:type="dxa"/>
              <w:left w:w="20" w:type="dxa"/>
              <w:bottom w:w="0" w:type="dxa"/>
              <w:right w:w="20" w:type="dxa"/>
            </w:tcMar>
          </w:tcPr>
          <w:p w14:paraId="4090D7C6"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C7"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C8" w14:textId="77777777" w:rsidR="00833634" w:rsidRDefault="00833634">
            <w:pPr>
              <w:rPr>
                <w:rFonts w:ascii="宋体"/>
              </w:rPr>
            </w:pPr>
          </w:p>
        </w:tc>
      </w:tr>
      <w:tr w:rsidR="00833634" w14:paraId="4090D7CC" w14:textId="77777777">
        <w:trPr>
          <w:jc w:val="center"/>
        </w:trPr>
        <w:tc>
          <w:tcPr>
            <w:tcW w:w="0" w:type="auto"/>
            <w:gridSpan w:val="6"/>
            <w:shd w:val="clear" w:color="auto" w:fill="auto"/>
            <w:tcMar>
              <w:top w:w="40" w:type="dxa"/>
              <w:left w:w="20" w:type="dxa"/>
              <w:bottom w:w="40" w:type="dxa"/>
              <w:right w:w="20" w:type="dxa"/>
            </w:tcMar>
            <w:vAlign w:val="bottom"/>
          </w:tcPr>
          <w:p w14:paraId="4090D7CA" w14:textId="77777777" w:rsidR="00833634" w:rsidRDefault="00E15D51">
            <w:pPr>
              <w:textAlignment w:val="bottom"/>
            </w:pPr>
            <w:hyperlink r:id="rId61" w:anchor="i8d805bfb1e1c4815a1dcd5b6d1e0b117_133" w:history="1">
              <w:r>
                <w:rPr>
                  <w:rStyle w:val="a5"/>
                  <w:rFonts w:ascii="Arial" w:eastAsia="宋体" w:hAnsi="Arial" w:cs="Arial"/>
                  <w:sz w:val="16"/>
                  <w:szCs w:val="16"/>
                </w:rPr>
                <w:t>Forward-Looking Statements</w:t>
              </w:r>
            </w:hyperlink>
          </w:p>
        </w:tc>
        <w:tc>
          <w:tcPr>
            <w:tcW w:w="0" w:type="auto"/>
            <w:gridSpan w:val="3"/>
            <w:shd w:val="clear" w:color="auto" w:fill="auto"/>
            <w:tcMar>
              <w:top w:w="40" w:type="dxa"/>
              <w:left w:w="20" w:type="dxa"/>
              <w:bottom w:w="40" w:type="dxa"/>
              <w:right w:w="20" w:type="dxa"/>
            </w:tcMar>
            <w:vAlign w:val="bottom"/>
          </w:tcPr>
          <w:p w14:paraId="4090D7CB" w14:textId="77777777" w:rsidR="00833634" w:rsidRDefault="00E15D51">
            <w:pPr>
              <w:jc w:val="right"/>
              <w:textAlignment w:val="bottom"/>
            </w:pPr>
            <w:hyperlink r:id="rId62" w:anchor="i8d805bfb1e1c4815a1dcd5b6d1e0b117_133" w:history="1">
              <w:r>
                <w:rPr>
                  <w:rStyle w:val="a5"/>
                  <w:rFonts w:ascii="Arial" w:eastAsia="宋体" w:hAnsi="Arial" w:cs="Arial"/>
                  <w:sz w:val="16"/>
                  <w:szCs w:val="16"/>
                </w:rPr>
                <w:t>37</w:t>
              </w:r>
            </w:hyperlink>
          </w:p>
        </w:tc>
      </w:tr>
      <w:tr w:rsidR="00833634" w14:paraId="4090D7D0" w14:textId="77777777">
        <w:trPr>
          <w:trHeight w:val="60"/>
          <w:jc w:val="center"/>
        </w:trPr>
        <w:tc>
          <w:tcPr>
            <w:tcW w:w="0" w:type="auto"/>
            <w:gridSpan w:val="3"/>
            <w:shd w:val="clear" w:color="auto" w:fill="auto"/>
            <w:tcMar>
              <w:top w:w="0" w:type="dxa"/>
              <w:left w:w="20" w:type="dxa"/>
              <w:bottom w:w="0" w:type="dxa"/>
              <w:right w:w="20" w:type="dxa"/>
            </w:tcMar>
          </w:tcPr>
          <w:p w14:paraId="4090D7C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CE"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CF" w14:textId="77777777" w:rsidR="00833634" w:rsidRDefault="00833634">
            <w:pPr>
              <w:rPr>
                <w:rFonts w:ascii="宋体"/>
              </w:rPr>
            </w:pPr>
          </w:p>
        </w:tc>
      </w:tr>
      <w:tr w:rsidR="00833634" w14:paraId="4090D7D4" w14:textId="77777777">
        <w:trPr>
          <w:jc w:val="center"/>
        </w:trPr>
        <w:tc>
          <w:tcPr>
            <w:tcW w:w="0" w:type="auto"/>
            <w:gridSpan w:val="3"/>
            <w:shd w:val="clear" w:color="auto" w:fill="auto"/>
            <w:tcMar>
              <w:top w:w="40" w:type="dxa"/>
              <w:left w:w="20" w:type="dxa"/>
              <w:bottom w:w="40" w:type="dxa"/>
              <w:right w:w="20" w:type="dxa"/>
            </w:tcMar>
          </w:tcPr>
          <w:p w14:paraId="4090D7D1" w14:textId="77777777" w:rsidR="00833634" w:rsidRDefault="00E15D51">
            <w:pPr>
              <w:textAlignment w:val="top"/>
            </w:pPr>
            <w:r>
              <w:rPr>
                <w:rFonts w:ascii="Arial" w:eastAsia="宋体" w:hAnsi="Arial" w:cs="Arial"/>
                <w:color w:val="000000"/>
                <w:sz w:val="16"/>
                <w:szCs w:val="16"/>
              </w:rPr>
              <w:t>Item 2.</w:t>
            </w:r>
          </w:p>
        </w:tc>
        <w:tc>
          <w:tcPr>
            <w:tcW w:w="0" w:type="auto"/>
            <w:gridSpan w:val="3"/>
            <w:shd w:val="clear" w:color="auto" w:fill="auto"/>
            <w:tcMar>
              <w:top w:w="40" w:type="dxa"/>
              <w:left w:w="20" w:type="dxa"/>
              <w:bottom w:w="40" w:type="dxa"/>
              <w:right w:w="20" w:type="dxa"/>
            </w:tcMar>
            <w:vAlign w:val="bottom"/>
          </w:tcPr>
          <w:p w14:paraId="4090D7D2" w14:textId="77777777" w:rsidR="00833634" w:rsidRDefault="00E15D51">
            <w:pPr>
              <w:textAlignment w:val="bottom"/>
            </w:pPr>
            <w:hyperlink r:id="rId63" w:anchor="i8d805bfb1e1c4815a1dcd5b6d1e0b117_136" w:history="1">
              <w:r>
                <w:rPr>
                  <w:rStyle w:val="a5"/>
                  <w:rFonts w:ascii="Arial" w:eastAsia="宋体" w:hAnsi="Arial" w:cs="Arial"/>
                  <w:sz w:val="16"/>
                  <w:szCs w:val="16"/>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4090D7D3" w14:textId="77777777" w:rsidR="00833634" w:rsidRDefault="00E15D51">
            <w:pPr>
              <w:jc w:val="right"/>
              <w:textAlignment w:val="bottom"/>
            </w:pPr>
            <w:hyperlink r:id="rId64" w:anchor="i8d805bfb1e1c4815a1dcd5b6d1e0b117_136" w:history="1">
              <w:r>
                <w:rPr>
                  <w:rStyle w:val="a5"/>
                  <w:rFonts w:ascii="Arial" w:eastAsia="宋体" w:hAnsi="Arial" w:cs="Arial"/>
                  <w:sz w:val="16"/>
                  <w:szCs w:val="16"/>
                </w:rPr>
                <w:t>39</w:t>
              </w:r>
            </w:hyperlink>
          </w:p>
        </w:tc>
      </w:tr>
      <w:tr w:rsidR="00833634" w14:paraId="4090D7D8" w14:textId="77777777">
        <w:trPr>
          <w:jc w:val="center"/>
        </w:trPr>
        <w:tc>
          <w:tcPr>
            <w:tcW w:w="0" w:type="auto"/>
            <w:gridSpan w:val="3"/>
            <w:shd w:val="clear" w:color="auto" w:fill="auto"/>
            <w:tcMar>
              <w:top w:w="0" w:type="dxa"/>
              <w:left w:w="20" w:type="dxa"/>
              <w:bottom w:w="0" w:type="dxa"/>
              <w:right w:w="20" w:type="dxa"/>
            </w:tcMar>
          </w:tcPr>
          <w:p w14:paraId="4090D7D5"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D6" w14:textId="77777777" w:rsidR="00833634" w:rsidRDefault="00E15D51">
            <w:pPr>
              <w:textAlignment w:val="bottom"/>
            </w:pPr>
            <w:hyperlink r:id="rId65" w:anchor="i8d805bfb1e1c4815a1dcd5b6d1e0b117_139" w:history="1">
              <w:r>
                <w:rPr>
                  <w:rStyle w:val="a5"/>
                  <w:rFonts w:ascii="Arial" w:eastAsia="宋体" w:hAnsi="Arial" w:cs="Arial"/>
                  <w:sz w:val="16"/>
                  <w:szCs w:val="16"/>
                </w:rPr>
                <w:t>Consolidated Results of Operations and Financial Condition</w:t>
              </w:r>
            </w:hyperlink>
          </w:p>
        </w:tc>
        <w:tc>
          <w:tcPr>
            <w:tcW w:w="0" w:type="auto"/>
            <w:gridSpan w:val="3"/>
            <w:shd w:val="clear" w:color="auto" w:fill="auto"/>
            <w:tcMar>
              <w:top w:w="40" w:type="dxa"/>
              <w:left w:w="20" w:type="dxa"/>
              <w:bottom w:w="40" w:type="dxa"/>
              <w:right w:w="20" w:type="dxa"/>
            </w:tcMar>
            <w:vAlign w:val="bottom"/>
          </w:tcPr>
          <w:p w14:paraId="4090D7D7" w14:textId="77777777" w:rsidR="00833634" w:rsidRDefault="00E15D51">
            <w:pPr>
              <w:jc w:val="right"/>
              <w:textAlignment w:val="bottom"/>
            </w:pPr>
            <w:hyperlink r:id="rId66" w:anchor="i8d805bfb1e1c4815a1dcd5b6d1e0b117_139" w:history="1">
              <w:r>
                <w:rPr>
                  <w:rStyle w:val="a5"/>
                  <w:rFonts w:ascii="Arial" w:eastAsia="宋体" w:hAnsi="Arial" w:cs="Arial"/>
                  <w:sz w:val="16"/>
                  <w:szCs w:val="16"/>
                </w:rPr>
                <w:t>39</w:t>
              </w:r>
            </w:hyperlink>
          </w:p>
        </w:tc>
      </w:tr>
      <w:tr w:rsidR="00833634" w14:paraId="4090D7DC" w14:textId="77777777">
        <w:trPr>
          <w:jc w:val="center"/>
        </w:trPr>
        <w:tc>
          <w:tcPr>
            <w:tcW w:w="0" w:type="auto"/>
            <w:gridSpan w:val="3"/>
            <w:shd w:val="clear" w:color="auto" w:fill="auto"/>
            <w:tcMar>
              <w:top w:w="0" w:type="dxa"/>
              <w:left w:w="20" w:type="dxa"/>
              <w:bottom w:w="0" w:type="dxa"/>
              <w:right w:w="20" w:type="dxa"/>
            </w:tcMar>
          </w:tcPr>
          <w:p w14:paraId="4090D7D9"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DA" w14:textId="77777777" w:rsidR="00833634" w:rsidRDefault="00E15D51">
            <w:pPr>
              <w:textAlignment w:val="bottom"/>
            </w:pPr>
            <w:hyperlink r:id="rId67" w:anchor="i8d805bfb1e1c4815a1dcd5b6d1e0b117_151" w:history="1">
              <w:r>
                <w:rPr>
                  <w:rStyle w:val="a5"/>
                  <w:rFonts w:ascii="Arial" w:eastAsia="宋体" w:hAnsi="Arial" w:cs="Arial"/>
                  <w:sz w:val="16"/>
                  <w:szCs w:val="16"/>
                </w:rPr>
                <w:t>Commercial Airplanes</w:t>
              </w:r>
            </w:hyperlink>
          </w:p>
        </w:tc>
        <w:tc>
          <w:tcPr>
            <w:tcW w:w="0" w:type="auto"/>
            <w:gridSpan w:val="3"/>
            <w:shd w:val="clear" w:color="auto" w:fill="auto"/>
            <w:tcMar>
              <w:top w:w="40" w:type="dxa"/>
              <w:left w:w="20" w:type="dxa"/>
              <w:bottom w:w="40" w:type="dxa"/>
              <w:right w:w="20" w:type="dxa"/>
            </w:tcMar>
            <w:vAlign w:val="bottom"/>
          </w:tcPr>
          <w:p w14:paraId="4090D7DB" w14:textId="77777777" w:rsidR="00833634" w:rsidRDefault="00E15D51">
            <w:pPr>
              <w:jc w:val="right"/>
              <w:textAlignment w:val="bottom"/>
            </w:pPr>
            <w:hyperlink r:id="rId68" w:anchor="i8d805bfb1e1c4815a1dcd5b6d1e0b117_151" w:history="1">
              <w:r>
                <w:rPr>
                  <w:rStyle w:val="a5"/>
                  <w:rFonts w:ascii="Arial" w:eastAsia="宋体" w:hAnsi="Arial" w:cs="Arial"/>
                  <w:sz w:val="16"/>
                  <w:szCs w:val="16"/>
                </w:rPr>
                <w:t>46</w:t>
              </w:r>
            </w:hyperlink>
          </w:p>
        </w:tc>
      </w:tr>
      <w:tr w:rsidR="00833634" w14:paraId="4090D7E0" w14:textId="77777777">
        <w:trPr>
          <w:jc w:val="center"/>
        </w:trPr>
        <w:tc>
          <w:tcPr>
            <w:tcW w:w="0" w:type="auto"/>
            <w:gridSpan w:val="3"/>
            <w:shd w:val="clear" w:color="auto" w:fill="auto"/>
            <w:tcMar>
              <w:top w:w="0" w:type="dxa"/>
              <w:left w:w="20" w:type="dxa"/>
              <w:bottom w:w="0" w:type="dxa"/>
              <w:right w:w="20" w:type="dxa"/>
            </w:tcMar>
          </w:tcPr>
          <w:p w14:paraId="4090D7DD"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DE" w14:textId="77777777" w:rsidR="00833634" w:rsidRDefault="00E15D51">
            <w:pPr>
              <w:textAlignment w:val="bottom"/>
            </w:pPr>
            <w:hyperlink r:id="rId69" w:anchor="i8d805bfb1e1c4815a1dcd5b6d1e0b117_175" w:history="1">
              <w:r>
                <w:rPr>
                  <w:rStyle w:val="a5"/>
                  <w:rFonts w:ascii="Arial" w:eastAsia="宋体" w:hAnsi="Arial" w:cs="Arial"/>
                  <w:sz w:val="16"/>
                  <w:szCs w:val="16"/>
                </w:rPr>
                <w:t>Defense, Space &amp; Security</w:t>
              </w:r>
            </w:hyperlink>
          </w:p>
        </w:tc>
        <w:tc>
          <w:tcPr>
            <w:tcW w:w="0" w:type="auto"/>
            <w:gridSpan w:val="3"/>
            <w:shd w:val="clear" w:color="auto" w:fill="auto"/>
            <w:tcMar>
              <w:top w:w="40" w:type="dxa"/>
              <w:left w:w="20" w:type="dxa"/>
              <w:bottom w:w="40" w:type="dxa"/>
              <w:right w:w="20" w:type="dxa"/>
            </w:tcMar>
            <w:vAlign w:val="bottom"/>
          </w:tcPr>
          <w:p w14:paraId="4090D7DF" w14:textId="77777777" w:rsidR="00833634" w:rsidRDefault="00E15D51">
            <w:pPr>
              <w:jc w:val="right"/>
              <w:textAlignment w:val="bottom"/>
            </w:pPr>
            <w:hyperlink r:id="rId70" w:anchor="i8d805bfb1e1c4815a1dcd5b6d1e0b117_175" w:history="1">
              <w:r>
                <w:rPr>
                  <w:rStyle w:val="a5"/>
                  <w:rFonts w:ascii="Arial" w:eastAsia="宋体" w:hAnsi="Arial" w:cs="Arial"/>
                  <w:sz w:val="16"/>
                  <w:szCs w:val="16"/>
                </w:rPr>
                <w:t>50</w:t>
              </w:r>
            </w:hyperlink>
          </w:p>
        </w:tc>
      </w:tr>
      <w:tr w:rsidR="00833634" w14:paraId="4090D7E4" w14:textId="77777777">
        <w:trPr>
          <w:jc w:val="center"/>
        </w:trPr>
        <w:tc>
          <w:tcPr>
            <w:tcW w:w="0" w:type="auto"/>
            <w:gridSpan w:val="3"/>
            <w:shd w:val="clear" w:color="auto" w:fill="auto"/>
            <w:tcMar>
              <w:top w:w="0" w:type="dxa"/>
              <w:left w:w="20" w:type="dxa"/>
              <w:bottom w:w="0" w:type="dxa"/>
              <w:right w:w="20" w:type="dxa"/>
            </w:tcMar>
          </w:tcPr>
          <w:p w14:paraId="4090D7E1"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E2" w14:textId="77777777" w:rsidR="00833634" w:rsidRDefault="00E15D51">
            <w:pPr>
              <w:textAlignment w:val="bottom"/>
            </w:pPr>
            <w:hyperlink r:id="rId71" w:anchor="i8d805bfb1e1c4815a1dcd5b6d1e0b117_181" w:history="1">
              <w:r>
                <w:rPr>
                  <w:rStyle w:val="a5"/>
                  <w:rFonts w:ascii="Arial" w:eastAsia="宋体" w:hAnsi="Arial" w:cs="Arial"/>
                  <w:sz w:val="16"/>
                  <w:szCs w:val="16"/>
                </w:rPr>
                <w:t>Global Services</w:t>
              </w:r>
            </w:hyperlink>
          </w:p>
        </w:tc>
        <w:tc>
          <w:tcPr>
            <w:tcW w:w="0" w:type="auto"/>
            <w:gridSpan w:val="3"/>
            <w:shd w:val="clear" w:color="auto" w:fill="auto"/>
            <w:tcMar>
              <w:top w:w="40" w:type="dxa"/>
              <w:left w:w="20" w:type="dxa"/>
              <w:bottom w:w="40" w:type="dxa"/>
              <w:right w:w="20" w:type="dxa"/>
            </w:tcMar>
            <w:vAlign w:val="bottom"/>
          </w:tcPr>
          <w:p w14:paraId="4090D7E3" w14:textId="77777777" w:rsidR="00833634" w:rsidRDefault="00E15D51">
            <w:pPr>
              <w:jc w:val="right"/>
              <w:textAlignment w:val="bottom"/>
            </w:pPr>
            <w:hyperlink r:id="rId72" w:anchor="i8d805bfb1e1c4815a1dcd5b6d1e0b117_181" w:history="1">
              <w:r>
                <w:rPr>
                  <w:rStyle w:val="a5"/>
                  <w:rFonts w:ascii="Arial" w:eastAsia="宋体" w:hAnsi="Arial" w:cs="Arial"/>
                  <w:sz w:val="16"/>
                  <w:szCs w:val="16"/>
                </w:rPr>
                <w:t>53</w:t>
              </w:r>
            </w:hyperlink>
          </w:p>
        </w:tc>
      </w:tr>
      <w:tr w:rsidR="00833634" w14:paraId="4090D7E8" w14:textId="77777777">
        <w:trPr>
          <w:jc w:val="center"/>
        </w:trPr>
        <w:tc>
          <w:tcPr>
            <w:tcW w:w="0" w:type="auto"/>
            <w:gridSpan w:val="3"/>
            <w:shd w:val="clear" w:color="auto" w:fill="auto"/>
            <w:tcMar>
              <w:top w:w="0" w:type="dxa"/>
              <w:left w:w="20" w:type="dxa"/>
              <w:bottom w:w="0" w:type="dxa"/>
              <w:right w:w="20" w:type="dxa"/>
            </w:tcMar>
          </w:tcPr>
          <w:p w14:paraId="4090D7E5"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E6" w14:textId="77777777" w:rsidR="00833634" w:rsidRDefault="00E15D51">
            <w:pPr>
              <w:textAlignment w:val="bottom"/>
            </w:pPr>
            <w:hyperlink r:id="rId73" w:anchor="i8d805bfb1e1c4815a1dcd5b6d1e0b117_184" w:history="1">
              <w:r>
                <w:rPr>
                  <w:rStyle w:val="a5"/>
                  <w:rFonts w:ascii="Arial" w:eastAsia="宋体" w:hAnsi="Arial" w:cs="Arial"/>
                  <w:sz w:val="16"/>
                  <w:szCs w:val="16"/>
                </w:rPr>
                <w:t>Boeing Capital</w:t>
              </w:r>
            </w:hyperlink>
          </w:p>
        </w:tc>
        <w:tc>
          <w:tcPr>
            <w:tcW w:w="0" w:type="auto"/>
            <w:gridSpan w:val="3"/>
            <w:shd w:val="clear" w:color="auto" w:fill="auto"/>
            <w:tcMar>
              <w:top w:w="40" w:type="dxa"/>
              <w:left w:w="20" w:type="dxa"/>
              <w:bottom w:w="40" w:type="dxa"/>
              <w:right w:w="20" w:type="dxa"/>
            </w:tcMar>
            <w:vAlign w:val="bottom"/>
          </w:tcPr>
          <w:p w14:paraId="4090D7E7" w14:textId="77777777" w:rsidR="00833634" w:rsidRDefault="00E15D51">
            <w:pPr>
              <w:jc w:val="right"/>
              <w:textAlignment w:val="bottom"/>
            </w:pPr>
            <w:hyperlink r:id="rId74" w:anchor="i8d805bfb1e1c4815a1dcd5b6d1e0b117_184" w:history="1">
              <w:r>
                <w:rPr>
                  <w:rStyle w:val="a5"/>
                  <w:rFonts w:ascii="Arial" w:eastAsia="宋体" w:hAnsi="Arial" w:cs="Arial"/>
                  <w:sz w:val="16"/>
                  <w:szCs w:val="16"/>
                </w:rPr>
                <w:t>54</w:t>
              </w:r>
            </w:hyperlink>
          </w:p>
        </w:tc>
      </w:tr>
      <w:tr w:rsidR="00833634" w14:paraId="4090D7EC" w14:textId="77777777">
        <w:trPr>
          <w:jc w:val="center"/>
        </w:trPr>
        <w:tc>
          <w:tcPr>
            <w:tcW w:w="0" w:type="auto"/>
            <w:gridSpan w:val="3"/>
            <w:shd w:val="clear" w:color="auto" w:fill="auto"/>
            <w:tcMar>
              <w:top w:w="0" w:type="dxa"/>
              <w:left w:w="20" w:type="dxa"/>
              <w:bottom w:w="0" w:type="dxa"/>
              <w:right w:w="20" w:type="dxa"/>
            </w:tcMar>
          </w:tcPr>
          <w:p w14:paraId="4090D7E9"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EA" w14:textId="77777777" w:rsidR="00833634" w:rsidRDefault="00E15D51">
            <w:pPr>
              <w:textAlignment w:val="bottom"/>
            </w:pPr>
            <w:hyperlink r:id="rId75" w:anchor="i8d805bfb1e1c4815a1dcd5b6d1e0b117_187" w:history="1">
              <w:r>
                <w:rPr>
                  <w:rStyle w:val="a5"/>
                  <w:rFonts w:ascii="Arial" w:eastAsia="宋体" w:hAnsi="Arial" w:cs="Arial"/>
                  <w:sz w:val="16"/>
                  <w:szCs w:val="16"/>
                </w:rPr>
                <w:t>Liquidity and Capital Resources</w:t>
              </w:r>
            </w:hyperlink>
          </w:p>
        </w:tc>
        <w:tc>
          <w:tcPr>
            <w:tcW w:w="0" w:type="auto"/>
            <w:gridSpan w:val="3"/>
            <w:shd w:val="clear" w:color="auto" w:fill="auto"/>
            <w:tcMar>
              <w:top w:w="40" w:type="dxa"/>
              <w:left w:w="20" w:type="dxa"/>
              <w:bottom w:w="40" w:type="dxa"/>
              <w:right w:w="20" w:type="dxa"/>
            </w:tcMar>
            <w:vAlign w:val="bottom"/>
          </w:tcPr>
          <w:p w14:paraId="4090D7EB" w14:textId="77777777" w:rsidR="00833634" w:rsidRDefault="00E15D51">
            <w:pPr>
              <w:jc w:val="right"/>
              <w:textAlignment w:val="bottom"/>
            </w:pPr>
            <w:hyperlink r:id="rId76" w:anchor="i8d805bfb1e1c4815a1dcd5b6d1e0b117_187" w:history="1">
              <w:r>
                <w:rPr>
                  <w:rStyle w:val="a5"/>
                  <w:rFonts w:ascii="Arial" w:eastAsia="宋体" w:hAnsi="Arial" w:cs="Arial"/>
                  <w:sz w:val="16"/>
                  <w:szCs w:val="16"/>
                </w:rPr>
                <w:t>55</w:t>
              </w:r>
            </w:hyperlink>
          </w:p>
        </w:tc>
      </w:tr>
      <w:tr w:rsidR="00833634" w14:paraId="4090D7F0" w14:textId="77777777">
        <w:trPr>
          <w:jc w:val="center"/>
        </w:trPr>
        <w:tc>
          <w:tcPr>
            <w:tcW w:w="0" w:type="auto"/>
            <w:gridSpan w:val="3"/>
            <w:shd w:val="clear" w:color="auto" w:fill="auto"/>
            <w:tcMar>
              <w:top w:w="0" w:type="dxa"/>
              <w:left w:w="20" w:type="dxa"/>
              <w:bottom w:w="0" w:type="dxa"/>
              <w:right w:w="20" w:type="dxa"/>
            </w:tcMar>
          </w:tcPr>
          <w:p w14:paraId="4090D7ED"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EE" w14:textId="77777777" w:rsidR="00833634" w:rsidRDefault="00E15D51">
            <w:pPr>
              <w:textAlignment w:val="bottom"/>
            </w:pPr>
            <w:hyperlink r:id="rId77" w:anchor="i8d805bfb1e1c4815a1dcd5b6d1e0b117_190" w:history="1">
              <w:r>
                <w:rPr>
                  <w:rStyle w:val="a5"/>
                  <w:rFonts w:ascii="Arial" w:eastAsia="宋体" w:hAnsi="Arial" w:cs="Arial"/>
                  <w:sz w:val="16"/>
                  <w:szCs w:val="16"/>
                </w:rPr>
                <w:t>Off-Balance Sheet Arrangements</w:t>
              </w:r>
            </w:hyperlink>
          </w:p>
        </w:tc>
        <w:tc>
          <w:tcPr>
            <w:tcW w:w="0" w:type="auto"/>
            <w:gridSpan w:val="3"/>
            <w:shd w:val="clear" w:color="auto" w:fill="auto"/>
            <w:tcMar>
              <w:top w:w="40" w:type="dxa"/>
              <w:left w:w="20" w:type="dxa"/>
              <w:bottom w:w="40" w:type="dxa"/>
              <w:right w:w="20" w:type="dxa"/>
            </w:tcMar>
            <w:vAlign w:val="bottom"/>
          </w:tcPr>
          <w:p w14:paraId="4090D7EF" w14:textId="77777777" w:rsidR="00833634" w:rsidRDefault="00E15D51">
            <w:pPr>
              <w:jc w:val="right"/>
              <w:textAlignment w:val="bottom"/>
            </w:pPr>
            <w:hyperlink r:id="rId78" w:anchor="i8d805bfb1e1c4815a1dcd5b6d1e0b117_190" w:history="1">
              <w:r>
                <w:rPr>
                  <w:rStyle w:val="a5"/>
                  <w:rFonts w:ascii="Arial" w:eastAsia="宋体" w:hAnsi="Arial" w:cs="Arial"/>
                  <w:sz w:val="16"/>
                  <w:szCs w:val="16"/>
                </w:rPr>
                <w:t>56</w:t>
              </w:r>
            </w:hyperlink>
          </w:p>
        </w:tc>
      </w:tr>
      <w:tr w:rsidR="00833634" w14:paraId="4090D7F4" w14:textId="77777777">
        <w:trPr>
          <w:jc w:val="center"/>
        </w:trPr>
        <w:tc>
          <w:tcPr>
            <w:tcW w:w="0" w:type="auto"/>
            <w:gridSpan w:val="3"/>
            <w:shd w:val="clear" w:color="auto" w:fill="auto"/>
            <w:tcMar>
              <w:top w:w="0" w:type="dxa"/>
              <w:left w:w="20" w:type="dxa"/>
              <w:bottom w:w="0" w:type="dxa"/>
              <w:right w:w="20" w:type="dxa"/>
            </w:tcMar>
          </w:tcPr>
          <w:p w14:paraId="4090D7F1"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F2" w14:textId="77777777" w:rsidR="00833634" w:rsidRDefault="00E15D51">
            <w:pPr>
              <w:textAlignment w:val="bottom"/>
            </w:pPr>
            <w:hyperlink r:id="rId79" w:anchor="i8d805bfb1e1c4815a1dcd5b6d1e0b117_193" w:history="1">
              <w:r>
                <w:rPr>
                  <w:rStyle w:val="a5"/>
                  <w:rFonts w:ascii="Arial" w:eastAsia="宋体" w:hAnsi="Arial" w:cs="Arial"/>
                  <w:sz w:val="16"/>
                  <w:szCs w:val="16"/>
                </w:rPr>
                <w:t>Contingent Obligations</w:t>
              </w:r>
            </w:hyperlink>
          </w:p>
        </w:tc>
        <w:tc>
          <w:tcPr>
            <w:tcW w:w="0" w:type="auto"/>
            <w:gridSpan w:val="3"/>
            <w:shd w:val="clear" w:color="auto" w:fill="auto"/>
            <w:tcMar>
              <w:top w:w="40" w:type="dxa"/>
              <w:left w:w="20" w:type="dxa"/>
              <w:bottom w:w="40" w:type="dxa"/>
              <w:right w:w="20" w:type="dxa"/>
            </w:tcMar>
            <w:vAlign w:val="bottom"/>
          </w:tcPr>
          <w:p w14:paraId="4090D7F3" w14:textId="77777777" w:rsidR="00833634" w:rsidRDefault="00E15D51">
            <w:pPr>
              <w:jc w:val="right"/>
              <w:textAlignment w:val="bottom"/>
            </w:pPr>
            <w:hyperlink r:id="rId80" w:anchor="i8d805bfb1e1c4815a1dcd5b6d1e0b117_193" w:history="1">
              <w:r>
                <w:rPr>
                  <w:rStyle w:val="a5"/>
                  <w:rFonts w:ascii="Arial" w:eastAsia="宋体" w:hAnsi="Arial" w:cs="Arial"/>
                  <w:sz w:val="16"/>
                  <w:szCs w:val="16"/>
                </w:rPr>
                <w:t>57</w:t>
              </w:r>
            </w:hyperlink>
          </w:p>
        </w:tc>
      </w:tr>
      <w:tr w:rsidR="00833634" w14:paraId="4090D7F8" w14:textId="77777777">
        <w:trPr>
          <w:jc w:val="center"/>
        </w:trPr>
        <w:tc>
          <w:tcPr>
            <w:tcW w:w="0" w:type="auto"/>
            <w:gridSpan w:val="3"/>
            <w:shd w:val="clear" w:color="auto" w:fill="auto"/>
            <w:tcMar>
              <w:top w:w="0" w:type="dxa"/>
              <w:left w:w="20" w:type="dxa"/>
              <w:bottom w:w="0" w:type="dxa"/>
              <w:right w:w="20" w:type="dxa"/>
            </w:tcMar>
          </w:tcPr>
          <w:p w14:paraId="4090D7F5"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7F6" w14:textId="77777777" w:rsidR="00833634" w:rsidRDefault="00E15D51">
            <w:pPr>
              <w:textAlignment w:val="bottom"/>
            </w:pPr>
            <w:hyperlink r:id="rId81" w:anchor="i8d805bfb1e1c4815a1dcd5b6d1e0b117_196" w:history="1">
              <w:r>
                <w:rPr>
                  <w:rStyle w:val="a5"/>
                  <w:rFonts w:ascii="Arial" w:eastAsia="宋体" w:hAnsi="Arial" w:cs="Arial"/>
                  <w:sz w:val="16"/>
                  <w:szCs w:val="16"/>
                </w:rPr>
                <w:t>Non-GAAP Measures</w:t>
              </w:r>
            </w:hyperlink>
          </w:p>
        </w:tc>
        <w:tc>
          <w:tcPr>
            <w:tcW w:w="0" w:type="auto"/>
            <w:gridSpan w:val="3"/>
            <w:shd w:val="clear" w:color="auto" w:fill="auto"/>
            <w:tcMar>
              <w:top w:w="40" w:type="dxa"/>
              <w:left w:w="20" w:type="dxa"/>
              <w:bottom w:w="40" w:type="dxa"/>
              <w:right w:w="20" w:type="dxa"/>
            </w:tcMar>
            <w:vAlign w:val="bottom"/>
          </w:tcPr>
          <w:p w14:paraId="4090D7F7" w14:textId="77777777" w:rsidR="00833634" w:rsidRDefault="00E15D51">
            <w:pPr>
              <w:jc w:val="right"/>
              <w:textAlignment w:val="bottom"/>
            </w:pPr>
            <w:hyperlink r:id="rId82" w:anchor="i8d805bfb1e1c4815a1dcd5b6d1e0b117_196" w:history="1">
              <w:r>
                <w:rPr>
                  <w:rStyle w:val="a5"/>
                  <w:rFonts w:ascii="Arial" w:eastAsia="宋体" w:hAnsi="Arial" w:cs="Arial"/>
                  <w:sz w:val="16"/>
                  <w:szCs w:val="16"/>
                </w:rPr>
                <w:t>58</w:t>
              </w:r>
            </w:hyperlink>
          </w:p>
        </w:tc>
      </w:tr>
      <w:tr w:rsidR="00833634" w14:paraId="4090D7FC" w14:textId="77777777">
        <w:trPr>
          <w:jc w:val="center"/>
        </w:trPr>
        <w:tc>
          <w:tcPr>
            <w:tcW w:w="0" w:type="auto"/>
            <w:gridSpan w:val="3"/>
            <w:shd w:val="clear" w:color="auto" w:fill="auto"/>
            <w:tcMar>
              <w:top w:w="40" w:type="dxa"/>
              <w:left w:w="20" w:type="dxa"/>
              <w:bottom w:w="40" w:type="dxa"/>
              <w:right w:w="20" w:type="dxa"/>
            </w:tcMar>
          </w:tcPr>
          <w:p w14:paraId="4090D7F9" w14:textId="77777777" w:rsidR="00833634" w:rsidRDefault="00E15D51">
            <w:pPr>
              <w:textAlignment w:val="top"/>
            </w:pPr>
            <w:r>
              <w:rPr>
                <w:rFonts w:ascii="Arial" w:eastAsia="宋体" w:hAnsi="Arial" w:cs="Arial"/>
                <w:color w:val="000000"/>
                <w:sz w:val="16"/>
                <w:szCs w:val="16"/>
              </w:rPr>
              <w:t>Item 3.</w:t>
            </w:r>
          </w:p>
        </w:tc>
        <w:tc>
          <w:tcPr>
            <w:tcW w:w="0" w:type="auto"/>
            <w:gridSpan w:val="3"/>
            <w:shd w:val="clear" w:color="auto" w:fill="auto"/>
            <w:tcMar>
              <w:top w:w="40" w:type="dxa"/>
              <w:left w:w="20" w:type="dxa"/>
              <w:bottom w:w="40" w:type="dxa"/>
              <w:right w:w="20" w:type="dxa"/>
            </w:tcMar>
            <w:vAlign w:val="bottom"/>
          </w:tcPr>
          <w:p w14:paraId="4090D7FA" w14:textId="77777777" w:rsidR="00833634" w:rsidRDefault="00E15D51">
            <w:pPr>
              <w:textAlignment w:val="bottom"/>
            </w:pPr>
            <w:hyperlink r:id="rId83" w:anchor="i8d805bfb1e1c4815a1dcd5b6d1e0b117_205" w:history="1">
              <w:r>
                <w:rPr>
                  <w:rStyle w:val="a5"/>
                  <w:rFonts w:ascii="Arial" w:eastAsia="宋体" w:hAnsi="Arial" w:cs="Arial"/>
                  <w:sz w:val="16"/>
                  <w:szCs w:val="16"/>
                </w:rPr>
                <w:t>Quantitative and Qualitati</w:t>
              </w:r>
              <w:r>
                <w:rPr>
                  <w:rStyle w:val="a5"/>
                  <w:rFonts w:ascii="Arial" w:eastAsia="宋体" w:hAnsi="Arial" w:cs="Arial"/>
                  <w:sz w:val="16"/>
                  <w:szCs w:val="16"/>
                </w:rPr>
                <w:t>ve Disclosures About Market Risk</w:t>
              </w:r>
            </w:hyperlink>
          </w:p>
        </w:tc>
        <w:tc>
          <w:tcPr>
            <w:tcW w:w="0" w:type="auto"/>
            <w:gridSpan w:val="3"/>
            <w:shd w:val="clear" w:color="auto" w:fill="auto"/>
            <w:tcMar>
              <w:top w:w="40" w:type="dxa"/>
              <w:left w:w="20" w:type="dxa"/>
              <w:bottom w:w="40" w:type="dxa"/>
              <w:right w:w="20" w:type="dxa"/>
            </w:tcMar>
            <w:vAlign w:val="bottom"/>
          </w:tcPr>
          <w:p w14:paraId="4090D7FB" w14:textId="77777777" w:rsidR="00833634" w:rsidRDefault="00E15D51">
            <w:pPr>
              <w:jc w:val="right"/>
              <w:textAlignment w:val="bottom"/>
            </w:pPr>
            <w:hyperlink r:id="rId84" w:anchor="i8d805bfb1e1c4815a1dcd5b6d1e0b117_205" w:history="1">
              <w:r>
                <w:rPr>
                  <w:rStyle w:val="a5"/>
                  <w:rFonts w:ascii="Arial" w:eastAsia="宋体" w:hAnsi="Arial" w:cs="Arial"/>
                  <w:sz w:val="16"/>
                  <w:szCs w:val="16"/>
                </w:rPr>
                <w:t>59</w:t>
              </w:r>
            </w:hyperlink>
          </w:p>
        </w:tc>
      </w:tr>
      <w:tr w:rsidR="00833634" w14:paraId="4090D800" w14:textId="77777777">
        <w:trPr>
          <w:trHeight w:val="60"/>
          <w:jc w:val="center"/>
        </w:trPr>
        <w:tc>
          <w:tcPr>
            <w:tcW w:w="0" w:type="auto"/>
            <w:gridSpan w:val="3"/>
            <w:shd w:val="clear" w:color="auto" w:fill="auto"/>
            <w:tcMar>
              <w:top w:w="0" w:type="dxa"/>
              <w:left w:w="20" w:type="dxa"/>
              <w:bottom w:w="0" w:type="dxa"/>
              <w:right w:w="20" w:type="dxa"/>
            </w:tcMar>
          </w:tcPr>
          <w:p w14:paraId="4090D7F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FE"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7FF" w14:textId="77777777" w:rsidR="00833634" w:rsidRDefault="00833634">
            <w:pPr>
              <w:rPr>
                <w:rFonts w:ascii="宋体"/>
              </w:rPr>
            </w:pPr>
          </w:p>
        </w:tc>
      </w:tr>
      <w:tr w:rsidR="00833634" w14:paraId="4090D804" w14:textId="77777777">
        <w:trPr>
          <w:jc w:val="center"/>
        </w:trPr>
        <w:tc>
          <w:tcPr>
            <w:tcW w:w="0" w:type="auto"/>
            <w:gridSpan w:val="3"/>
            <w:shd w:val="clear" w:color="auto" w:fill="auto"/>
            <w:tcMar>
              <w:top w:w="40" w:type="dxa"/>
              <w:left w:w="20" w:type="dxa"/>
              <w:bottom w:w="40" w:type="dxa"/>
              <w:right w:w="20" w:type="dxa"/>
            </w:tcMar>
          </w:tcPr>
          <w:p w14:paraId="4090D801" w14:textId="77777777" w:rsidR="00833634" w:rsidRDefault="00E15D51">
            <w:pPr>
              <w:textAlignment w:val="top"/>
            </w:pPr>
            <w:r>
              <w:rPr>
                <w:rFonts w:ascii="Arial" w:eastAsia="宋体" w:hAnsi="Arial" w:cs="Arial"/>
                <w:color w:val="000000"/>
                <w:sz w:val="16"/>
                <w:szCs w:val="16"/>
              </w:rPr>
              <w:t>Item 4.</w:t>
            </w:r>
          </w:p>
        </w:tc>
        <w:tc>
          <w:tcPr>
            <w:tcW w:w="0" w:type="auto"/>
            <w:gridSpan w:val="3"/>
            <w:shd w:val="clear" w:color="auto" w:fill="auto"/>
            <w:tcMar>
              <w:top w:w="40" w:type="dxa"/>
              <w:left w:w="20" w:type="dxa"/>
              <w:bottom w:w="40" w:type="dxa"/>
              <w:right w:w="20" w:type="dxa"/>
            </w:tcMar>
            <w:vAlign w:val="bottom"/>
          </w:tcPr>
          <w:p w14:paraId="4090D802" w14:textId="77777777" w:rsidR="00833634" w:rsidRDefault="00E15D51">
            <w:pPr>
              <w:textAlignment w:val="bottom"/>
            </w:pPr>
            <w:hyperlink r:id="rId85" w:anchor="i8d805bfb1e1c4815a1dcd5b6d1e0b117_208" w:history="1">
              <w:r>
                <w:rPr>
                  <w:rStyle w:val="a5"/>
                  <w:rFonts w:ascii="Arial" w:eastAsia="宋体" w:hAnsi="Arial" w:cs="Arial"/>
                  <w:sz w:val="16"/>
                  <w:szCs w:val="16"/>
                </w:rPr>
                <w:t>Controls and Procedures</w:t>
              </w:r>
            </w:hyperlink>
          </w:p>
        </w:tc>
        <w:tc>
          <w:tcPr>
            <w:tcW w:w="0" w:type="auto"/>
            <w:gridSpan w:val="3"/>
            <w:shd w:val="clear" w:color="auto" w:fill="auto"/>
            <w:tcMar>
              <w:top w:w="40" w:type="dxa"/>
              <w:left w:w="20" w:type="dxa"/>
              <w:bottom w:w="40" w:type="dxa"/>
              <w:right w:w="20" w:type="dxa"/>
            </w:tcMar>
            <w:vAlign w:val="bottom"/>
          </w:tcPr>
          <w:p w14:paraId="4090D803" w14:textId="77777777" w:rsidR="00833634" w:rsidRDefault="00E15D51">
            <w:pPr>
              <w:jc w:val="right"/>
              <w:textAlignment w:val="bottom"/>
            </w:pPr>
            <w:hyperlink r:id="rId86" w:anchor="i8d805bfb1e1c4815a1dcd5b6d1e0b117_208" w:history="1">
              <w:r>
                <w:rPr>
                  <w:rStyle w:val="a5"/>
                  <w:rFonts w:ascii="Arial" w:eastAsia="宋体" w:hAnsi="Arial" w:cs="Arial"/>
                  <w:sz w:val="16"/>
                  <w:szCs w:val="16"/>
                </w:rPr>
                <w:t>60</w:t>
              </w:r>
            </w:hyperlink>
          </w:p>
        </w:tc>
      </w:tr>
      <w:tr w:rsidR="00833634" w14:paraId="4090D808" w14:textId="77777777">
        <w:trPr>
          <w:trHeight w:val="60"/>
          <w:jc w:val="center"/>
        </w:trPr>
        <w:tc>
          <w:tcPr>
            <w:tcW w:w="0" w:type="auto"/>
            <w:gridSpan w:val="3"/>
            <w:shd w:val="clear" w:color="auto" w:fill="auto"/>
            <w:tcMar>
              <w:top w:w="0" w:type="dxa"/>
              <w:left w:w="20" w:type="dxa"/>
              <w:bottom w:w="0" w:type="dxa"/>
              <w:right w:w="20" w:type="dxa"/>
            </w:tcMar>
          </w:tcPr>
          <w:p w14:paraId="4090D805"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06"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07" w14:textId="77777777" w:rsidR="00833634" w:rsidRDefault="00833634">
            <w:pPr>
              <w:rPr>
                <w:rFonts w:ascii="宋体"/>
              </w:rPr>
            </w:pPr>
          </w:p>
        </w:tc>
      </w:tr>
      <w:tr w:rsidR="00833634" w14:paraId="4090D80B" w14:textId="77777777">
        <w:trPr>
          <w:jc w:val="center"/>
        </w:trPr>
        <w:tc>
          <w:tcPr>
            <w:tcW w:w="0" w:type="auto"/>
            <w:gridSpan w:val="6"/>
            <w:shd w:val="clear" w:color="auto" w:fill="auto"/>
            <w:tcMar>
              <w:top w:w="40" w:type="dxa"/>
              <w:left w:w="20" w:type="dxa"/>
              <w:bottom w:w="40" w:type="dxa"/>
              <w:right w:w="20" w:type="dxa"/>
            </w:tcMar>
          </w:tcPr>
          <w:p w14:paraId="4090D809" w14:textId="77777777" w:rsidR="00833634" w:rsidRDefault="00E15D51">
            <w:pPr>
              <w:textAlignment w:val="top"/>
            </w:pPr>
            <w:r>
              <w:rPr>
                <w:rFonts w:ascii="Arial" w:eastAsia="宋体" w:hAnsi="Arial" w:cs="Arial"/>
                <w:b/>
                <w:bCs/>
                <w:color w:val="000000"/>
                <w:sz w:val="16"/>
                <w:szCs w:val="16"/>
              </w:rPr>
              <w:t>Part II. Other Information</w:t>
            </w:r>
          </w:p>
        </w:tc>
        <w:tc>
          <w:tcPr>
            <w:tcW w:w="0" w:type="auto"/>
            <w:gridSpan w:val="3"/>
            <w:shd w:val="clear" w:color="auto" w:fill="auto"/>
            <w:tcMar>
              <w:top w:w="0" w:type="dxa"/>
              <w:left w:w="20" w:type="dxa"/>
              <w:bottom w:w="0" w:type="dxa"/>
              <w:right w:w="20" w:type="dxa"/>
            </w:tcMar>
          </w:tcPr>
          <w:p w14:paraId="4090D80A" w14:textId="77777777" w:rsidR="00833634" w:rsidRDefault="00833634">
            <w:pPr>
              <w:rPr>
                <w:rFonts w:ascii="宋体"/>
              </w:rPr>
            </w:pPr>
          </w:p>
        </w:tc>
      </w:tr>
      <w:tr w:rsidR="00833634" w14:paraId="4090D80F" w14:textId="77777777">
        <w:trPr>
          <w:trHeight w:val="60"/>
          <w:jc w:val="center"/>
        </w:trPr>
        <w:tc>
          <w:tcPr>
            <w:tcW w:w="0" w:type="auto"/>
            <w:gridSpan w:val="3"/>
            <w:shd w:val="clear" w:color="auto" w:fill="auto"/>
            <w:tcMar>
              <w:top w:w="0" w:type="dxa"/>
              <w:left w:w="20" w:type="dxa"/>
              <w:bottom w:w="0" w:type="dxa"/>
              <w:right w:w="20" w:type="dxa"/>
            </w:tcMar>
          </w:tcPr>
          <w:p w14:paraId="4090D80C"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0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0E" w14:textId="77777777" w:rsidR="00833634" w:rsidRDefault="00833634">
            <w:pPr>
              <w:rPr>
                <w:rFonts w:ascii="宋体"/>
              </w:rPr>
            </w:pPr>
          </w:p>
        </w:tc>
      </w:tr>
      <w:tr w:rsidR="00833634" w14:paraId="4090D813" w14:textId="77777777">
        <w:trPr>
          <w:jc w:val="center"/>
        </w:trPr>
        <w:tc>
          <w:tcPr>
            <w:tcW w:w="0" w:type="auto"/>
            <w:gridSpan w:val="3"/>
            <w:shd w:val="clear" w:color="auto" w:fill="auto"/>
            <w:tcMar>
              <w:top w:w="40" w:type="dxa"/>
              <w:left w:w="20" w:type="dxa"/>
              <w:bottom w:w="40" w:type="dxa"/>
              <w:right w:w="20" w:type="dxa"/>
            </w:tcMar>
          </w:tcPr>
          <w:p w14:paraId="4090D810" w14:textId="77777777" w:rsidR="00833634" w:rsidRDefault="00E15D51">
            <w:pPr>
              <w:textAlignment w:val="top"/>
            </w:pPr>
            <w:r>
              <w:rPr>
                <w:rFonts w:ascii="Arial" w:eastAsia="宋体" w:hAnsi="Arial" w:cs="Arial"/>
                <w:color w:val="000000"/>
                <w:sz w:val="16"/>
                <w:szCs w:val="16"/>
              </w:rPr>
              <w:t>Item 1.</w:t>
            </w:r>
          </w:p>
        </w:tc>
        <w:tc>
          <w:tcPr>
            <w:tcW w:w="0" w:type="auto"/>
            <w:gridSpan w:val="3"/>
            <w:shd w:val="clear" w:color="auto" w:fill="auto"/>
            <w:tcMar>
              <w:top w:w="40" w:type="dxa"/>
              <w:left w:w="20" w:type="dxa"/>
              <w:bottom w:w="40" w:type="dxa"/>
              <w:right w:w="20" w:type="dxa"/>
            </w:tcMar>
            <w:vAlign w:val="bottom"/>
          </w:tcPr>
          <w:p w14:paraId="4090D811" w14:textId="77777777" w:rsidR="00833634" w:rsidRDefault="00E15D51">
            <w:pPr>
              <w:textAlignment w:val="bottom"/>
            </w:pPr>
            <w:hyperlink r:id="rId87" w:anchor="i8d805bfb1e1c4815a1dcd5b6d1e0b117_214" w:history="1">
              <w:r>
                <w:rPr>
                  <w:rStyle w:val="a5"/>
                  <w:rFonts w:ascii="Arial" w:eastAsia="宋体" w:hAnsi="Arial" w:cs="Arial"/>
                  <w:sz w:val="16"/>
                  <w:szCs w:val="16"/>
                </w:rPr>
                <w:t>Legal Proceedings</w:t>
              </w:r>
            </w:hyperlink>
          </w:p>
        </w:tc>
        <w:tc>
          <w:tcPr>
            <w:tcW w:w="0" w:type="auto"/>
            <w:gridSpan w:val="3"/>
            <w:shd w:val="clear" w:color="auto" w:fill="auto"/>
            <w:tcMar>
              <w:top w:w="40" w:type="dxa"/>
              <w:left w:w="20" w:type="dxa"/>
              <w:bottom w:w="40" w:type="dxa"/>
              <w:right w:w="20" w:type="dxa"/>
            </w:tcMar>
            <w:vAlign w:val="bottom"/>
          </w:tcPr>
          <w:p w14:paraId="4090D812" w14:textId="77777777" w:rsidR="00833634" w:rsidRDefault="00E15D51">
            <w:pPr>
              <w:jc w:val="right"/>
              <w:textAlignment w:val="bottom"/>
            </w:pPr>
            <w:hyperlink r:id="rId88" w:anchor="i8d805bfb1e1c4815a1dcd5b6d1e0b117_214" w:history="1">
              <w:r>
                <w:rPr>
                  <w:rStyle w:val="a5"/>
                  <w:rFonts w:ascii="Arial" w:eastAsia="宋体" w:hAnsi="Arial" w:cs="Arial"/>
                  <w:sz w:val="16"/>
                  <w:szCs w:val="16"/>
                </w:rPr>
                <w:t>61</w:t>
              </w:r>
            </w:hyperlink>
          </w:p>
        </w:tc>
      </w:tr>
      <w:tr w:rsidR="00833634" w14:paraId="4090D817" w14:textId="77777777">
        <w:trPr>
          <w:trHeight w:val="60"/>
          <w:jc w:val="center"/>
        </w:trPr>
        <w:tc>
          <w:tcPr>
            <w:tcW w:w="0" w:type="auto"/>
            <w:gridSpan w:val="3"/>
            <w:shd w:val="clear" w:color="auto" w:fill="auto"/>
            <w:tcMar>
              <w:top w:w="0" w:type="dxa"/>
              <w:left w:w="20" w:type="dxa"/>
              <w:bottom w:w="0" w:type="dxa"/>
              <w:right w:w="20" w:type="dxa"/>
            </w:tcMar>
          </w:tcPr>
          <w:p w14:paraId="4090D814"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15"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16" w14:textId="77777777" w:rsidR="00833634" w:rsidRDefault="00833634">
            <w:pPr>
              <w:rPr>
                <w:rFonts w:ascii="宋体"/>
              </w:rPr>
            </w:pPr>
          </w:p>
        </w:tc>
      </w:tr>
      <w:tr w:rsidR="00833634" w14:paraId="4090D81B" w14:textId="77777777">
        <w:trPr>
          <w:jc w:val="center"/>
        </w:trPr>
        <w:tc>
          <w:tcPr>
            <w:tcW w:w="0" w:type="auto"/>
            <w:gridSpan w:val="3"/>
            <w:shd w:val="clear" w:color="auto" w:fill="auto"/>
            <w:tcMar>
              <w:top w:w="40" w:type="dxa"/>
              <w:left w:w="20" w:type="dxa"/>
              <w:bottom w:w="40" w:type="dxa"/>
              <w:right w:w="20" w:type="dxa"/>
            </w:tcMar>
          </w:tcPr>
          <w:p w14:paraId="4090D818" w14:textId="77777777" w:rsidR="00833634" w:rsidRDefault="00E15D51">
            <w:pPr>
              <w:textAlignment w:val="top"/>
            </w:pPr>
            <w:r>
              <w:rPr>
                <w:rFonts w:ascii="Arial" w:eastAsia="宋体" w:hAnsi="Arial" w:cs="Arial"/>
                <w:color w:val="000000"/>
                <w:sz w:val="16"/>
                <w:szCs w:val="16"/>
              </w:rPr>
              <w:t>Item 1A.</w:t>
            </w:r>
          </w:p>
        </w:tc>
        <w:tc>
          <w:tcPr>
            <w:tcW w:w="0" w:type="auto"/>
            <w:gridSpan w:val="3"/>
            <w:shd w:val="clear" w:color="auto" w:fill="auto"/>
            <w:tcMar>
              <w:top w:w="40" w:type="dxa"/>
              <w:left w:w="20" w:type="dxa"/>
              <w:bottom w:w="40" w:type="dxa"/>
              <w:right w:w="20" w:type="dxa"/>
            </w:tcMar>
            <w:vAlign w:val="bottom"/>
          </w:tcPr>
          <w:p w14:paraId="4090D819" w14:textId="77777777" w:rsidR="00833634" w:rsidRDefault="00E15D51">
            <w:pPr>
              <w:textAlignment w:val="bottom"/>
            </w:pPr>
            <w:hyperlink r:id="rId89" w:anchor="i8d805bfb1e1c4815a1dcd5b6d1e0b117_217" w:history="1">
              <w:r>
                <w:rPr>
                  <w:rStyle w:val="a5"/>
                  <w:rFonts w:ascii="Arial" w:eastAsia="宋体" w:hAnsi="Arial" w:cs="Arial"/>
                  <w:sz w:val="16"/>
                  <w:szCs w:val="16"/>
                </w:rPr>
                <w:t>Risk Factors</w:t>
              </w:r>
            </w:hyperlink>
          </w:p>
        </w:tc>
        <w:tc>
          <w:tcPr>
            <w:tcW w:w="0" w:type="auto"/>
            <w:gridSpan w:val="3"/>
            <w:shd w:val="clear" w:color="auto" w:fill="auto"/>
            <w:tcMar>
              <w:top w:w="40" w:type="dxa"/>
              <w:left w:w="20" w:type="dxa"/>
              <w:bottom w:w="40" w:type="dxa"/>
              <w:right w:w="20" w:type="dxa"/>
            </w:tcMar>
            <w:vAlign w:val="bottom"/>
          </w:tcPr>
          <w:p w14:paraId="4090D81A" w14:textId="77777777" w:rsidR="00833634" w:rsidRDefault="00E15D51">
            <w:pPr>
              <w:jc w:val="right"/>
              <w:textAlignment w:val="bottom"/>
            </w:pPr>
            <w:hyperlink r:id="rId90" w:anchor="i8d805bfb1e1c4815a1dcd5b6d1e0b117_217" w:history="1">
              <w:r>
                <w:rPr>
                  <w:rStyle w:val="a5"/>
                  <w:rFonts w:ascii="Arial" w:eastAsia="宋体" w:hAnsi="Arial" w:cs="Arial"/>
                  <w:sz w:val="16"/>
                  <w:szCs w:val="16"/>
                </w:rPr>
                <w:t>61</w:t>
              </w:r>
            </w:hyperlink>
          </w:p>
        </w:tc>
      </w:tr>
      <w:tr w:rsidR="00833634" w14:paraId="4090D81F" w14:textId="77777777">
        <w:trPr>
          <w:trHeight w:val="60"/>
          <w:jc w:val="center"/>
        </w:trPr>
        <w:tc>
          <w:tcPr>
            <w:tcW w:w="0" w:type="auto"/>
            <w:gridSpan w:val="3"/>
            <w:shd w:val="clear" w:color="auto" w:fill="auto"/>
            <w:tcMar>
              <w:top w:w="0" w:type="dxa"/>
              <w:left w:w="20" w:type="dxa"/>
              <w:bottom w:w="0" w:type="dxa"/>
              <w:right w:w="20" w:type="dxa"/>
            </w:tcMar>
          </w:tcPr>
          <w:p w14:paraId="4090D81C"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1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1E" w14:textId="77777777" w:rsidR="00833634" w:rsidRDefault="00833634">
            <w:pPr>
              <w:rPr>
                <w:rFonts w:ascii="宋体"/>
              </w:rPr>
            </w:pPr>
          </w:p>
        </w:tc>
      </w:tr>
      <w:tr w:rsidR="00833634" w14:paraId="4090D823" w14:textId="77777777">
        <w:trPr>
          <w:jc w:val="center"/>
        </w:trPr>
        <w:tc>
          <w:tcPr>
            <w:tcW w:w="0" w:type="auto"/>
            <w:gridSpan w:val="3"/>
            <w:shd w:val="clear" w:color="auto" w:fill="auto"/>
            <w:tcMar>
              <w:top w:w="40" w:type="dxa"/>
              <w:left w:w="20" w:type="dxa"/>
              <w:bottom w:w="40" w:type="dxa"/>
              <w:right w:w="20" w:type="dxa"/>
            </w:tcMar>
          </w:tcPr>
          <w:p w14:paraId="4090D820" w14:textId="77777777" w:rsidR="00833634" w:rsidRDefault="00E15D51">
            <w:pPr>
              <w:textAlignment w:val="top"/>
            </w:pPr>
            <w:r>
              <w:rPr>
                <w:rFonts w:ascii="Arial" w:eastAsia="宋体" w:hAnsi="Arial" w:cs="Arial"/>
                <w:color w:val="000000"/>
                <w:sz w:val="16"/>
                <w:szCs w:val="16"/>
              </w:rPr>
              <w:t>Item 2.</w:t>
            </w:r>
          </w:p>
        </w:tc>
        <w:tc>
          <w:tcPr>
            <w:tcW w:w="0" w:type="auto"/>
            <w:gridSpan w:val="3"/>
            <w:shd w:val="clear" w:color="auto" w:fill="auto"/>
            <w:tcMar>
              <w:top w:w="40" w:type="dxa"/>
              <w:left w:w="20" w:type="dxa"/>
              <w:bottom w:w="40" w:type="dxa"/>
              <w:right w:w="20" w:type="dxa"/>
            </w:tcMar>
            <w:vAlign w:val="bottom"/>
          </w:tcPr>
          <w:p w14:paraId="4090D821" w14:textId="77777777" w:rsidR="00833634" w:rsidRDefault="00E15D51">
            <w:pPr>
              <w:textAlignment w:val="bottom"/>
            </w:pPr>
            <w:hyperlink r:id="rId91" w:anchor="i8d805bfb1e1c4815a1dcd5b6d1e0b117_220" w:history="1">
              <w:r>
                <w:rPr>
                  <w:rStyle w:val="a5"/>
                  <w:rFonts w:ascii="Arial" w:eastAsia="宋体" w:hAnsi="Arial" w:cs="Arial"/>
                  <w:sz w:val="16"/>
                  <w:szCs w:val="16"/>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4090D822" w14:textId="77777777" w:rsidR="00833634" w:rsidRDefault="00E15D51">
            <w:pPr>
              <w:jc w:val="right"/>
              <w:textAlignment w:val="bottom"/>
            </w:pPr>
            <w:hyperlink r:id="rId92" w:anchor="i8d805bfb1e1c4815a1dcd5b6d1e0b117_220" w:history="1">
              <w:r>
                <w:rPr>
                  <w:rStyle w:val="a5"/>
                  <w:rFonts w:ascii="Arial" w:eastAsia="宋体" w:hAnsi="Arial" w:cs="Arial"/>
                  <w:sz w:val="16"/>
                  <w:szCs w:val="16"/>
                </w:rPr>
                <w:t>63</w:t>
              </w:r>
            </w:hyperlink>
          </w:p>
        </w:tc>
      </w:tr>
      <w:tr w:rsidR="00833634" w14:paraId="4090D827" w14:textId="77777777">
        <w:trPr>
          <w:trHeight w:val="60"/>
          <w:jc w:val="center"/>
        </w:trPr>
        <w:tc>
          <w:tcPr>
            <w:tcW w:w="0" w:type="auto"/>
            <w:gridSpan w:val="3"/>
            <w:shd w:val="clear" w:color="auto" w:fill="auto"/>
            <w:tcMar>
              <w:top w:w="0" w:type="dxa"/>
              <w:left w:w="20" w:type="dxa"/>
              <w:bottom w:w="0" w:type="dxa"/>
              <w:right w:w="20" w:type="dxa"/>
            </w:tcMar>
          </w:tcPr>
          <w:p w14:paraId="4090D824"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25"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26" w14:textId="77777777" w:rsidR="00833634" w:rsidRDefault="00833634">
            <w:pPr>
              <w:rPr>
                <w:rFonts w:ascii="宋体"/>
              </w:rPr>
            </w:pPr>
          </w:p>
        </w:tc>
      </w:tr>
      <w:tr w:rsidR="00833634" w14:paraId="4090D82B" w14:textId="77777777">
        <w:trPr>
          <w:jc w:val="center"/>
        </w:trPr>
        <w:tc>
          <w:tcPr>
            <w:tcW w:w="0" w:type="auto"/>
            <w:gridSpan w:val="3"/>
            <w:shd w:val="clear" w:color="auto" w:fill="auto"/>
            <w:tcMar>
              <w:top w:w="40" w:type="dxa"/>
              <w:left w:w="20" w:type="dxa"/>
              <w:bottom w:w="40" w:type="dxa"/>
              <w:right w:w="20" w:type="dxa"/>
            </w:tcMar>
          </w:tcPr>
          <w:p w14:paraId="4090D828" w14:textId="77777777" w:rsidR="00833634" w:rsidRDefault="00E15D51">
            <w:pPr>
              <w:textAlignment w:val="top"/>
            </w:pPr>
            <w:r>
              <w:rPr>
                <w:rFonts w:ascii="Arial" w:eastAsia="宋体" w:hAnsi="Arial" w:cs="Arial"/>
                <w:color w:val="000000"/>
                <w:sz w:val="16"/>
                <w:szCs w:val="16"/>
              </w:rPr>
              <w:t>Item 3.</w:t>
            </w:r>
          </w:p>
        </w:tc>
        <w:tc>
          <w:tcPr>
            <w:tcW w:w="0" w:type="auto"/>
            <w:gridSpan w:val="3"/>
            <w:shd w:val="clear" w:color="auto" w:fill="auto"/>
            <w:tcMar>
              <w:top w:w="40" w:type="dxa"/>
              <w:left w:w="20" w:type="dxa"/>
              <w:bottom w:w="40" w:type="dxa"/>
              <w:right w:w="20" w:type="dxa"/>
            </w:tcMar>
            <w:vAlign w:val="bottom"/>
          </w:tcPr>
          <w:p w14:paraId="4090D829" w14:textId="77777777" w:rsidR="00833634" w:rsidRDefault="00E15D51">
            <w:pPr>
              <w:textAlignment w:val="bottom"/>
            </w:pPr>
            <w:hyperlink r:id="rId93" w:anchor="i8d805bfb1e1c4815a1dcd5b6d1e0b117_223" w:history="1">
              <w:r>
                <w:rPr>
                  <w:rStyle w:val="a5"/>
                  <w:rFonts w:ascii="Arial" w:eastAsia="宋体" w:hAnsi="Arial" w:cs="Arial"/>
                  <w:sz w:val="16"/>
                  <w:szCs w:val="16"/>
                </w:rPr>
                <w:t>Defaults Upon Senior Securities</w:t>
              </w:r>
            </w:hyperlink>
          </w:p>
        </w:tc>
        <w:tc>
          <w:tcPr>
            <w:tcW w:w="0" w:type="auto"/>
            <w:gridSpan w:val="3"/>
            <w:shd w:val="clear" w:color="auto" w:fill="auto"/>
            <w:tcMar>
              <w:top w:w="40" w:type="dxa"/>
              <w:left w:w="20" w:type="dxa"/>
              <w:bottom w:w="40" w:type="dxa"/>
              <w:right w:w="20" w:type="dxa"/>
            </w:tcMar>
            <w:vAlign w:val="bottom"/>
          </w:tcPr>
          <w:p w14:paraId="4090D82A" w14:textId="77777777" w:rsidR="00833634" w:rsidRDefault="00E15D51">
            <w:pPr>
              <w:jc w:val="right"/>
              <w:textAlignment w:val="bottom"/>
            </w:pPr>
            <w:hyperlink r:id="rId94" w:anchor="i8d805bfb1e1c4815a1dcd5b6d1e0b117_223" w:history="1">
              <w:r>
                <w:rPr>
                  <w:rStyle w:val="a5"/>
                  <w:rFonts w:ascii="Arial" w:eastAsia="宋体" w:hAnsi="Arial" w:cs="Arial"/>
                  <w:sz w:val="16"/>
                  <w:szCs w:val="16"/>
                </w:rPr>
                <w:t>63</w:t>
              </w:r>
            </w:hyperlink>
          </w:p>
        </w:tc>
      </w:tr>
      <w:tr w:rsidR="00833634" w14:paraId="4090D82F" w14:textId="77777777">
        <w:trPr>
          <w:trHeight w:val="60"/>
          <w:jc w:val="center"/>
        </w:trPr>
        <w:tc>
          <w:tcPr>
            <w:tcW w:w="0" w:type="auto"/>
            <w:gridSpan w:val="3"/>
            <w:shd w:val="clear" w:color="auto" w:fill="auto"/>
            <w:tcMar>
              <w:top w:w="0" w:type="dxa"/>
              <w:left w:w="20" w:type="dxa"/>
              <w:bottom w:w="0" w:type="dxa"/>
              <w:right w:w="20" w:type="dxa"/>
            </w:tcMar>
          </w:tcPr>
          <w:p w14:paraId="4090D82C"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2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2E" w14:textId="77777777" w:rsidR="00833634" w:rsidRDefault="00833634">
            <w:pPr>
              <w:rPr>
                <w:rFonts w:ascii="宋体"/>
              </w:rPr>
            </w:pPr>
          </w:p>
        </w:tc>
      </w:tr>
      <w:tr w:rsidR="00833634" w14:paraId="4090D833" w14:textId="77777777">
        <w:trPr>
          <w:jc w:val="center"/>
        </w:trPr>
        <w:tc>
          <w:tcPr>
            <w:tcW w:w="0" w:type="auto"/>
            <w:gridSpan w:val="3"/>
            <w:shd w:val="clear" w:color="auto" w:fill="auto"/>
            <w:tcMar>
              <w:top w:w="40" w:type="dxa"/>
              <w:left w:w="20" w:type="dxa"/>
              <w:bottom w:w="40" w:type="dxa"/>
              <w:right w:w="20" w:type="dxa"/>
            </w:tcMar>
          </w:tcPr>
          <w:p w14:paraId="4090D830" w14:textId="77777777" w:rsidR="00833634" w:rsidRDefault="00E15D51">
            <w:pPr>
              <w:textAlignment w:val="top"/>
            </w:pPr>
            <w:r>
              <w:rPr>
                <w:rFonts w:ascii="Arial" w:eastAsia="宋体" w:hAnsi="Arial" w:cs="Arial"/>
                <w:color w:val="000000"/>
                <w:sz w:val="16"/>
                <w:szCs w:val="16"/>
              </w:rPr>
              <w:t>Item 4.</w:t>
            </w:r>
          </w:p>
        </w:tc>
        <w:tc>
          <w:tcPr>
            <w:tcW w:w="0" w:type="auto"/>
            <w:gridSpan w:val="3"/>
            <w:shd w:val="clear" w:color="auto" w:fill="auto"/>
            <w:tcMar>
              <w:top w:w="40" w:type="dxa"/>
              <w:left w:w="20" w:type="dxa"/>
              <w:bottom w:w="40" w:type="dxa"/>
              <w:right w:w="20" w:type="dxa"/>
            </w:tcMar>
            <w:vAlign w:val="bottom"/>
          </w:tcPr>
          <w:p w14:paraId="4090D831" w14:textId="77777777" w:rsidR="00833634" w:rsidRDefault="00E15D51">
            <w:pPr>
              <w:textAlignment w:val="bottom"/>
            </w:pPr>
            <w:hyperlink r:id="rId95" w:anchor="i8d805bfb1e1c4815a1dcd5b6d1e0b117_226" w:history="1">
              <w:r>
                <w:rPr>
                  <w:rStyle w:val="a5"/>
                  <w:rFonts w:ascii="Arial" w:eastAsia="宋体" w:hAnsi="Arial" w:cs="Arial"/>
                  <w:sz w:val="16"/>
                  <w:szCs w:val="16"/>
                </w:rPr>
                <w:t>Mine Safety Disclosures</w:t>
              </w:r>
            </w:hyperlink>
          </w:p>
        </w:tc>
        <w:tc>
          <w:tcPr>
            <w:tcW w:w="0" w:type="auto"/>
            <w:gridSpan w:val="3"/>
            <w:shd w:val="clear" w:color="auto" w:fill="auto"/>
            <w:tcMar>
              <w:top w:w="40" w:type="dxa"/>
              <w:left w:w="20" w:type="dxa"/>
              <w:bottom w:w="40" w:type="dxa"/>
              <w:right w:w="20" w:type="dxa"/>
            </w:tcMar>
            <w:vAlign w:val="bottom"/>
          </w:tcPr>
          <w:p w14:paraId="4090D832" w14:textId="77777777" w:rsidR="00833634" w:rsidRDefault="00E15D51">
            <w:pPr>
              <w:jc w:val="right"/>
              <w:textAlignment w:val="bottom"/>
            </w:pPr>
            <w:hyperlink r:id="rId96" w:anchor="i8d805bfb1e1c4815a1dcd5b6d1e0b117_226" w:history="1">
              <w:r>
                <w:rPr>
                  <w:rStyle w:val="a5"/>
                  <w:rFonts w:ascii="Arial" w:eastAsia="宋体" w:hAnsi="Arial" w:cs="Arial"/>
                  <w:sz w:val="16"/>
                  <w:szCs w:val="16"/>
                </w:rPr>
                <w:t>63</w:t>
              </w:r>
            </w:hyperlink>
          </w:p>
        </w:tc>
      </w:tr>
      <w:tr w:rsidR="00833634" w14:paraId="4090D837" w14:textId="77777777">
        <w:trPr>
          <w:trHeight w:val="60"/>
          <w:jc w:val="center"/>
        </w:trPr>
        <w:tc>
          <w:tcPr>
            <w:tcW w:w="0" w:type="auto"/>
            <w:gridSpan w:val="3"/>
            <w:shd w:val="clear" w:color="auto" w:fill="auto"/>
            <w:tcMar>
              <w:top w:w="0" w:type="dxa"/>
              <w:left w:w="20" w:type="dxa"/>
              <w:bottom w:w="0" w:type="dxa"/>
              <w:right w:w="20" w:type="dxa"/>
            </w:tcMar>
          </w:tcPr>
          <w:p w14:paraId="4090D834"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35"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36" w14:textId="77777777" w:rsidR="00833634" w:rsidRDefault="00833634">
            <w:pPr>
              <w:rPr>
                <w:rFonts w:ascii="宋体"/>
              </w:rPr>
            </w:pPr>
          </w:p>
        </w:tc>
      </w:tr>
      <w:tr w:rsidR="00833634" w14:paraId="4090D83B" w14:textId="77777777">
        <w:trPr>
          <w:jc w:val="center"/>
        </w:trPr>
        <w:tc>
          <w:tcPr>
            <w:tcW w:w="0" w:type="auto"/>
            <w:gridSpan w:val="3"/>
            <w:shd w:val="clear" w:color="auto" w:fill="auto"/>
            <w:tcMar>
              <w:top w:w="40" w:type="dxa"/>
              <w:left w:w="20" w:type="dxa"/>
              <w:bottom w:w="40" w:type="dxa"/>
              <w:right w:w="20" w:type="dxa"/>
            </w:tcMar>
          </w:tcPr>
          <w:p w14:paraId="4090D838" w14:textId="77777777" w:rsidR="00833634" w:rsidRDefault="00E15D51">
            <w:pPr>
              <w:textAlignment w:val="top"/>
            </w:pPr>
            <w:r>
              <w:rPr>
                <w:rFonts w:ascii="Arial" w:eastAsia="宋体" w:hAnsi="Arial" w:cs="Arial"/>
                <w:color w:val="000000"/>
                <w:sz w:val="16"/>
                <w:szCs w:val="16"/>
              </w:rPr>
              <w:t>Item 5.</w:t>
            </w:r>
          </w:p>
        </w:tc>
        <w:tc>
          <w:tcPr>
            <w:tcW w:w="0" w:type="auto"/>
            <w:gridSpan w:val="3"/>
            <w:shd w:val="clear" w:color="auto" w:fill="auto"/>
            <w:tcMar>
              <w:top w:w="40" w:type="dxa"/>
              <w:left w:w="20" w:type="dxa"/>
              <w:bottom w:w="40" w:type="dxa"/>
              <w:right w:w="20" w:type="dxa"/>
            </w:tcMar>
            <w:vAlign w:val="bottom"/>
          </w:tcPr>
          <w:p w14:paraId="4090D839" w14:textId="77777777" w:rsidR="00833634" w:rsidRDefault="00E15D51">
            <w:pPr>
              <w:textAlignment w:val="bottom"/>
            </w:pPr>
            <w:hyperlink r:id="rId97" w:anchor="i8d805bfb1e1c4815a1dcd5b6d1e0b117_229" w:history="1">
              <w:r>
                <w:rPr>
                  <w:rStyle w:val="a5"/>
                  <w:rFonts w:ascii="Arial" w:eastAsia="宋体" w:hAnsi="Arial" w:cs="Arial"/>
                  <w:sz w:val="16"/>
                  <w:szCs w:val="16"/>
                </w:rPr>
                <w:t>Other Information</w:t>
              </w:r>
            </w:hyperlink>
          </w:p>
        </w:tc>
        <w:tc>
          <w:tcPr>
            <w:tcW w:w="0" w:type="auto"/>
            <w:gridSpan w:val="3"/>
            <w:shd w:val="clear" w:color="auto" w:fill="auto"/>
            <w:tcMar>
              <w:top w:w="40" w:type="dxa"/>
              <w:left w:w="20" w:type="dxa"/>
              <w:bottom w:w="40" w:type="dxa"/>
              <w:right w:w="20" w:type="dxa"/>
            </w:tcMar>
            <w:vAlign w:val="bottom"/>
          </w:tcPr>
          <w:p w14:paraId="4090D83A" w14:textId="77777777" w:rsidR="00833634" w:rsidRDefault="00E15D51">
            <w:pPr>
              <w:jc w:val="right"/>
              <w:textAlignment w:val="bottom"/>
            </w:pPr>
            <w:hyperlink r:id="rId98" w:anchor="i8d805bfb1e1c4815a1dcd5b6d1e0b117_229" w:history="1">
              <w:r>
                <w:rPr>
                  <w:rStyle w:val="a5"/>
                  <w:rFonts w:ascii="Arial" w:eastAsia="宋体" w:hAnsi="Arial" w:cs="Arial"/>
                  <w:sz w:val="16"/>
                  <w:szCs w:val="16"/>
                </w:rPr>
                <w:t>63</w:t>
              </w:r>
            </w:hyperlink>
          </w:p>
        </w:tc>
      </w:tr>
      <w:tr w:rsidR="00833634" w14:paraId="4090D83F" w14:textId="77777777">
        <w:trPr>
          <w:trHeight w:val="60"/>
          <w:jc w:val="center"/>
        </w:trPr>
        <w:tc>
          <w:tcPr>
            <w:tcW w:w="0" w:type="auto"/>
            <w:gridSpan w:val="3"/>
            <w:shd w:val="clear" w:color="auto" w:fill="auto"/>
            <w:tcMar>
              <w:top w:w="0" w:type="dxa"/>
              <w:left w:w="20" w:type="dxa"/>
              <w:bottom w:w="0" w:type="dxa"/>
              <w:right w:w="20" w:type="dxa"/>
            </w:tcMar>
          </w:tcPr>
          <w:p w14:paraId="4090D83C"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3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3E" w14:textId="77777777" w:rsidR="00833634" w:rsidRDefault="00833634">
            <w:pPr>
              <w:rPr>
                <w:rFonts w:ascii="宋体"/>
              </w:rPr>
            </w:pPr>
          </w:p>
        </w:tc>
      </w:tr>
      <w:tr w:rsidR="00833634" w14:paraId="4090D843" w14:textId="77777777">
        <w:trPr>
          <w:jc w:val="center"/>
        </w:trPr>
        <w:tc>
          <w:tcPr>
            <w:tcW w:w="0" w:type="auto"/>
            <w:gridSpan w:val="3"/>
            <w:shd w:val="clear" w:color="auto" w:fill="auto"/>
            <w:tcMar>
              <w:top w:w="40" w:type="dxa"/>
              <w:left w:w="20" w:type="dxa"/>
              <w:bottom w:w="40" w:type="dxa"/>
              <w:right w:w="20" w:type="dxa"/>
            </w:tcMar>
            <w:vAlign w:val="bottom"/>
          </w:tcPr>
          <w:p w14:paraId="4090D840" w14:textId="77777777" w:rsidR="00833634" w:rsidRDefault="00E15D51">
            <w:pPr>
              <w:textAlignment w:val="bottom"/>
            </w:pPr>
            <w:r>
              <w:rPr>
                <w:rFonts w:ascii="Arial" w:eastAsia="宋体" w:hAnsi="Arial" w:cs="Arial"/>
                <w:color w:val="000000"/>
                <w:sz w:val="16"/>
                <w:szCs w:val="16"/>
              </w:rPr>
              <w:t>Item 6.</w:t>
            </w:r>
          </w:p>
        </w:tc>
        <w:tc>
          <w:tcPr>
            <w:tcW w:w="0" w:type="auto"/>
            <w:gridSpan w:val="3"/>
            <w:shd w:val="clear" w:color="auto" w:fill="auto"/>
            <w:tcMar>
              <w:top w:w="40" w:type="dxa"/>
              <w:left w:w="20" w:type="dxa"/>
              <w:bottom w:w="40" w:type="dxa"/>
              <w:right w:w="20" w:type="dxa"/>
            </w:tcMar>
            <w:vAlign w:val="bottom"/>
          </w:tcPr>
          <w:p w14:paraId="4090D841" w14:textId="77777777" w:rsidR="00833634" w:rsidRDefault="00E15D51">
            <w:pPr>
              <w:textAlignment w:val="bottom"/>
            </w:pPr>
            <w:hyperlink r:id="rId99" w:anchor="i8d805bfb1e1c4815a1dcd5b6d1e0b117_232" w:history="1">
              <w:r>
                <w:rPr>
                  <w:rStyle w:val="a5"/>
                  <w:rFonts w:ascii="Arial" w:eastAsia="宋体" w:hAnsi="Arial" w:cs="Arial"/>
                  <w:sz w:val="16"/>
                  <w:szCs w:val="16"/>
                </w:rPr>
                <w:t>Exhibits</w:t>
              </w:r>
            </w:hyperlink>
          </w:p>
        </w:tc>
        <w:tc>
          <w:tcPr>
            <w:tcW w:w="0" w:type="auto"/>
            <w:gridSpan w:val="3"/>
            <w:shd w:val="clear" w:color="auto" w:fill="auto"/>
            <w:tcMar>
              <w:top w:w="40" w:type="dxa"/>
              <w:left w:w="20" w:type="dxa"/>
              <w:bottom w:w="40" w:type="dxa"/>
              <w:right w:w="20" w:type="dxa"/>
            </w:tcMar>
            <w:vAlign w:val="bottom"/>
          </w:tcPr>
          <w:p w14:paraId="4090D842" w14:textId="77777777" w:rsidR="00833634" w:rsidRDefault="00E15D51">
            <w:pPr>
              <w:jc w:val="right"/>
              <w:textAlignment w:val="bottom"/>
            </w:pPr>
            <w:hyperlink r:id="rId100" w:anchor="i8d805bfb1e1c4815a1dcd5b6d1e0b117_232" w:history="1">
              <w:r>
                <w:rPr>
                  <w:rStyle w:val="a5"/>
                  <w:rFonts w:ascii="Arial" w:eastAsia="宋体" w:hAnsi="Arial" w:cs="Arial"/>
                  <w:sz w:val="16"/>
                  <w:szCs w:val="16"/>
                </w:rPr>
                <w:t>64</w:t>
              </w:r>
            </w:hyperlink>
          </w:p>
        </w:tc>
      </w:tr>
      <w:tr w:rsidR="00833634" w14:paraId="4090D847" w14:textId="77777777">
        <w:trPr>
          <w:trHeight w:val="60"/>
          <w:jc w:val="center"/>
        </w:trPr>
        <w:tc>
          <w:tcPr>
            <w:tcW w:w="0" w:type="auto"/>
            <w:gridSpan w:val="3"/>
            <w:shd w:val="clear" w:color="auto" w:fill="auto"/>
            <w:tcMar>
              <w:top w:w="0" w:type="dxa"/>
              <w:left w:w="20" w:type="dxa"/>
              <w:bottom w:w="0" w:type="dxa"/>
              <w:right w:w="20" w:type="dxa"/>
            </w:tcMar>
          </w:tcPr>
          <w:p w14:paraId="4090D844"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45"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D846" w14:textId="77777777" w:rsidR="00833634" w:rsidRDefault="00833634">
            <w:pPr>
              <w:rPr>
                <w:rFonts w:ascii="宋体"/>
              </w:rPr>
            </w:pPr>
          </w:p>
        </w:tc>
      </w:tr>
      <w:tr w:rsidR="00833634" w14:paraId="4090D84B" w14:textId="77777777">
        <w:trPr>
          <w:jc w:val="center"/>
        </w:trPr>
        <w:tc>
          <w:tcPr>
            <w:tcW w:w="0" w:type="auto"/>
            <w:gridSpan w:val="3"/>
            <w:shd w:val="clear" w:color="auto" w:fill="auto"/>
            <w:tcMar>
              <w:top w:w="40" w:type="dxa"/>
              <w:left w:w="20" w:type="dxa"/>
              <w:bottom w:w="40" w:type="dxa"/>
              <w:right w:w="20" w:type="dxa"/>
            </w:tcMar>
            <w:vAlign w:val="bottom"/>
          </w:tcPr>
          <w:p w14:paraId="4090D848" w14:textId="77777777" w:rsidR="00833634" w:rsidRDefault="00E15D51">
            <w:pPr>
              <w:textAlignment w:val="bottom"/>
            </w:pPr>
            <w:hyperlink r:id="rId101" w:anchor="i8d805bfb1e1c4815a1dcd5b6d1e0b117_235" w:history="1">
              <w:r>
                <w:rPr>
                  <w:rStyle w:val="a5"/>
                  <w:rFonts w:ascii="Arial" w:eastAsia="宋体" w:hAnsi="Arial" w:cs="Arial"/>
                  <w:sz w:val="16"/>
                  <w:szCs w:val="16"/>
                </w:rPr>
                <w:t>Signature</w:t>
              </w:r>
            </w:hyperlink>
          </w:p>
        </w:tc>
        <w:tc>
          <w:tcPr>
            <w:tcW w:w="0" w:type="auto"/>
            <w:gridSpan w:val="3"/>
            <w:shd w:val="clear" w:color="auto" w:fill="auto"/>
            <w:tcMar>
              <w:top w:w="0" w:type="dxa"/>
              <w:left w:w="20" w:type="dxa"/>
              <w:bottom w:w="0" w:type="dxa"/>
              <w:right w:w="20" w:type="dxa"/>
            </w:tcMar>
          </w:tcPr>
          <w:p w14:paraId="4090D849"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84A" w14:textId="77777777" w:rsidR="00833634" w:rsidRDefault="00E15D51">
            <w:pPr>
              <w:jc w:val="right"/>
              <w:textAlignment w:val="bottom"/>
            </w:pPr>
            <w:hyperlink r:id="rId102" w:anchor="i8d805bfb1e1c4815a1dcd5b6d1e0b117_235" w:history="1">
              <w:r>
                <w:rPr>
                  <w:rStyle w:val="a5"/>
                  <w:rFonts w:ascii="Arial" w:eastAsia="宋体" w:hAnsi="Arial" w:cs="Arial"/>
                  <w:sz w:val="16"/>
                  <w:szCs w:val="16"/>
                </w:rPr>
                <w:t>65</w:t>
              </w:r>
            </w:hyperlink>
          </w:p>
        </w:tc>
      </w:tr>
    </w:tbl>
    <w:p w14:paraId="4090D84C" w14:textId="77777777" w:rsidR="00833634" w:rsidRDefault="00833634">
      <w:pPr>
        <w:spacing w:after="180"/>
        <w:jc w:val="both"/>
      </w:pPr>
    </w:p>
    <w:p w14:paraId="4090D84D" w14:textId="77777777" w:rsidR="00833634" w:rsidRDefault="00E15D51">
      <w:r>
        <w:pict w14:anchorId="4090FE20">
          <v:rect id="_x0000_i1026" style="width:415.3pt;height:1.5pt" o:hralign="center" o:hrstd="t" o:hr="t" fillcolor="#a0a0a0" stroked="f"/>
        </w:pict>
      </w:r>
    </w:p>
    <w:p w14:paraId="4090D84E" w14:textId="77777777" w:rsidR="00833634" w:rsidRDefault="00E15D51">
      <w:pPr>
        <w:spacing w:after="180"/>
        <w:jc w:val="both"/>
      </w:pPr>
      <w:hyperlink r:id="rId103" w:anchor="i8d805bfb1e1c4815a1dcd5b6d1e0b117_10" w:history="1">
        <w:r>
          <w:rPr>
            <w:rStyle w:val="a5"/>
            <w:rFonts w:ascii="Arial" w:eastAsia="宋体" w:hAnsi="Arial" w:cs="Arial"/>
            <w:sz w:val="18"/>
            <w:szCs w:val="18"/>
          </w:rPr>
          <w:t>Table of Contents</w:t>
        </w:r>
      </w:hyperlink>
    </w:p>
    <w:p w14:paraId="4090D84F" w14:textId="77777777" w:rsidR="00833634" w:rsidRDefault="00E15D51">
      <w:pPr>
        <w:spacing w:after="180"/>
        <w:jc w:val="both"/>
      </w:pPr>
      <w:r>
        <w:rPr>
          <w:rFonts w:ascii="Arial" w:eastAsia="宋体" w:hAnsi="Arial" w:cs="Arial"/>
          <w:b/>
          <w:bCs/>
          <w:color w:val="000000"/>
          <w:sz w:val="20"/>
          <w:szCs w:val="20"/>
        </w:rPr>
        <w:t>Part I. Financial Information</w:t>
      </w:r>
    </w:p>
    <w:p w14:paraId="4090D850" w14:textId="77777777" w:rsidR="00833634" w:rsidRDefault="00E15D51">
      <w:pPr>
        <w:spacing w:before="180" w:after="180"/>
        <w:jc w:val="both"/>
      </w:pPr>
      <w:r>
        <w:rPr>
          <w:rFonts w:ascii="Arial" w:eastAsia="宋体" w:hAnsi="Arial" w:cs="Arial"/>
          <w:b/>
          <w:bCs/>
          <w:color w:val="000000"/>
          <w:sz w:val="20"/>
          <w:szCs w:val="20"/>
        </w:rPr>
        <w:t>Item 1. Financial Statements</w:t>
      </w:r>
    </w:p>
    <w:p w14:paraId="4090D851" w14:textId="77777777" w:rsidR="00833634" w:rsidRDefault="00833634">
      <w:pPr>
        <w:spacing w:before="180" w:after="180"/>
        <w:jc w:val="both"/>
      </w:pPr>
    </w:p>
    <w:p w14:paraId="4090D852" w14:textId="77777777" w:rsidR="00833634" w:rsidRDefault="00E15D51">
      <w:pPr>
        <w:spacing w:before="180"/>
        <w:jc w:val="center"/>
      </w:pPr>
      <w:r>
        <w:rPr>
          <w:rFonts w:ascii="Arial" w:eastAsia="宋体" w:hAnsi="Arial" w:cs="Arial"/>
          <w:b/>
          <w:bCs/>
          <w:color w:val="000000"/>
          <w:sz w:val="20"/>
          <w:szCs w:val="20"/>
        </w:rPr>
        <w:t>The Boeing Company and Subsidiaries</w:t>
      </w:r>
    </w:p>
    <w:p w14:paraId="4090D853" w14:textId="77777777" w:rsidR="00833634" w:rsidRDefault="00E15D51">
      <w:pPr>
        <w:jc w:val="center"/>
      </w:pPr>
      <w:r>
        <w:rPr>
          <w:rFonts w:ascii="Arial" w:eastAsia="宋体" w:hAnsi="Arial" w:cs="Arial"/>
          <w:b/>
          <w:bCs/>
          <w:color w:val="000000"/>
          <w:sz w:val="20"/>
          <w:szCs w:val="20"/>
        </w:rPr>
        <w:t>Condensed Consolidated Statements of Operations</w:t>
      </w:r>
    </w:p>
    <w:p w14:paraId="4090D854" w14:textId="77777777" w:rsidR="00833634" w:rsidRDefault="00E15D51">
      <w:pPr>
        <w:spacing w:after="120"/>
        <w:jc w:val="center"/>
      </w:pPr>
      <w:r>
        <w:rPr>
          <w:rFonts w:ascii="Arial" w:eastAsia="宋体" w:hAnsi="Arial" w:cs="Arial"/>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9"/>
        <w:gridCol w:w="4282"/>
        <w:gridCol w:w="41"/>
        <w:gridCol w:w="69"/>
        <w:gridCol w:w="848"/>
        <w:gridCol w:w="37"/>
        <w:gridCol w:w="37"/>
        <w:gridCol w:w="37"/>
        <w:gridCol w:w="36"/>
        <w:gridCol w:w="76"/>
        <w:gridCol w:w="750"/>
        <w:gridCol w:w="36"/>
        <w:gridCol w:w="36"/>
        <w:gridCol w:w="36"/>
        <w:gridCol w:w="36"/>
        <w:gridCol w:w="69"/>
        <w:gridCol w:w="838"/>
        <w:gridCol w:w="37"/>
        <w:gridCol w:w="37"/>
        <w:gridCol w:w="37"/>
        <w:gridCol w:w="36"/>
        <w:gridCol w:w="76"/>
        <w:gridCol w:w="754"/>
        <w:gridCol w:w="36"/>
      </w:tblGrid>
      <w:tr w:rsidR="00833634" w14:paraId="4090D86D" w14:textId="77777777">
        <w:tc>
          <w:tcPr>
            <w:tcW w:w="50" w:type="pct"/>
            <w:shd w:val="clear" w:color="auto" w:fill="auto"/>
          </w:tcPr>
          <w:p w14:paraId="4090D855" w14:textId="77777777" w:rsidR="00833634" w:rsidRDefault="00833634">
            <w:pPr>
              <w:rPr>
                <w:rFonts w:ascii="宋体"/>
              </w:rPr>
            </w:pPr>
          </w:p>
        </w:tc>
        <w:tc>
          <w:tcPr>
            <w:tcW w:w="2581" w:type="pct"/>
            <w:shd w:val="clear" w:color="auto" w:fill="auto"/>
          </w:tcPr>
          <w:p w14:paraId="4090D856" w14:textId="77777777" w:rsidR="00833634" w:rsidRDefault="00833634">
            <w:pPr>
              <w:rPr>
                <w:rFonts w:ascii="宋体"/>
              </w:rPr>
            </w:pPr>
          </w:p>
        </w:tc>
        <w:tc>
          <w:tcPr>
            <w:tcW w:w="5" w:type="pct"/>
            <w:shd w:val="clear" w:color="auto" w:fill="auto"/>
          </w:tcPr>
          <w:p w14:paraId="4090D857" w14:textId="77777777" w:rsidR="00833634" w:rsidRDefault="00833634">
            <w:pPr>
              <w:rPr>
                <w:rFonts w:ascii="宋体"/>
              </w:rPr>
            </w:pPr>
          </w:p>
        </w:tc>
        <w:tc>
          <w:tcPr>
            <w:tcW w:w="50" w:type="pct"/>
            <w:shd w:val="clear" w:color="auto" w:fill="auto"/>
          </w:tcPr>
          <w:p w14:paraId="4090D858" w14:textId="77777777" w:rsidR="00833634" w:rsidRDefault="00833634">
            <w:pPr>
              <w:rPr>
                <w:rFonts w:ascii="宋体"/>
              </w:rPr>
            </w:pPr>
          </w:p>
        </w:tc>
        <w:tc>
          <w:tcPr>
            <w:tcW w:w="529" w:type="pct"/>
            <w:shd w:val="clear" w:color="auto" w:fill="auto"/>
          </w:tcPr>
          <w:p w14:paraId="4090D859" w14:textId="77777777" w:rsidR="00833634" w:rsidRDefault="00833634">
            <w:pPr>
              <w:rPr>
                <w:rFonts w:ascii="宋体"/>
              </w:rPr>
            </w:pPr>
          </w:p>
        </w:tc>
        <w:tc>
          <w:tcPr>
            <w:tcW w:w="5" w:type="pct"/>
            <w:shd w:val="clear" w:color="auto" w:fill="auto"/>
          </w:tcPr>
          <w:p w14:paraId="4090D85A" w14:textId="77777777" w:rsidR="00833634" w:rsidRDefault="00833634">
            <w:pPr>
              <w:rPr>
                <w:rFonts w:ascii="宋体"/>
              </w:rPr>
            </w:pPr>
          </w:p>
        </w:tc>
        <w:tc>
          <w:tcPr>
            <w:tcW w:w="5" w:type="pct"/>
            <w:shd w:val="clear" w:color="auto" w:fill="auto"/>
          </w:tcPr>
          <w:p w14:paraId="4090D85B" w14:textId="77777777" w:rsidR="00833634" w:rsidRDefault="00833634">
            <w:pPr>
              <w:rPr>
                <w:rFonts w:ascii="宋体"/>
              </w:rPr>
            </w:pPr>
          </w:p>
        </w:tc>
        <w:tc>
          <w:tcPr>
            <w:tcW w:w="30" w:type="pct"/>
            <w:shd w:val="clear" w:color="auto" w:fill="auto"/>
          </w:tcPr>
          <w:p w14:paraId="4090D85C" w14:textId="77777777" w:rsidR="00833634" w:rsidRDefault="00833634">
            <w:pPr>
              <w:rPr>
                <w:rFonts w:ascii="宋体"/>
              </w:rPr>
            </w:pPr>
          </w:p>
        </w:tc>
        <w:tc>
          <w:tcPr>
            <w:tcW w:w="5" w:type="pct"/>
            <w:shd w:val="clear" w:color="auto" w:fill="auto"/>
          </w:tcPr>
          <w:p w14:paraId="4090D85D" w14:textId="77777777" w:rsidR="00833634" w:rsidRDefault="00833634">
            <w:pPr>
              <w:rPr>
                <w:rFonts w:ascii="宋体"/>
              </w:rPr>
            </w:pPr>
          </w:p>
        </w:tc>
        <w:tc>
          <w:tcPr>
            <w:tcW w:w="50" w:type="pct"/>
            <w:shd w:val="clear" w:color="auto" w:fill="auto"/>
          </w:tcPr>
          <w:p w14:paraId="4090D85E" w14:textId="77777777" w:rsidR="00833634" w:rsidRDefault="00833634">
            <w:pPr>
              <w:rPr>
                <w:rFonts w:ascii="宋体"/>
              </w:rPr>
            </w:pPr>
          </w:p>
        </w:tc>
        <w:tc>
          <w:tcPr>
            <w:tcW w:w="481" w:type="pct"/>
            <w:shd w:val="clear" w:color="auto" w:fill="auto"/>
          </w:tcPr>
          <w:p w14:paraId="4090D85F" w14:textId="77777777" w:rsidR="00833634" w:rsidRDefault="00833634">
            <w:pPr>
              <w:rPr>
                <w:rFonts w:ascii="宋体"/>
              </w:rPr>
            </w:pPr>
          </w:p>
        </w:tc>
        <w:tc>
          <w:tcPr>
            <w:tcW w:w="5" w:type="pct"/>
            <w:shd w:val="clear" w:color="auto" w:fill="auto"/>
          </w:tcPr>
          <w:p w14:paraId="4090D860" w14:textId="77777777" w:rsidR="00833634" w:rsidRDefault="00833634">
            <w:pPr>
              <w:rPr>
                <w:rFonts w:ascii="宋体"/>
              </w:rPr>
            </w:pPr>
          </w:p>
        </w:tc>
        <w:tc>
          <w:tcPr>
            <w:tcW w:w="5" w:type="pct"/>
            <w:shd w:val="clear" w:color="auto" w:fill="auto"/>
          </w:tcPr>
          <w:p w14:paraId="4090D861" w14:textId="77777777" w:rsidR="00833634" w:rsidRDefault="00833634">
            <w:pPr>
              <w:rPr>
                <w:rFonts w:ascii="宋体"/>
              </w:rPr>
            </w:pPr>
          </w:p>
        </w:tc>
        <w:tc>
          <w:tcPr>
            <w:tcW w:w="30" w:type="pct"/>
            <w:shd w:val="clear" w:color="auto" w:fill="auto"/>
          </w:tcPr>
          <w:p w14:paraId="4090D862" w14:textId="77777777" w:rsidR="00833634" w:rsidRDefault="00833634">
            <w:pPr>
              <w:rPr>
                <w:rFonts w:ascii="宋体"/>
              </w:rPr>
            </w:pPr>
          </w:p>
        </w:tc>
        <w:tc>
          <w:tcPr>
            <w:tcW w:w="5" w:type="pct"/>
            <w:shd w:val="clear" w:color="auto" w:fill="auto"/>
          </w:tcPr>
          <w:p w14:paraId="4090D863" w14:textId="77777777" w:rsidR="00833634" w:rsidRDefault="00833634">
            <w:pPr>
              <w:rPr>
                <w:rFonts w:ascii="宋体"/>
              </w:rPr>
            </w:pPr>
          </w:p>
        </w:tc>
        <w:tc>
          <w:tcPr>
            <w:tcW w:w="50" w:type="pct"/>
            <w:shd w:val="clear" w:color="auto" w:fill="auto"/>
          </w:tcPr>
          <w:p w14:paraId="4090D864" w14:textId="77777777" w:rsidR="00833634" w:rsidRDefault="00833634">
            <w:pPr>
              <w:rPr>
                <w:rFonts w:ascii="宋体"/>
              </w:rPr>
            </w:pPr>
          </w:p>
        </w:tc>
        <w:tc>
          <w:tcPr>
            <w:tcW w:w="529" w:type="pct"/>
            <w:shd w:val="clear" w:color="auto" w:fill="auto"/>
          </w:tcPr>
          <w:p w14:paraId="4090D865" w14:textId="77777777" w:rsidR="00833634" w:rsidRDefault="00833634">
            <w:pPr>
              <w:rPr>
                <w:rFonts w:ascii="宋体"/>
              </w:rPr>
            </w:pPr>
          </w:p>
        </w:tc>
        <w:tc>
          <w:tcPr>
            <w:tcW w:w="5" w:type="pct"/>
            <w:shd w:val="clear" w:color="auto" w:fill="auto"/>
          </w:tcPr>
          <w:p w14:paraId="4090D866" w14:textId="77777777" w:rsidR="00833634" w:rsidRDefault="00833634">
            <w:pPr>
              <w:rPr>
                <w:rFonts w:ascii="宋体"/>
              </w:rPr>
            </w:pPr>
          </w:p>
        </w:tc>
        <w:tc>
          <w:tcPr>
            <w:tcW w:w="5" w:type="pct"/>
            <w:shd w:val="clear" w:color="auto" w:fill="auto"/>
          </w:tcPr>
          <w:p w14:paraId="4090D867" w14:textId="77777777" w:rsidR="00833634" w:rsidRDefault="00833634">
            <w:pPr>
              <w:rPr>
                <w:rFonts w:ascii="宋体"/>
              </w:rPr>
            </w:pPr>
          </w:p>
        </w:tc>
        <w:tc>
          <w:tcPr>
            <w:tcW w:w="30" w:type="pct"/>
            <w:shd w:val="clear" w:color="auto" w:fill="auto"/>
          </w:tcPr>
          <w:p w14:paraId="4090D868" w14:textId="77777777" w:rsidR="00833634" w:rsidRDefault="00833634">
            <w:pPr>
              <w:rPr>
                <w:rFonts w:ascii="宋体"/>
              </w:rPr>
            </w:pPr>
          </w:p>
        </w:tc>
        <w:tc>
          <w:tcPr>
            <w:tcW w:w="5" w:type="pct"/>
            <w:shd w:val="clear" w:color="auto" w:fill="auto"/>
          </w:tcPr>
          <w:p w14:paraId="4090D869" w14:textId="77777777" w:rsidR="00833634" w:rsidRDefault="00833634">
            <w:pPr>
              <w:rPr>
                <w:rFonts w:ascii="宋体"/>
              </w:rPr>
            </w:pPr>
          </w:p>
        </w:tc>
        <w:tc>
          <w:tcPr>
            <w:tcW w:w="50" w:type="pct"/>
            <w:shd w:val="clear" w:color="auto" w:fill="auto"/>
          </w:tcPr>
          <w:p w14:paraId="4090D86A" w14:textId="77777777" w:rsidR="00833634" w:rsidRDefault="00833634">
            <w:pPr>
              <w:rPr>
                <w:rFonts w:ascii="宋体"/>
              </w:rPr>
            </w:pPr>
          </w:p>
        </w:tc>
        <w:tc>
          <w:tcPr>
            <w:tcW w:w="482" w:type="pct"/>
            <w:shd w:val="clear" w:color="auto" w:fill="auto"/>
          </w:tcPr>
          <w:p w14:paraId="4090D86B" w14:textId="77777777" w:rsidR="00833634" w:rsidRDefault="00833634">
            <w:pPr>
              <w:rPr>
                <w:rFonts w:ascii="宋体"/>
              </w:rPr>
            </w:pPr>
          </w:p>
        </w:tc>
        <w:tc>
          <w:tcPr>
            <w:tcW w:w="5" w:type="pct"/>
            <w:shd w:val="clear" w:color="auto" w:fill="auto"/>
          </w:tcPr>
          <w:p w14:paraId="4090D86C" w14:textId="77777777" w:rsidR="00833634" w:rsidRDefault="00833634">
            <w:pPr>
              <w:rPr>
                <w:rFonts w:ascii="宋体"/>
              </w:rPr>
            </w:pPr>
          </w:p>
        </w:tc>
      </w:tr>
      <w:tr w:rsidR="00833634" w14:paraId="4090D872" w14:textId="77777777">
        <w:tc>
          <w:tcPr>
            <w:tcW w:w="0" w:type="auto"/>
            <w:gridSpan w:val="3"/>
            <w:shd w:val="clear" w:color="auto" w:fill="auto"/>
            <w:tcMar>
              <w:top w:w="40" w:type="dxa"/>
              <w:left w:w="20" w:type="dxa"/>
              <w:bottom w:w="40" w:type="dxa"/>
              <w:right w:w="20" w:type="dxa"/>
            </w:tcMar>
            <w:vAlign w:val="bottom"/>
          </w:tcPr>
          <w:p w14:paraId="4090D86E" w14:textId="77777777" w:rsidR="00833634" w:rsidRDefault="00E15D51">
            <w:pPr>
              <w:textAlignment w:val="bottom"/>
            </w:pPr>
            <w:r>
              <w:rPr>
                <w:rFonts w:ascii="Arial" w:eastAsia="宋体" w:hAnsi="Arial" w:cs="Arial"/>
                <w:i/>
                <w:iCs/>
                <w:color w:val="000000"/>
                <w:sz w:val="20"/>
                <w:szCs w:val="20"/>
              </w:rPr>
              <w:t>(Dollars in millions, except per share data)</w:t>
            </w:r>
          </w:p>
        </w:tc>
        <w:tc>
          <w:tcPr>
            <w:tcW w:w="0" w:type="auto"/>
            <w:gridSpan w:val="9"/>
            <w:shd w:val="clear" w:color="auto" w:fill="auto"/>
            <w:tcMar>
              <w:top w:w="40" w:type="dxa"/>
              <w:left w:w="20" w:type="dxa"/>
              <w:bottom w:w="40" w:type="dxa"/>
              <w:right w:w="20" w:type="dxa"/>
            </w:tcMar>
            <w:vAlign w:val="bottom"/>
          </w:tcPr>
          <w:p w14:paraId="4090D86F"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D870"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D871"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D87B" w14:textId="77777777">
        <w:tc>
          <w:tcPr>
            <w:tcW w:w="0" w:type="auto"/>
            <w:gridSpan w:val="3"/>
            <w:tcBorders>
              <w:top w:val="single" w:sz="8" w:space="0" w:color="000000"/>
            </w:tcBorders>
            <w:shd w:val="clear" w:color="auto" w:fill="FFFFFF"/>
            <w:tcMar>
              <w:top w:w="0" w:type="dxa"/>
              <w:left w:w="20" w:type="dxa"/>
              <w:bottom w:w="0" w:type="dxa"/>
              <w:right w:w="20" w:type="dxa"/>
            </w:tcMar>
          </w:tcPr>
          <w:p w14:paraId="4090D873"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874"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D875"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876"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D877"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878"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D879"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87A" w14:textId="77777777" w:rsidR="00833634" w:rsidRDefault="00E15D51">
            <w:pPr>
              <w:jc w:val="right"/>
              <w:textAlignment w:val="bottom"/>
            </w:pPr>
            <w:r>
              <w:rPr>
                <w:rFonts w:ascii="Arial" w:eastAsia="宋体" w:hAnsi="Arial" w:cs="Arial"/>
                <w:color w:val="000000"/>
                <w:sz w:val="20"/>
                <w:szCs w:val="20"/>
              </w:rPr>
              <w:t>2019</w:t>
            </w:r>
          </w:p>
        </w:tc>
      </w:tr>
      <w:tr w:rsidR="00833634" w14:paraId="4090D88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87C" w14:textId="77777777" w:rsidR="00833634" w:rsidRDefault="00E15D51">
            <w:pPr>
              <w:textAlignment w:val="bottom"/>
            </w:pPr>
            <w:r>
              <w:rPr>
                <w:rFonts w:ascii="Arial" w:eastAsia="宋体" w:hAnsi="Arial" w:cs="Arial"/>
                <w:color w:val="000000"/>
                <w:sz w:val="20"/>
                <w:szCs w:val="20"/>
              </w:rPr>
              <w:t>Sales of products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7D" w14:textId="77777777" w:rsidR="00833634" w:rsidRDefault="00E15D51">
            <w:pPr>
              <w:jc w:val="right"/>
              <w:textAlignment w:val="bottom"/>
            </w:pPr>
            <w:r>
              <w:rPr>
                <w:rFonts w:ascii="Arial" w:eastAsia="宋体" w:hAnsi="Arial" w:cs="Arial"/>
                <w:b/>
                <w:bCs/>
                <w:color w:val="000000"/>
                <w:sz w:val="20"/>
                <w:szCs w:val="20"/>
              </w:rPr>
              <w:t>$34,656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7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87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80" w14:textId="77777777" w:rsidR="00833634" w:rsidRDefault="00E15D51">
            <w:pPr>
              <w:jc w:val="right"/>
              <w:textAlignment w:val="bottom"/>
            </w:pPr>
            <w:r>
              <w:rPr>
                <w:rFonts w:ascii="Arial" w:eastAsia="宋体" w:hAnsi="Arial" w:cs="Arial"/>
                <w:color w:val="000000"/>
                <w:sz w:val="20"/>
                <w:szCs w:val="20"/>
              </w:rPr>
              <w:t>$50,514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8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88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83" w14:textId="77777777" w:rsidR="00833634" w:rsidRDefault="00E15D51">
            <w:pPr>
              <w:jc w:val="right"/>
              <w:textAlignment w:val="bottom"/>
            </w:pPr>
            <w:r>
              <w:rPr>
                <w:rFonts w:ascii="Arial" w:eastAsia="宋体" w:hAnsi="Arial" w:cs="Arial"/>
                <w:b/>
                <w:bCs/>
                <w:color w:val="000000"/>
                <w:sz w:val="20"/>
                <w:szCs w:val="20"/>
              </w:rPr>
              <w:t>$11,402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8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88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86" w14:textId="77777777" w:rsidR="00833634" w:rsidRDefault="00E15D51">
            <w:pPr>
              <w:jc w:val="right"/>
              <w:textAlignment w:val="bottom"/>
            </w:pPr>
            <w:r>
              <w:rPr>
                <w:rFonts w:ascii="Arial" w:eastAsia="宋体" w:hAnsi="Arial" w:cs="Arial"/>
                <w:color w:val="000000"/>
                <w:sz w:val="20"/>
                <w:szCs w:val="20"/>
              </w:rPr>
              <w:t>$17,195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87" w14:textId="77777777" w:rsidR="00833634" w:rsidRDefault="00833634">
            <w:pPr>
              <w:jc w:val="right"/>
              <w:rPr>
                <w:rFonts w:ascii="宋体"/>
              </w:rPr>
            </w:pPr>
          </w:p>
        </w:tc>
      </w:tr>
      <w:tr w:rsidR="00833634" w14:paraId="4090D895" w14:textId="77777777">
        <w:tc>
          <w:tcPr>
            <w:tcW w:w="0" w:type="auto"/>
            <w:gridSpan w:val="3"/>
            <w:shd w:val="clear" w:color="auto" w:fill="FFFFFF"/>
            <w:tcMar>
              <w:top w:w="40" w:type="dxa"/>
              <w:left w:w="20" w:type="dxa"/>
              <w:bottom w:w="40" w:type="dxa"/>
              <w:right w:w="20" w:type="dxa"/>
            </w:tcMar>
            <w:vAlign w:val="bottom"/>
          </w:tcPr>
          <w:p w14:paraId="4090D889" w14:textId="77777777" w:rsidR="00833634" w:rsidRDefault="00E15D51">
            <w:pPr>
              <w:textAlignment w:val="bottom"/>
            </w:pPr>
            <w:r>
              <w:rPr>
                <w:rFonts w:ascii="Arial" w:eastAsia="宋体" w:hAnsi="Arial" w:cs="Arial"/>
                <w:color w:val="000000"/>
                <w:sz w:val="20"/>
                <w:szCs w:val="20"/>
              </w:rPr>
              <w:t>Sales of services</w:t>
            </w:r>
          </w:p>
        </w:tc>
        <w:tc>
          <w:tcPr>
            <w:tcW w:w="0" w:type="auto"/>
            <w:gridSpan w:val="2"/>
            <w:shd w:val="clear" w:color="auto" w:fill="FFFFFF"/>
            <w:tcMar>
              <w:top w:w="40" w:type="dxa"/>
              <w:left w:w="20" w:type="dxa"/>
              <w:bottom w:w="40" w:type="dxa"/>
              <w:right w:w="0" w:type="dxa"/>
            </w:tcMar>
            <w:vAlign w:val="bottom"/>
          </w:tcPr>
          <w:p w14:paraId="4090D88A" w14:textId="77777777" w:rsidR="00833634" w:rsidRDefault="00E15D51">
            <w:pPr>
              <w:jc w:val="right"/>
              <w:textAlignment w:val="bottom"/>
            </w:pPr>
            <w:r>
              <w:rPr>
                <w:rFonts w:ascii="Arial" w:eastAsia="宋体" w:hAnsi="Arial" w:cs="Arial"/>
                <w:b/>
                <w:bCs/>
                <w:color w:val="000000"/>
                <w:sz w:val="20"/>
                <w:szCs w:val="20"/>
              </w:rPr>
              <w:t>8,198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88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88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88D" w14:textId="77777777" w:rsidR="00833634" w:rsidRDefault="00E15D51">
            <w:pPr>
              <w:jc w:val="right"/>
              <w:textAlignment w:val="bottom"/>
            </w:pPr>
            <w:r>
              <w:rPr>
                <w:rFonts w:ascii="Arial" w:eastAsia="宋体" w:hAnsi="Arial" w:cs="Arial"/>
                <w:color w:val="000000"/>
                <w:sz w:val="20"/>
                <w:szCs w:val="20"/>
              </w:rPr>
              <w:t>8,134 </w:t>
            </w:r>
          </w:p>
        </w:tc>
        <w:tc>
          <w:tcPr>
            <w:tcW w:w="0" w:type="auto"/>
            <w:shd w:val="clear" w:color="auto" w:fill="FFFFFF"/>
            <w:tcMar>
              <w:top w:w="40" w:type="dxa"/>
              <w:left w:w="0" w:type="dxa"/>
              <w:bottom w:w="40" w:type="dxa"/>
              <w:right w:w="20" w:type="dxa"/>
            </w:tcMar>
            <w:vAlign w:val="bottom"/>
          </w:tcPr>
          <w:p w14:paraId="4090D88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88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890" w14:textId="77777777" w:rsidR="00833634" w:rsidRDefault="00E15D51">
            <w:pPr>
              <w:jc w:val="right"/>
              <w:textAlignment w:val="bottom"/>
            </w:pPr>
            <w:r>
              <w:rPr>
                <w:rFonts w:ascii="Arial" w:eastAsia="宋体" w:hAnsi="Arial" w:cs="Arial"/>
                <w:b/>
                <w:bCs/>
                <w:color w:val="000000"/>
                <w:sz w:val="20"/>
                <w:szCs w:val="20"/>
              </w:rPr>
              <w:t>2,737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89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89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893" w14:textId="77777777" w:rsidR="00833634" w:rsidRDefault="00E15D51">
            <w:pPr>
              <w:jc w:val="right"/>
              <w:textAlignment w:val="bottom"/>
            </w:pPr>
            <w:r>
              <w:rPr>
                <w:rFonts w:ascii="Arial" w:eastAsia="宋体" w:hAnsi="Arial" w:cs="Arial"/>
                <w:color w:val="000000"/>
                <w:sz w:val="20"/>
                <w:szCs w:val="20"/>
              </w:rPr>
              <w:t>2,785 </w:t>
            </w:r>
          </w:p>
        </w:tc>
        <w:tc>
          <w:tcPr>
            <w:tcW w:w="0" w:type="auto"/>
            <w:shd w:val="clear" w:color="auto" w:fill="FFFFFF"/>
            <w:tcMar>
              <w:top w:w="40" w:type="dxa"/>
              <w:left w:w="0" w:type="dxa"/>
              <w:bottom w:w="40" w:type="dxa"/>
              <w:right w:w="20" w:type="dxa"/>
            </w:tcMar>
            <w:vAlign w:val="bottom"/>
          </w:tcPr>
          <w:p w14:paraId="4090D894" w14:textId="77777777" w:rsidR="00833634" w:rsidRDefault="00833634">
            <w:pPr>
              <w:jc w:val="right"/>
              <w:rPr>
                <w:rFonts w:ascii="宋体"/>
              </w:rPr>
            </w:pPr>
          </w:p>
        </w:tc>
      </w:tr>
      <w:tr w:rsidR="00833634" w14:paraId="4090D8A2"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896" w14:textId="77777777" w:rsidR="00833634" w:rsidRDefault="00E15D51">
            <w:pPr>
              <w:textAlignment w:val="bottom"/>
            </w:pPr>
            <w:r>
              <w:rPr>
                <w:rFonts w:ascii="Arial" w:eastAsia="宋体" w:hAnsi="Arial" w:cs="Arial"/>
                <w:b/>
                <w:bCs/>
                <w:color w:val="000000"/>
                <w:sz w:val="20"/>
                <w:szCs w:val="20"/>
              </w:rPr>
              <w:t>Total 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97" w14:textId="77777777" w:rsidR="00833634" w:rsidRDefault="00E15D51">
            <w:pPr>
              <w:jc w:val="right"/>
              <w:textAlignment w:val="bottom"/>
            </w:pPr>
            <w:r>
              <w:rPr>
                <w:rFonts w:ascii="Arial" w:eastAsia="宋体" w:hAnsi="Arial" w:cs="Arial"/>
                <w:b/>
                <w:bCs/>
                <w:color w:val="000000"/>
                <w:sz w:val="20"/>
                <w:szCs w:val="20"/>
              </w:rPr>
              <w:t>42,854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9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89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9A" w14:textId="77777777" w:rsidR="00833634" w:rsidRDefault="00E15D51">
            <w:pPr>
              <w:jc w:val="right"/>
              <w:textAlignment w:val="bottom"/>
            </w:pPr>
            <w:r>
              <w:rPr>
                <w:rFonts w:ascii="Arial" w:eastAsia="宋体" w:hAnsi="Arial" w:cs="Arial"/>
                <w:color w:val="000000"/>
                <w:sz w:val="20"/>
                <w:szCs w:val="20"/>
              </w:rPr>
              <w:t>58,648 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9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89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9D" w14:textId="77777777" w:rsidR="00833634" w:rsidRDefault="00E15D51">
            <w:pPr>
              <w:jc w:val="right"/>
              <w:textAlignment w:val="bottom"/>
            </w:pPr>
            <w:r>
              <w:rPr>
                <w:rFonts w:ascii="Arial" w:eastAsia="宋体" w:hAnsi="Arial" w:cs="Arial"/>
                <w:b/>
                <w:bCs/>
                <w:color w:val="000000"/>
                <w:sz w:val="20"/>
                <w:szCs w:val="20"/>
              </w:rPr>
              <w:t>14,139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9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89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A0" w14:textId="77777777" w:rsidR="00833634" w:rsidRDefault="00E15D51">
            <w:pPr>
              <w:jc w:val="right"/>
              <w:textAlignment w:val="bottom"/>
            </w:pPr>
            <w:r>
              <w:rPr>
                <w:rFonts w:ascii="Arial" w:eastAsia="宋体" w:hAnsi="Arial" w:cs="Arial"/>
                <w:color w:val="000000"/>
                <w:sz w:val="20"/>
                <w:szCs w:val="20"/>
              </w:rPr>
              <w:t>19,980 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A1" w14:textId="77777777" w:rsidR="00833634" w:rsidRDefault="00833634">
            <w:pPr>
              <w:jc w:val="right"/>
              <w:rPr>
                <w:rFonts w:ascii="宋体"/>
              </w:rPr>
            </w:pPr>
          </w:p>
        </w:tc>
      </w:tr>
      <w:tr w:rsidR="00833634" w14:paraId="4090D8AB" w14:textId="77777777">
        <w:trPr>
          <w:trHeight w:val="280"/>
        </w:trPr>
        <w:tc>
          <w:tcPr>
            <w:tcW w:w="0" w:type="auto"/>
            <w:gridSpan w:val="3"/>
            <w:shd w:val="clear" w:color="auto" w:fill="FFFFFF"/>
            <w:tcMar>
              <w:top w:w="0" w:type="dxa"/>
              <w:left w:w="20" w:type="dxa"/>
              <w:bottom w:w="0" w:type="dxa"/>
              <w:right w:w="20" w:type="dxa"/>
            </w:tcMar>
          </w:tcPr>
          <w:p w14:paraId="4090D8A3"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8A4"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8A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8A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8A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8A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8A9"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8AA" w14:textId="77777777" w:rsidR="00833634" w:rsidRDefault="00833634">
            <w:pPr>
              <w:rPr>
                <w:rFonts w:ascii="宋体"/>
              </w:rPr>
            </w:pPr>
          </w:p>
        </w:tc>
      </w:tr>
      <w:tr w:rsidR="00833634" w14:paraId="4090D8B8" w14:textId="77777777">
        <w:tc>
          <w:tcPr>
            <w:tcW w:w="0" w:type="auto"/>
            <w:gridSpan w:val="3"/>
            <w:shd w:val="clear" w:color="auto" w:fill="CCEEFF"/>
            <w:tcMar>
              <w:top w:w="40" w:type="dxa"/>
              <w:left w:w="20" w:type="dxa"/>
              <w:bottom w:w="40" w:type="dxa"/>
              <w:right w:w="20" w:type="dxa"/>
            </w:tcMar>
            <w:vAlign w:val="bottom"/>
          </w:tcPr>
          <w:p w14:paraId="4090D8AC" w14:textId="77777777" w:rsidR="00833634" w:rsidRDefault="00E15D51">
            <w:pPr>
              <w:textAlignment w:val="bottom"/>
            </w:pPr>
            <w:r>
              <w:rPr>
                <w:rFonts w:ascii="Arial" w:eastAsia="宋体" w:hAnsi="Arial" w:cs="Arial"/>
                <w:color w:val="000000"/>
                <w:sz w:val="20"/>
                <w:szCs w:val="20"/>
              </w:rPr>
              <w:t>Cost of products</w:t>
            </w:r>
          </w:p>
        </w:tc>
        <w:tc>
          <w:tcPr>
            <w:tcW w:w="0" w:type="auto"/>
            <w:gridSpan w:val="2"/>
            <w:shd w:val="clear" w:color="auto" w:fill="CCEEFF"/>
            <w:tcMar>
              <w:top w:w="40" w:type="dxa"/>
              <w:left w:w="20" w:type="dxa"/>
              <w:bottom w:w="40" w:type="dxa"/>
              <w:right w:w="0" w:type="dxa"/>
            </w:tcMar>
            <w:vAlign w:val="bottom"/>
          </w:tcPr>
          <w:p w14:paraId="4090D8AD" w14:textId="77777777" w:rsidR="00833634" w:rsidRDefault="00E15D51">
            <w:pPr>
              <w:jc w:val="right"/>
              <w:textAlignment w:val="bottom"/>
            </w:pPr>
            <w:r>
              <w:rPr>
                <w:rFonts w:ascii="Arial" w:eastAsia="宋体" w:hAnsi="Arial" w:cs="Arial"/>
                <w:b/>
                <w:bCs/>
                <w:color w:val="000000"/>
                <w:sz w:val="20"/>
                <w:szCs w:val="20"/>
              </w:rPr>
              <w:t>(36,001)</w:t>
            </w:r>
          </w:p>
        </w:tc>
        <w:tc>
          <w:tcPr>
            <w:tcW w:w="0" w:type="auto"/>
            <w:shd w:val="clear" w:color="auto" w:fill="CCEEFF"/>
            <w:tcMar>
              <w:top w:w="40" w:type="dxa"/>
              <w:left w:w="0" w:type="dxa"/>
              <w:bottom w:w="40" w:type="dxa"/>
              <w:right w:w="20" w:type="dxa"/>
            </w:tcMar>
            <w:vAlign w:val="bottom"/>
          </w:tcPr>
          <w:p w14:paraId="4090D8A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8A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8B0" w14:textId="77777777" w:rsidR="00833634" w:rsidRDefault="00E15D51">
            <w:pPr>
              <w:jc w:val="right"/>
              <w:textAlignment w:val="bottom"/>
            </w:pPr>
            <w:r>
              <w:rPr>
                <w:rFonts w:ascii="Arial" w:eastAsia="宋体" w:hAnsi="Arial" w:cs="Arial"/>
                <w:color w:val="000000"/>
                <w:sz w:val="20"/>
                <w:szCs w:val="20"/>
              </w:rPr>
              <w:t>(46,584)</w:t>
            </w:r>
          </w:p>
        </w:tc>
        <w:tc>
          <w:tcPr>
            <w:tcW w:w="0" w:type="auto"/>
            <w:shd w:val="clear" w:color="auto" w:fill="CCEEFF"/>
            <w:tcMar>
              <w:top w:w="40" w:type="dxa"/>
              <w:left w:w="0" w:type="dxa"/>
              <w:bottom w:w="40" w:type="dxa"/>
              <w:right w:w="20" w:type="dxa"/>
            </w:tcMar>
            <w:vAlign w:val="bottom"/>
          </w:tcPr>
          <w:p w14:paraId="4090D8B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8B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8B3" w14:textId="77777777" w:rsidR="00833634" w:rsidRDefault="00E15D51">
            <w:pPr>
              <w:jc w:val="right"/>
              <w:textAlignment w:val="bottom"/>
            </w:pPr>
            <w:r>
              <w:rPr>
                <w:rFonts w:ascii="Arial" w:eastAsia="宋体" w:hAnsi="Arial" w:cs="Arial"/>
                <w:b/>
                <w:bCs/>
                <w:color w:val="000000"/>
                <w:sz w:val="20"/>
                <w:szCs w:val="20"/>
              </w:rPr>
              <w:t>(10,910)</w:t>
            </w:r>
          </w:p>
        </w:tc>
        <w:tc>
          <w:tcPr>
            <w:tcW w:w="0" w:type="auto"/>
            <w:shd w:val="clear" w:color="auto" w:fill="CCEEFF"/>
            <w:tcMar>
              <w:top w:w="40" w:type="dxa"/>
              <w:left w:w="0" w:type="dxa"/>
              <w:bottom w:w="40" w:type="dxa"/>
              <w:right w:w="20" w:type="dxa"/>
            </w:tcMar>
            <w:vAlign w:val="bottom"/>
          </w:tcPr>
          <w:p w14:paraId="4090D8B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8B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8B6" w14:textId="77777777" w:rsidR="00833634" w:rsidRDefault="00E15D51">
            <w:pPr>
              <w:jc w:val="right"/>
              <w:textAlignment w:val="bottom"/>
            </w:pPr>
            <w:r>
              <w:rPr>
                <w:rFonts w:ascii="Arial" w:eastAsia="宋体" w:hAnsi="Arial" w:cs="Arial"/>
                <w:color w:val="000000"/>
                <w:sz w:val="20"/>
                <w:szCs w:val="20"/>
              </w:rPr>
              <w:t>(14,674)</w:t>
            </w:r>
          </w:p>
        </w:tc>
        <w:tc>
          <w:tcPr>
            <w:tcW w:w="0" w:type="auto"/>
            <w:shd w:val="clear" w:color="auto" w:fill="CCEEFF"/>
            <w:tcMar>
              <w:top w:w="40" w:type="dxa"/>
              <w:left w:w="0" w:type="dxa"/>
              <w:bottom w:w="40" w:type="dxa"/>
              <w:right w:w="20" w:type="dxa"/>
            </w:tcMar>
            <w:vAlign w:val="bottom"/>
          </w:tcPr>
          <w:p w14:paraId="4090D8B7" w14:textId="77777777" w:rsidR="00833634" w:rsidRDefault="00833634">
            <w:pPr>
              <w:jc w:val="right"/>
              <w:rPr>
                <w:rFonts w:ascii="宋体"/>
              </w:rPr>
            </w:pPr>
          </w:p>
        </w:tc>
      </w:tr>
      <w:tr w:rsidR="00833634" w14:paraId="4090D8C5" w14:textId="77777777">
        <w:tc>
          <w:tcPr>
            <w:tcW w:w="0" w:type="auto"/>
            <w:gridSpan w:val="3"/>
            <w:shd w:val="clear" w:color="auto" w:fill="FFFFFF"/>
            <w:tcMar>
              <w:top w:w="40" w:type="dxa"/>
              <w:left w:w="20" w:type="dxa"/>
              <w:bottom w:w="40" w:type="dxa"/>
              <w:right w:w="20" w:type="dxa"/>
            </w:tcMar>
            <w:vAlign w:val="bottom"/>
          </w:tcPr>
          <w:p w14:paraId="4090D8B9" w14:textId="77777777" w:rsidR="00833634" w:rsidRDefault="00E15D51">
            <w:pPr>
              <w:textAlignment w:val="bottom"/>
            </w:pPr>
            <w:r>
              <w:rPr>
                <w:rFonts w:ascii="Arial" w:eastAsia="宋体" w:hAnsi="Arial" w:cs="Arial"/>
                <w:color w:val="000000"/>
                <w:sz w:val="20"/>
                <w:szCs w:val="20"/>
              </w:rPr>
              <w:t>Cost of services</w:t>
            </w:r>
          </w:p>
        </w:tc>
        <w:tc>
          <w:tcPr>
            <w:tcW w:w="0" w:type="auto"/>
            <w:gridSpan w:val="2"/>
            <w:shd w:val="clear" w:color="auto" w:fill="FFFFFF"/>
            <w:tcMar>
              <w:top w:w="40" w:type="dxa"/>
              <w:left w:w="20" w:type="dxa"/>
              <w:bottom w:w="40" w:type="dxa"/>
              <w:right w:w="0" w:type="dxa"/>
            </w:tcMar>
            <w:vAlign w:val="bottom"/>
          </w:tcPr>
          <w:p w14:paraId="4090D8BA" w14:textId="77777777" w:rsidR="00833634" w:rsidRDefault="00E15D51">
            <w:pPr>
              <w:jc w:val="right"/>
              <w:textAlignment w:val="bottom"/>
            </w:pPr>
            <w:r>
              <w:rPr>
                <w:rFonts w:ascii="Arial" w:eastAsia="宋体" w:hAnsi="Arial" w:cs="Arial"/>
                <w:b/>
                <w:bCs/>
                <w:color w:val="000000"/>
                <w:sz w:val="20"/>
                <w:szCs w:val="20"/>
              </w:rPr>
              <w:t>(6,817)</w:t>
            </w:r>
          </w:p>
        </w:tc>
        <w:tc>
          <w:tcPr>
            <w:tcW w:w="0" w:type="auto"/>
            <w:shd w:val="clear" w:color="auto" w:fill="FFFFFF"/>
            <w:tcMar>
              <w:top w:w="40" w:type="dxa"/>
              <w:left w:w="0" w:type="dxa"/>
              <w:bottom w:w="40" w:type="dxa"/>
              <w:right w:w="20" w:type="dxa"/>
            </w:tcMar>
            <w:vAlign w:val="bottom"/>
          </w:tcPr>
          <w:p w14:paraId="4090D8B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8B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8BD" w14:textId="77777777" w:rsidR="00833634" w:rsidRDefault="00E15D51">
            <w:pPr>
              <w:jc w:val="right"/>
              <w:textAlignment w:val="bottom"/>
            </w:pPr>
            <w:r>
              <w:rPr>
                <w:rFonts w:ascii="Arial" w:eastAsia="宋体" w:hAnsi="Arial" w:cs="Arial"/>
                <w:color w:val="000000"/>
                <w:sz w:val="20"/>
                <w:szCs w:val="20"/>
              </w:rPr>
              <w:t>(6,752)</w:t>
            </w:r>
          </w:p>
        </w:tc>
        <w:tc>
          <w:tcPr>
            <w:tcW w:w="0" w:type="auto"/>
            <w:shd w:val="clear" w:color="auto" w:fill="FFFFFF"/>
            <w:tcMar>
              <w:top w:w="40" w:type="dxa"/>
              <w:left w:w="0" w:type="dxa"/>
              <w:bottom w:w="40" w:type="dxa"/>
              <w:right w:w="20" w:type="dxa"/>
            </w:tcMar>
            <w:vAlign w:val="bottom"/>
          </w:tcPr>
          <w:p w14:paraId="4090D8B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8B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8C0" w14:textId="77777777" w:rsidR="00833634" w:rsidRDefault="00E15D51">
            <w:pPr>
              <w:jc w:val="right"/>
              <w:textAlignment w:val="bottom"/>
            </w:pPr>
            <w:r>
              <w:rPr>
                <w:rFonts w:ascii="Arial" w:eastAsia="宋体" w:hAnsi="Arial" w:cs="Arial"/>
                <w:b/>
                <w:bCs/>
                <w:color w:val="000000"/>
                <w:sz w:val="20"/>
                <w:szCs w:val="20"/>
              </w:rPr>
              <w:t>(2,185)</w:t>
            </w:r>
          </w:p>
        </w:tc>
        <w:tc>
          <w:tcPr>
            <w:tcW w:w="0" w:type="auto"/>
            <w:shd w:val="clear" w:color="auto" w:fill="FFFFFF"/>
            <w:tcMar>
              <w:top w:w="40" w:type="dxa"/>
              <w:left w:w="0" w:type="dxa"/>
              <w:bottom w:w="40" w:type="dxa"/>
              <w:right w:w="20" w:type="dxa"/>
            </w:tcMar>
            <w:vAlign w:val="bottom"/>
          </w:tcPr>
          <w:p w14:paraId="4090D8C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8C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8C3" w14:textId="77777777" w:rsidR="00833634" w:rsidRDefault="00E15D51">
            <w:pPr>
              <w:jc w:val="right"/>
              <w:textAlignment w:val="bottom"/>
            </w:pPr>
            <w:r>
              <w:rPr>
                <w:rFonts w:ascii="Arial" w:eastAsia="宋体" w:hAnsi="Arial" w:cs="Arial"/>
                <w:color w:val="000000"/>
                <w:sz w:val="20"/>
                <w:szCs w:val="20"/>
              </w:rPr>
              <w:t>(2,241)</w:t>
            </w:r>
          </w:p>
        </w:tc>
        <w:tc>
          <w:tcPr>
            <w:tcW w:w="0" w:type="auto"/>
            <w:shd w:val="clear" w:color="auto" w:fill="FFFFFF"/>
            <w:tcMar>
              <w:top w:w="40" w:type="dxa"/>
              <w:left w:w="0" w:type="dxa"/>
              <w:bottom w:w="40" w:type="dxa"/>
              <w:right w:w="20" w:type="dxa"/>
            </w:tcMar>
            <w:vAlign w:val="bottom"/>
          </w:tcPr>
          <w:p w14:paraId="4090D8C4" w14:textId="77777777" w:rsidR="00833634" w:rsidRDefault="00833634">
            <w:pPr>
              <w:jc w:val="right"/>
              <w:rPr>
                <w:rFonts w:ascii="宋体"/>
              </w:rPr>
            </w:pPr>
          </w:p>
        </w:tc>
      </w:tr>
      <w:tr w:rsidR="00833634" w14:paraId="4090D8D2" w14:textId="77777777">
        <w:tc>
          <w:tcPr>
            <w:tcW w:w="0" w:type="auto"/>
            <w:gridSpan w:val="3"/>
            <w:shd w:val="clear" w:color="auto" w:fill="CCEEFF"/>
            <w:tcMar>
              <w:top w:w="40" w:type="dxa"/>
              <w:left w:w="20" w:type="dxa"/>
              <w:bottom w:w="40" w:type="dxa"/>
              <w:right w:w="20" w:type="dxa"/>
            </w:tcMar>
            <w:vAlign w:val="bottom"/>
          </w:tcPr>
          <w:p w14:paraId="4090D8C6" w14:textId="77777777" w:rsidR="00833634" w:rsidRDefault="00E15D51">
            <w:pPr>
              <w:textAlignment w:val="bottom"/>
            </w:pPr>
            <w:r>
              <w:rPr>
                <w:rFonts w:ascii="Arial" w:eastAsia="宋体" w:hAnsi="Arial" w:cs="Arial"/>
                <w:color w:val="000000"/>
                <w:sz w:val="20"/>
                <w:szCs w:val="20"/>
              </w:rPr>
              <w:t>Boeing Capital interest expense</w:t>
            </w:r>
          </w:p>
        </w:tc>
        <w:tc>
          <w:tcPr>
            <w:tcW w:w="0" w:type="auto"/>
            <w:gridSpan w:val="2"/>
            <w:shd w:val="clear" w:color="auto" w:fill="CCEEFF"/>
            <w:tcMar>
              <w:top w:w="40" w:type="dxa"/>
              <w:left w:w="20" w:type="dxa"/>
              <w:bottom w:w="40" w:type="dxa"/>
              <w:right w:w="0" w:type="dxa"/>
            </w:tcMar>
            <w:vAlign w:val="bottom"/>
          </w:tcPr>
          <w:p w14:paraId="4090D8C7" w14:textId="77777777" w:rsidR="00833634" w:rsidRDefault="00E15D51">
            <w:pPr>
              <w:jc w:val="right"/>
              <w:textAlignment w:val="bottom"/>
            </w:pPr>
            <w:r>
              <w:rPr>
                <w:rFonts w:ascii="Arial" w:eastAsia="宋体" w:hAnsi="Arial" w:cs="Arial"/>
                <w:b/>
                <w:bCs/>
                <w:color w:val="000000"/>
                <w:sz w:val="20"/>
                <w:szCs w:val="20"/>
              </w:rPr>
              <w:t>(33)</w:t>
            </w:r>
          </w:p>
        </w:tc>
        <w:tc>
          <w:tcPr>
            <w:tcW w:w="0" w:type="auto"/>
            <w:shd w:val="clear" w:color="auto" w:fill="CCEEFF"/>
            <w:tcMar>
              <w:top w:w="40" w:type="dxa"/>
              <w:left w:w="0" w:type="dxa"/>
              <w:bottom w:w="40" w:type="dxa"/>
              <w:right w:w="20" w:type="dxa"/>
            </w:tcMar>
            <w:vAlign w:val="bottom"/>
          </w:tcPr>
          <w:p w14:paraId="4090D8C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8C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8CA" w14:textId="77777777" w:rsidR="00833634" w:rsidRDefault="00E15D51">
            <w:pPr>
              <w:jc w:val="right"/>
              <w:textAlignment w:val="bottom"/>
            </w:pPr>
            <w:r>
              <w:rPr>
                <w:rFonts w:ascii="Arial" w:eastAsia="宋体" w:hAnsi="Arial" w:cs="Arial"/>
                <w:color w:val="000000"/>
                <w:sz w:val="20"/>
                <w:szCs w:val="20"/>
              </w:rPr>
              <w:t>(49)</w:t>
            </w:r>
          </w:p>
        </w:tc>
        <w:tc>
          <w:tcPr>
            <w:tcW w:w="0" w:type="auto"/>
            <w:shd w:val="clear" w:color="auto" w:fill="CCEEFF"/>
            <w:tcMar>
              <w:top w:w="40" w:type="dxa"/>
              <w:left w:w="0" w:type="dxa"/>
              <w:bottom w:w="40" w:type="dxa"/>
              <w:right w:w="20" w:type="dxa"/>
            </w:tcMar>
            <w:vAlign w:val="bottom"/>
          </w:tcPr>
          <w:p w14:paraId="4090D8C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8C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8CD" w14:textId="77777777" w:rsidR="00833634" w:rsidRDefault="00E15D51">
            <w:pPr>
              <w:jc w:val="right"/>
              <w:textAlignment w:val="bottom"/>
            </w:pPr>
            <w:r>
              <w:rPr>
                <w:rFonts w:ascii="Arial" w:eastAsia="宋体" w:hAnsi="Arial" w:cs="Arial"/>
                <w:b/>
                <w:bCs/>
                <w:color w:val="000000"/>
                <w:sz w:val="20"/>
                <w:szCs w:val="20"/>
              </w:rPr>
              <w:t>(10)</w:t>
            </w:r>
          </w:p>
        </w:tc>
        <w:tc>
          <w:tcPr>
            <w:tcW w:w="0" w:type="auto"/>
            <w:shd w:val="clear" w:color="auto" w:fill="CCEEFF"/>
            <w:tcMar>
              <w:top w:w="40" w:type="dxa"/>
              <w:left w:w="0" w:type="dxa"/>
              <w:bottom w:w="40" w:type="dxa"/>
              <w:right w:w="20" w:type="dxa"/>
            </w:tcMar>
            <w:vAlign w:val="bottom"/>
          </w:tcPr>
          <w:p w14:paraId="4090D8C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8C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8D0" w14:textId="77777777" w:rsidR="00833634" w:rsidRDefault="00E15D51">
            <w:pPr>
              <w:jc w:val="right"/>
              <w:textAlignment w:val="bottom"/>
            </w:pPr>
            <w:r>
              <w:rPr>
                <w:rFonts w:ascii="Arial" w:eastAsia="宋体" w:hAnsi="Arial" w:cs="Arial"/>
                <w:color w:val="000000"/>
                <w:sz w:val="20"/>
                <w:szCs w:val="20"/>
              </w:rPr>
              <w:t>(15)</w:t>
            </w:r>
          </w:p>
        </w:tc>
        <w:tc>
          <w:tcPr>
            <w:tcW w:w="0" w:type="auto"/>
            <w:shd w:val="clear" w:color="auto" w:fill="CCEEFF"/>
            <w:tcMar>
              <w:top w:w="40" w:type="dxa"/>
              <w:left w:w="0" w:type="dxa"/>
              <w:bottom w:w="40" w:type="dxa"/>
              <w:right w:w="20" w:type="dxa"/>
            </w:tcMar>
            <w:vAlign w:val="bottom"/>
          </w:tcPr>
          <w:p w14:paraId="4090D8D1" w14:textId="77777777" w:rsidR="00833634" w:rsidRDefault="00833634">
            <w:pPr>
              <w:jc w:val="right"/>
              <w:rPr>
                <w:rFonts w:ascii="宋体"/>
              </w:rPr>
            </w:pPr>
          </w:p>
        </w:tc>
      </w:tr>
      <w:tr w:rsidR="00833634" w14:paraId="4090D8DF"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8D3" w14:textId="77777777" w:rsidR="00833634" w:rsidRDefault="00E15D51">
            <w:pPr>
              <w:textAlignment w:val="bottom"/>
            </w:pPr>
            <w:r>
              <w:rPr>
                <w:rFonts w:ascii="Arial" w:eastAsia="宋体" w:hAnsi="Arial" w:cs="Arial"/>
                <w:b/>
                <w:bCs/>
                <w:color w:val="000000"/>
                <w:sz w:val="20"/>
                <w:szCs w:val="20"/>
              </w:rPr>
              <w:t>Total costs and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8D4" w14:textId="77777777" w:rsidR="00833634" w:rsidRDefault="00E15D51">
            <w:pPr>
              <w:jc w:val="right"/>
              <w:textAlignment w:val="bottom"/>
            </w:pPr>
            <w:r>
              <w:rPr>
                <w:rFonts w:ascii="Arial" w:eastAsia="宋体" w:hAnsi="Arial" w:cs="Arial"/>
                <w:b/>
                <w:bCs/>
                <w:color w:val="000000"/>
                <w:sz w:val="20"/>
                <w:szCs w:val="20"/>
              </w:rPr>
              <w:t>(42,851)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8D5"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8D6"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8D7" w14:textId="77777777" w:rsidR="00833634" w:rsidRDefault="00E15D51">
            <w:pPr>
              <w:jc w:val="right"/>
              <w:textAlignment w:val="bottom"/>
            </w:pPr>
            <w:r>
              <w:rPr>
                <w:rFonts w:ascii="Arial" w:eastAsia="宋体" w:hAnsi="Arial" w:cs="Arial"/>
                <w:color w:val="000000"/>
                <w:sz w:val="20"/>
                <w:szCs w:val="20"/>
              </w:rPr>
              <w:t>(53,385)</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8D8"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8D9"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8DA" w14:textId="77777777" w:rsidR="00833634" w:rsidRDefault="00E15D51">
            <w:pPr>
              <w:jc w:val="right"/>
              <w:textAlignment w:val="bottom"/>
            </w:pPr>
            <w:r>
              <w:rPr>
                <w:rFonts w:ascii="Arial" w:eastAsia="宋体" w:hAnsi="Arial" w:cs="Arial"/>
                <w:b/>
                <w:bCs/>
                <w:color w:val="000000"/>
                <w:sz w:val="20"/>
                <w:szCs w:val="20"/>
              </w:rPr>
              <w:t>(13,105)</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8DB"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8DC"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8DD" w14:textId="77777777" w:rsidR="00833634" w:rsidRDefault="00E15D51">
            <w:pPr>
              <w:jc w:val="right"/>
              <w:textAlignment w:val="bottom"/>
            </w:pPr>
            <w:r>
              <w:rPr>
                <w:rFonts w:ascii="Arial" w:eastAsia="宋体" w:hAnsi="Arial" w:cs="Arial"/>
                <w:color w:val="000000"/>
                <w:sz w:val="20"/>
                <w:szCs w:val="20"/>
              </w:rPr>
              <w:t>(16,930)</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8DE" w14:textId="77777777" w:rsidR="00833634" w:rsidRDefault="00833634">
            <w:pPr>
              <w:jc w:val="right"/>
              <w:rPr>
                <w:rFonts w:ascii="宋体"/>
              </w:rPr>
            </w:pPr>
          </w:p>
        </w:tc>
      </w:tr>
      <w:tr w:rsidR="00833634" w14:paraId="4090D8EC" w14:textId="77777777">
        <w:tc>
          <w:tcPr>
            <w:tcW w:w="0" w:type="auto"/>
            <w:gridSpan w:val="3"/>
            <w:tcBorders>
              <w:top w:val="single" w:sz="8" w:space="0" w:color="000000"/>
            </w:tcBorders>
            <w:shd w:val="clear" w:color="auto" w:fill="CCEEFF"/>
            <w:tcMar>
              <w:top w:w="0" w:type="dxa"/>
              <w:left w:w="20" w:type="dxa"/>
              <w:bottom w:w="0" w:type="dxa"/>
              <w:right w:w="20" w:type="dxa"/>
            </w:tcMar>
          </w:tcPr>
          <w:p w14:paraId="4090D8E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E1" w14:textId="77777777" w:rsidR="00833634" w:rsidRDefault="00E15D51">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E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8E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E4" w14:textId="77777777" w:rsidR="00833634" w:rsidRDefault="00E15D51">
            <w:pPr>
              <w:jc w:val="right"/>
              <w:textAlignment w:val="bottom"/>
            </w:pPr>
            <w:r>
              <w:rPr>
                <w:rFonts w:ascii="Arial" w:eastAsia="宋体" w:hAnsi="Arial" w:cs="Arial"/>
                <w:color w:val="000000"/>
                <w:sz w:val="20"/>
                <w:szCs w:val="20"/>
              </w:rPr>
              <w:t>5,263 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E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8E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E7" w14:textId="77777777" w:rsidR="00833634" w:rsidRDefault="00E15D51">
            <w:pPr>
              <w:jc w:val="right"/>
              <w:textAlignment w:val="bottom"/>
            </w:pPr>
            <w:r>
              <w:rPr>
                <w:rFonts w:ascii="Arial" w:eastAsia="宋体" w:hAnsi="Arial" w:cs="Arial"/>
                <w:b/>
                <w:bCs/>
                <w:color w:val="000000"/>
                <w:sz w:val="20"/>
                <w:szCs w:val="20"/>
              </w:rPr>
              <w:t>1,034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E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8E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8EA" w14:textId="77777777" w:rsidR="00833634" w:rsidRDefault="00E15D51">
            <w:pPr>
              <w:jc w:val="right"/>
              <w:textAlignment w:val="bottom"/>
            </w:pPr>
            <w:r>
              <w:rPr>
                <w:rFonts w:ascii="Arial" w:eastAsia="宋体" w:hAnsi="Arial" w:cs="Arial"/>
                <w:color w:val="000000"/>
                <w:sz w:val="20"/>
                <w:szCs w:val="20"/>
              </w:rPr>
              <w:t>3,050 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8EB" w14:textId="77777777" w:rsidR="00833634" w:rsidRDefault="00833634">
            <w:pPr>
              <w:jc w:val="right"/>
              <w:rPr>
                <w:rFonts w:ascii="宋体"/>
              </w:rPr>
            </w:pPr>
          </w:p>
        </w:tc>
      </w:tr>
      <w:tr w:rsidR="00833634" w14:paraId="4090D8F9" w14:textId="77777777">
        <w:tc>
          <w:tcPr>
            <w:tcW w:w="0" w:type="auto"/>
            <w:gridSpan w:val="3"/>
            <w:shd w:val="clear" w:color="auto" w:fill="FFFFFF"/>
            <w:tcMar>
              <w:top w:w="40" w:type="dxa"/>
              <w:left w:w="20" w:type="dxa"/>
              <w:bottom w:w="40" w:type="dxa"/>
              <w:right w:w="20" w:type="dxa"/>
            </w:tcMar>
            <w:vAlign w:val="bottom"/>
          </w:tcPr>
          <w:p w14:paraId="4090D8ED" w14:textId="77777777" w:rsidR="00833634" w:rsidRDefault="00E15D51">
            <w:pPr>
              <w:textAlignment w:val="bottom"/>
            </w:pPr>
            <w:r>
              <w:rPr>
                <w:rFonts w:ascii="Arial" w:eastAsia="宋体" w:hAnsi="Arial" w:cs="Arial"/>
                <w:color w:val="000000"/>
                <w:sz w:val="20"/>
                <w:szCs w:val="20"/>
              </w:rPr>
              <w:t>Loss from operating investments, net</w:t>
            </w:r>
          </w:p>
        </w:tc>
        <w:tc>
          <w:tcPr>
            <w:tcW w:w="0" w:type="auto"/>
            <w:gridSpan w:val="2"/>
            <w:shd w:val="clear" w:color="auto" w:fill="FFFFFF"/>
            <w:tcMar>
              <w:top w:w="40" w:type="dxa"/>
              <w:left w:w="20" w:type="dxa"/>
              <w:bottom w:w="40" w:type="dxa"/>
              <w:right w:w="0" w:type="dxa"/>
            </w:tcMar>
            <w:vAlign w:val="bottom"/>
          </w:tcPr>
          <w:p w14:paraId="4090D8EE" w14:textId="77777777" w:rsidR="00833634" w:rsidRDefault="00E15D51">
            <w:pPr>
              <w:jc w:val="right"/>
              <w:textAlignment w:val="bottom"/>
            </w:pPr>
            <w:r>
              <w:rPr>
                <w:rFonts w:ascii="Arial" w:eastAsia="宋体" w:hAnsi="Arial" w:cs="Arial"/>
                <w:b/>
                <w:bCs/>
                <w:color w:val="000000"/>
                <w:sz w:val="20"/>
                <w:szCs w:val="20"/>
              </w:rPr>
              <w:t>(61)</w:t>
            </w:r>
          </w:p>
        </w:tc>
        <w:tc>
          <w:tcPr>
            <w:tcW w:w="0" w:type="auto"/>
            <w:shd w:val="clear" w:color="auto" w:fill="FFFFFF"/>
            <w:tcMar>
              <w:top w:w="40" w:type="dxa"/>
              <w:left w:w="0" w:type="dxa"/>
              <w:bottom w:w="40" w:type="dxa"/>
              <w:right w:w="20" w:type="dxa"/>
            </w:tcMar>
            <w:vAlign w:val="bottom"/>
          </w:tcPr>
          <w:p w14:paraId="4090D8E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8F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8F1" w14:textId="77777777" w:rsidR="00833634" w:rsidRDefault="00E15D51">
            <w:pPr>
              <w:jc w:val="right"/>
              <w:textAlignment w:val="bottom"/>
            </w:pPr>
            <w:r>
              <w:rPr>
                <w:rFonts w:ascii="Arial" w:eastAsia="宋体" w:hAnsi="Arial" w:cs="Arial"/>
                <w:color w:val="000000"/>
                <w:sz w:val="20"/>
                <w:szCs w:val="20"/>
              </w:rPr>
              <w:t>(3)</w:t>
            </w:r>
          </w:p>
        </w:tc>
        <w:tc>
          <w:tcPr>
            <w:tcW w:w="0" w:type="auto"/>
            <w:shd w:val="clear" w:color="auto" w:fill="FFFFFF"/>
            <w:tcMar>
              <w:top w:w="40" w:type="dxa"/>
              <w:left w:w="0" w:type="dxa"/>
              <w:bottom w:w="40" w:type="dxa"/>
              <w:right w:w="20" w:type="dxa"/>
            </w:tcMar>
            <w:vAlign w:val="bottom"/>
          </w:tcPr>
          <w:p w14:paraId="4090D8F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8F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8F4" w14:textId="77777777" w:rsidR="00833634" w:rsidRDefault="00E15D51">
            <w:pPr>
              <w:jc w:val="right"/>
              <w:textAlignment w:val="bottom"/>
            </w:pPr>
            <w:r>
              <w:rPr>
                <w:rFonts w:ascii="Arial" w:eastAsia="宋体" w:hAnsi="Arial" w:cs="Arial"/>
                <w:b/>
                <w:bCs/>
                <w:color w:val="000000"/>
                <w:sz w:val="20"/>
                <w:szCs w:val="20"/>
              </w:rPr>
              <w:t>(14)</w:t>
            </w:r>
          </w:p>
        </w:tc>
        <w:tc>
          <w:tcPr>
            <w:tcW w:w="0" w:type="auto"/>
            <w:shd w:val="clear" w:color="auto" w:fill="FFFFFF"/>
            <w:tcMar>
              <w:top w:w="40" w:type="dxa"/>
              <w:left w:w="0" w:type="dxa"/>
              <w:bottom w:w="40" w:type="dxa"/>
              <w:right w:w="20" w:type="dxa"/>
            </w:tcMar>
            <w:vAlign w:val="bottom"/>
          </w:tcPr>
          <w:p w14:paraId="4090D8F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8F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8F7" w14:textId="77777777" w:rsidR="00833634" w:rsidRDefault="00E15D51">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4090D8F8" w14:textId="77777777" w:rsidR="00833634" w:rsidRDefault="00833634">
            <w:pPr>
              <w:jc w:val="right"/>
              <w:rPr>
                <w:rFonts w:ascii="宋体"/>
              </w:rPr>
            </w:pPr>
          </w:p>
        </w:tc>
      </w:tr>
      <w:tr w:rsidR="00833634" w14:paraId="4090D906" w14:textId="77777777">
        <w:tc>
          <w:tcPr>
            <w:tcW w:w="0" w:type="auto"/>
            <w:gridSpan w:val="3"/>
            <w:shd w:val="clear" w:color="auto" w:fill="CCEEFF"/>
            <w:tcMar>
              <w:top w:w="40" w:type="dxa"/>
              <w:left w:w="20" w:type="dxa"/>
              <w:bottom w:w="40" w:type="dxa"/>
              <w:right w:w="20" w:type="dxa"/>
            </w:tcMar>
            <w:vAlign w:val="bottom"/>
          </w:tcPr>
          <w:p w14:paraId="4090D8FA" w14:textId="77777777" w:rsidR="00833634" w:rsidRDefault="00E15D51">
            <w:pPr>
              <w:textAlignment w:val="bottom"/>
            </w:pPr>
            <w:r>
              <w:rPr>
                <w:rFonts w:ascii="Arial" w:eastAsia="宋体" w:hAnsi="Arial" w:cs="Arial"/>
                <w:color w:val="000000"/>
                <w:sz w:val="20"/>
                <w:szCs w:val="20"/>
              </w:rPr>
              <w:t>General and administrative expense</w:t>
            </w:r>
          </w:p>
        </w:tc>
        <w:tc>
          <w:tcPr>
            <w:tcW w:w="0" w:type="auto"/>
            <w:gridSpan w:val="2"/>
            <w:shd w:val="clear" w:color="auto" w:fill="CCEEFF"/>
            <w:tcMar>
              <w:top w:w="40" w:type="dxa"/>
              <w:left w:w="20" w:type="dxa"/>
              <w:bottom w:w="40" w:type="dxa"/>
              <w:right w:w="0" w:type="dxa"/>
            </w:tcMar>
            <w:vAlign w:val="bottom"/>
          </w:tcPr>
          <w:p w14:paraId="4090D8FB" w14:textId="77777777" w:rsidR="00833634" w:rsidRDefault="00E15D51">
            <w:pPr>
              <w:jc w:val="right"/>
              <w:textAlignment w:val="bottom"/>
            </w:pPr>
            <w:r>
              <w:rPr>
                <w:rFonts w:ascii="Arial" w:eastAsia="宋体" w:hAnsi="Arial" w:cs="Arial"/>
                <w:b/>
                <w:bCs/>
                <w:color w:val="000000"/>
                <w:sz w:val="20"/>
                <w:szCs w:val="20"/>
              </w:rPr>
              <w:t>(2,989)</w:t>
            </w:r>
          </w:p>
        </w:tc>
        <w:tc>
          <w:tcPr>
            <w:tcW w:w="0" w:type="auto"/>
            <w:shd w:val="clear" w:color="auto" w:fill="CCEEFF"/>
            <w:tcMar>
              <w:top w:w="40" w:type="dxa"/>
              <w:left w:w="0" w:type="dxa"/>
              <w:bottom w:w="40" w:type="dxa"/>
              <w:right w:w="20" w:type="dxa"/>
            </w:tcMar>
            <w:vAlign w:val="bottom"/>
          </w:tcPr>
          <w:p w14:paraId="4090D8F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8F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8FE" w14:textId="77777777" w:rsidR="00833634" w:rsidRDefault="00E15D51">
            <w:pPr>
              <w:jc w:val="right"/>
              <w:textAlignment w:val="bottom"/>
            </w:pPr>
            <w:r>
              <w:rPr>
                <w:rFonts w:ascii="Arial" w:eastAsia="宋体" w:hAnsi="Arial" w:cs="Arial"/>
                <w:color w:val="000000"/>
                <w:sz w:val="20"/>
                <w:szCs w:val="20"/>
              </w:rPr>
              <w:t>(2,857)</w:t>
            </w:r>
          </w:p>
        </w:tc>
        <w:tc>
          <w:tcPr>
            <w:tcW w:w="0" w:type="auto"/>
            <w:shd w:val="clear" w:color="auto" w:fill="CCEEFF"/>
            <w:tcMar>
              <w:top w:w="40" w:type="dxa"/>
              <w:left w:w="0" w:type="dxa"/>
              <w:bottom w:w="40" w:type="dxa"/>
              <w:right w:w="20" w:type="dxa"/>
            </w:tcMar>
            <w:vAlign w:val="bottom"/>
          </w:tcPr>
          <w:p w14:paraId="4090D8F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0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01" w14:textId="77777777" w:rsidR="00833634" w:rsidRDefault="00E15D51">
            <w:pPr>
              <w:jc w:val="right"/>
              <w:textAlignment w:val="bottom"/>
            </w:pPr>
            <w:r>
              <w:rPr>
                <w:rFonts w:ascii="Arial" w:eastAsia="宋体" w:hAnsi="Arial" w:cs="Arial"/>
                <w:b/>
                <w:bCs/>
                <w:color w:val="000000"/>
                <w:sz w:val="20"/>
                <w:szCs w:val="20"/>
              </w:rPr>
              <w:t>(955)</w:t>
            </w:r>
          </w:p>
        </w:tc>
        <w:tc>
          <w:tcPr>
            <w:tcW w:w="0" w:type="auto"/>
            <w:shd w:val="clear" w:color="auto" w:fill="CCEEFF"/>
            <w:tcMar>
              <w:top w:w="40" w:type="dxa"/>
              <w:left w:w="0" w:type="dxa"/>
              <w:bottom w:w="40" w:type="dxa"/>
              <w:right w:w="20" w:type="dxa"/>
            </w:tcMar>
            <w:vAlign w:val="bottom"/>
          </w:tcPr>
          <w:p w14:paraId="4090D90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0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04" w14:textId="77777777" w:rsidR="00833634" w:rsidRDefault="00E15D51">
            <w:pPr>
              <w:jc w:val="right"/>
              <w:textAlignment w:val="bottom"/>
            </w:pPr>
            <w:r>
              <w:rPr>
                <w:rFonts w:ascii="Arial" w:eastAsia="宋体" w:hAnsi="Arial" w:cs="Arial"/>
                <w:color w:val="000000"/>
                <w:sz w:val="20"/>
                <w:szCs w:val="20"/>
              </w:rPr>
              <w:t>(1,001)</w:t>
            </w:r>
          </w:p>
        </w:tc>
        <w:tc>
          <w:tcPr>
            <w:tcW w:w="0" w:type="auto"/>
            <w:shd w:val="clear" w:color="auto" w:fill="CCEEFF"/>
            <w:tcMar>
              <w:top w:w="40" w:type="dxa"/>
              <w:left w:w="0" w:type="dxa"/>
              <w:bottom w:w="40" w:type="dxa"/>
              <w:right w:w="20" w:type="dxa"/>
            </w:tcMar>
            <w:vAlign w:val="bottom"/>
          </w:tcPr>
          <w:p w14:paraId="4090D905" w14:textId="77777777" w:rsidR="00833634" w:rsidRDefault="00833634">
            <w:pPr>
              <w:jc w:val="right"/>
              <w:rPr>
                <w:rFonts w:ascii="宋体"/>
              </w:rPr>
            </w:pPr>
          </w:p>
        </w:tc>
      </w:tr>
      <w:tr w:rsidR="00833634" w14:paraId="4090D913" w14:textId="77777777">
        <w:tc>
          <w:tcPr>
            <w:tcW w:w="0" w:type="auto"/>
            <w:gridSpan w:val="3"/>
            <w:shd w:val="clear" w:color="auto" w:fill="FFFFFF"/>
            <w:tcMar>
              <w:top w:w="40" w:type="dxa"/>
              <w:left w:w="20" w:type="dxa"/>
              <w:bottom w:w="40" w:type="dxa"/>
              <w:right w:w="20" w:type="dxa"/>
            </w:tcMar>
            <w:vAlign w:val="bottom"/>
          </w:tcPr>
          <w:p w14:paraId="4090D907" w14:textId="77777777" w:rsidR="00833634" w:rsidRDefault="00E15D51">
            <w:pPr>
              <w:textAlignment w:val="bottom"/>
            </w:pPr>
            <w:r>
              <w:rPr>
                <w:rFonts w:ascii="Arial" w:eastAsia="宋体" w:hAnsi="Arial" w:cs="Arial"/>
                <w:color w:val="000000"/>
                <w:sz w:val="20"/>
                <w:szCs w:val="20"/>
              </w:rPr>
              <w:t>Research and development expense, net</w:t>
            </w:r>
          </w:p>
        </w:tc>
        <w:tc>
          <w:tcPr>
            <w:tcW w:w="0" w:type="auto"/>
            <w:gridSpan w:val="2"/>
            <w:shd w:val="clear" w:color="auto" w:fill="FFFFFF"/>
            <w:tcMar>
              <w:top w:w="40" w:type="dxa"/>
              <w:left w:w="20" w:type="dxa"/>
              <w:bottom w:w="40" w:type="dxa"/>
              <w:right w:w="0" w:type="dxa"/>
            </w:tcMar>
            <w:vAlign w:val="bottom"/>
          </w:tcPr>
          <w:p w14:paraId="4090D908" w14:textId="77777777" w:rsidR="00833634" w:rsidRDefault="00E15D51">
            <w:pPr>
              <w:jc w:val="right"/>
              <w:textAlignment w:val="bottom"/>
            </w:pPr>
            <w:r>
              <w:rPr>
                <w:rFonts w:ascii="Arial" w:eastAsia="宋体" w:hAnsi="Arial" w:cs="Arial"/>
                <w:b/>
                <w:bCs/>
                <w:color w:val="000000"/>
                <w:sz w:val="20"/>
                <w:szCs w:val="20"/>
              </w:rPr>
              <w:t>(1,871)</w:t>
            </w:r>
          </w:p>
        </w:tc>
        <w:tc>
          <w:tcPr>
            <w:tcW w:w="0" w:type="auto"/>
            <w:shd w:val="clear" w:color="auto" w:fill="FFFFFF"/>
            <w:tcMar>
              <w:top w:w="40" w:type="dxa"/>
              <w:left w:w="0" w:type="dxa"/>
              <w:bottom w:w="40" w:type="dxa"/>
              <w:right w:w="20" w:type="dxa"/>
            </w:tcMar>
            <w:vAlign w:val="bottom"/>
          </w:tcPr>
          <w:p w14:paraId="4090D90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0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0B" w14:textId="77777777" w:rsidR="00833634" w:rsidRDefault="00E15D51">
            <w:pPr>
              <w:jc w:val="right"/>
              <w:textAlignment w:val="bottom"/>
            </w:pPr>
            <w:r>
              <w:rPr>
                <w:rFonts w:ascii="Arial" w:eastAsia="宋体" w:hAnsi="Arial" w:cs="Arial"/>
                <w:color w:val="000000"/>
                <w:sz w:val="20"/>
                <w:szCs w:val="20"/>
              </w:rPr>
              <w:t>(2,470)</w:t>
            </w:r>
          </w:p>
        </w:tc>
        <w:tc>
          <w:tcPr>
            <w:tcW w:w="0" w:type="auto"/>
            <w:shd w:val="clear" w:color="auto" w:fill="FFFFFF"/>
            <w:tcMar>
              <w:top w:w="40" w:type="dxa"/>
              <w:left w:w="0" w:type="dxa"/>
              <w:bottom w:w="40" w:type="dxa"/>
              <w:right w:w="20" w:type="dxa"/>
            </w:tcMar>
            <w:vAlign w:val="bottom"/>
          </w:tcPr>
          <w:p w14:paraId="4090D90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0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0E" w14:textId="77777777" w:rsidR="00833634" w:rsidRDefault="00E15D51">
            <w:pPr>
              <w:jc w:val="right"/>
              <w:textAlignment w:val="bottom"/>
            </w:pPr>
            <w:r>
              <w:rPr>
                <w:rFonts w:ascii="Arial" w:eastAsia="宋体" w:hAnsi="Arial" w:cs="Arial"/>
                <w:b/>
                <w:bCs/>
                <w:color w:val="000000"/>
                <w:sz w:val="20"/>
                <w:szCs w:val="20"/>
              </w:rPr>
              <w:t>(574)</w:t>
            </w:r>
          </w:p>
        </w:tc>
        <w:tc>
          <w:tcPr>
            <w:tcW w:w="0" w:type="auto"/>
            <w:shd w:val="clear" w:color="auto" w:fill="FFFFFF"/>
            <w:tcMar>
              <w:top w:w="40" w:type="dxa"/>
              <w:left w:w="0" w:type="dxa"/>
              <w:bottom w:w="40" w:type="dxa"/>
              <w:right w:w="20" w:type="dxa"/>
            </w:tcMar>
            <w:vAlign w:val="bottom"/>
          </w:tcPr>
          <w:p w14:paraId="4090D90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1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11" w14:textId="77777777" w:rsidR="00833634" w:rsidRDefault="00E15D51">
            <w:pPr>
              <w:jc w:val="right"/>
              <w:textAlignment w:val="bottom"/>
            </w:pPr>
            <w:r>
              <w:rPr>
                <w:rFonts w:ascii="Arial" w:eastAsia="宋体" w:hAnsi="Arial" w:cs="Arial"/>
                <w:color w:val="000000"/>
                <w:sz w:val="20"/>
                <w:szCs w:val="20"/>
              </w:rPr>
              <w:t>(778)</w:t>
            </w:r>
          </w:p>
        </w:tc>
        <w:tc>
          <w:tcPr>
            <w:tcW w:w="0" w:type="auto"/>
            <w:shd w:val="clear" w:color="auto" w:fill="FFFFFF"/>
            <w:tcMar>
              <w:top w:w="40" w:type="dxa"/>
              <w:left w:w="0" w:type="dxa"/>
              <w:bottom w:w="40" w:type="dxa"/>
              <w:right w:w="20" w:type="dxa"/>
            </w:tcMar>
            <w:vAlign w:val="bottom"/>
          </w:tcPr>
          <w:p w14:paraId="4090D912" w14:textId="77777777" w:rsidR="00833634" w:rsidRDefault="00833634">
            <w:pPr>
              <w:jc w:val="right"/>
              <w:rPr>
                <w:rFonts w:ascii="宋体"/>
              </w:rPr>
            </w:pPr>
          </w:p>
        </w:tc>
      </w:tr>
      <w:tr w:rsidR="00833634" w14:paraId="4090D920" w14:textId="77777777">
        <w:tc>
          <w:tcPr>
            <w:tcW w:w="0" w:type="auto"/>
            <w:gridSpan w:val="3"/>
            <w:shd w:val="clear" w:color="auto" w:fill="CCEEFF"/>
            <w:tcMar>
              <w:top w:w="40" w:type="dxa"/>
              <w:left w:w="20" w:type="dxa"/>
              <w:bottom w:w="40" w:type="dxa"/>
              <w:right w:w="20" w:type="dxa"/>
            </w:tcMar>
            <w:vAlign w:val="bottom"/>
          </w:tcPr>
          <w:p w14:paraId="4090D914" w14:textId="77777777" w:rsidR="00833634" w:rsidRDefault="00E15D51">
            <w:pPr>
              <w:textAlignment w:val="bottom"/>
            </w:pPr>
            <w:r>
              <w:rPr>
                <w:rFonts w:ascii="Arial" w:eastAsia="宋体" w:hAnsi="Arial" w:cs="Arial"/>
                <w:color w:val="000000"/>
                <w:sz w:val="20"/>
                <w:szCs w:val="20"/>
              </w:rPr>
              <w:t>Gain/(loss) on dispositions, net</w:t>
            </w:r>
          </w:p>
        </w:tc>
        <w:tc>
          <w:tcPr>
            <w:tcW w:w="0" w:type="auto"/>
            <w:gridSpan w:val="2"/>
            <w:shd w:val="clear" w:color="auto" w:fill="CCEEFF"/>
            <w:tcMar>
              <w:top w:w="40" w:type="dxa"/>
              <w:left w:w="20" w:type="dxa"/>
              <w:bottom w:w="40" w:type="dxa"/>
              <w:right w:w="0" w:type="dxa"/>
            </w:tcMar>
            <w:vAlign w:val="bottom"/>
          </w:tcPr>
          <w:p w14:paraId="4090D915" w14:textId="77777777" w:rsidR="00833634" w:rsidRDefault="00E15D51">
            <w:pPr>
              <w:jc w:val="right"/>
              <w:textAlignment w:val="bottom"/>
            </w:pPr>
            <w:r>
              <w:rPr>
                <w:rFonts w:ascii="Arial" w:eastAsia="宋体" w:hAnsi="Arial" w:cs="Arial"/>
                <w:b/>
                <w:bCs/>
                <w:color w:val="000000"/>
                <w:sz w:val="20"/>
                <w:szCs w:val="20"/>
              </w:rPr>
              <w:t>200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91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1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18" w14:textId="77777777" w:rsidR="00833634" w:rsidRDefault="00E15D51">
            <w:pPr>
              <w:jc w:val="right"/>
              <w:textAlignment w:val="bottom"/>
            </w:pPr>
            <w:r>
              <w:rPr>
                <w:rFonts w:ascii="Arial" w:eastAsia="宋体" w:hAnsi="Arial" w:cs="Arial"/>
                <w:color w:val="000000"/>
                <w:sz w:val="20"/>
                <w:szCs w:val="20"/>
              </w:rPr>
              <w:t>296 </w:t>
            </w:r>
          </w:p>
        </w:tc>
        <w:tc>
          <w:tcPr>
            <w:tcW w:w="0" w:type="auto"/>
            <w:shd w:val="clear" w:color="auto" w:fill="CCEEFF"/>
            <w:tcMar>
              <w:top w:w="40" w:type="dxa"/>
              <w:left w:w="0" w:type="dxa"/>
              <w:bottom w:w="40" w:type="dxa"/>
              <w:right w:w="20" w:type="dxa"/>
            </w:tcMar>
            <w:vAlign w:val="bottom"/>
          </w:tcPr>
          <w:p w14:paraId="4090D91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1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1B" w14:textId="77777777" w:rsidR="00833634" w:rsidRDefault="00E15D51">
            <w:pPr>
              <w:jc w:val="right"/>
              <w:textAlignment w:val="bottom"/>
            </w:pPr>
            <w:r>
              <w:rPr>
                <w:rFonts w:ascii="Arial" w:eastAsia="宋体" w:hAnsi="Arial" w:cs="Arial"/>
                <w:b/>
                <w:bCs/>
                <w:color w:val="000000"/>
                <w:sz w:val="20"/>
                <w:szCs w:val="20"/>
              </w:rPr>
              <w:t>108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91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1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1E" w14:textId="77777777" w:rsidR="00833634" w:rsidRDefault="00E15D51">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4090D91F" w14:textId="77777777" w:rsidR="00833634" w:rsidRDefault="00833634">
            <w:pPr>
              <w:jc w:val="right"/>
              <w:rPr>
                <w:rFonts w:ascii="宋体"/>
              </w:rPr>
            </w:pPr>
          </w:p>
        </w:tc>
      </w:tr>
      <w:tr w:rsidR="00833634" w14:paraId="4090D92D"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921" w14:textId="77777777" w:rsidR="00833634" w:rsidRDefault="00E15D51">
            <w:pPr>
              <w:textAlignment w:val="bottom"/>
            </w:pPr>
            <w:r>
              <w:rPr>
                <w:rFonts w:ascii="Arial" w:eastAsia="宋体" w:hAnsi="Arial" w:cs="Arial"/>
                <w:b/>
                <w:bCs/>
                <w:color w:val="000000"/>
                <w:sz w:val="20"/>
                <w:szCs w:val="20"/>
              </w:rPr>
              <w:t>(Loss)/earnings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922" w14:textId="77777777" w:rsidR="00833634" w:rsidRDefault="00E15D51">
            <w:pPr>
              <w:jc w:val="right"/>
              <w:textAlignment w:val="bottom"/>
            </w:pPr>
            <w:r>
              <w:rPr>
                <w:rFonts w:ascii="Arial" w:eastAsia="宋体" w:hAnsi="Arial" w:cs="Arial"/>
                <w:b/>
                <w:bCs/>
                <w:color w:val="000000"/>
                <w:sz w:val="20"/>
                <w:szCs w:val="20"/>
              </w:rPr>
              <w:t>(4,718)</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923"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924"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925" w14:textId="77777777" w:rsidR="00833634" w:rsidRDefault="00E15D51">
            <w:pPr>
              <w:jc w:val="right"/>
              <w:textAlignment w:val="bottom"/>
            </w:pPr>
            <w:r>
              <w:rPr>
                <w:rFonts w:ascii="Arial" w:eastAsia="宋体" w:hAnsi="Arial" w:cs="Arial"/>
                <w:color w:val="000000"/>
                <w:sz w:val="20"/>
                <w:szCs w:val="20"/>
              </w:rPr>
              <w:t>229 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926"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927"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928" w14:textId="77777777" w:rsidR="00833634" w:rsidRDefault="00E15D51">
            <w:pPr>
              <w:jc w:val="right"/>
              <w:textAlignment w:val="bottom"/>
            </w:pPr>
            <w:r>
              <w:rPr>
                <w:rFonts w:ascii="Arial" w:eastAsia="宋体" w:hAnsi="Arial" w:cs="Arial"/>
                <w:b/>
                <w:bCs/>
                <w:color w:val="000000"/>
                <w:sz w:val="20"/>
                <w:szCs w:val="20"/>
              </w:rPr>
              <w:t>(401)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929"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92A"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92B" w14:textId="77777777" w:rsidR="00833634" w:rsidRDefault="00E15D51">
            <w:pPr>
              <w:jc w:val="right"/>
              <w:textAlignment w:val="bottom"/>
            </w:pPr>
            <w:r>
              <w:rPr>
                <w:rFonts w:ascii="Arial" w:eastAsia="宋体" w:hAnsi="Arial" w:cs="Arial"/>
                <w:color w:val="000000"/>
                <w:sz w:val="20"/>
                <w:szCs w:val="20"/>
              </w:rPr>
              <w:t>1,259 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92C" w14:textId="77777777" w:rsidR="00833634" w:rsidRDefault="00833634">
            <w:pPr>
              <w:jc w:val="right"/>
              <w:rPr>
                <w:rFonts w:ascii="宋体"/>
              </w:rPr>
            </w:pPr>
          </w:p>
        </w:tc>
      </w:tr>
      <w:tr w:rsidR="00833634" w14:paraId="4090D93A" w14:textId="77777777">
        <w:tc>
          <w:tcPr>
            <w:tcW w:w="0" w:type="auto"/>
            <w:gridSpan w:val="3"/>
            <w:shd w:val="clear" w:color="auto" w:fill="CCEEFF"/>
            <w:tcMar>
              <w:top w:w="40" w:type="dxa"/>
              <w:left w:w="20" w:type="dxa"/>
              <w:bottom w:w="40" w:type="dxa"/>
              <w:right w:w="20" w:type="dxa"/>
            </w:tcMar>
            <w:vAlign w:val="bottom"/>
          </w:tcPr>
          <w:p w14:paraId="4090D92E" w14:textId="77777777" w:rsidR="00833634" w:rsidRDefault="00E15D51">
            <w:pPr>
              <w:textAlignment w:val="bottom"/>
            </w:pPr>
            <w:r>
              <w:rPr>
                <w:rFonts w:ascii="Arial" w:eastAsia="宋体" w:hAnsi="Arial" w:cs="Arial"/>
                <w:color w:val="000000"/>
                <w:sz w:val="20"/>
                <w:szCs w:val="20"/>
              </w:rPr>
              <w:t>Other income, net</w:t>
            </w:r>
          </w:p>
        </w:tc>
        <w:tc>
          <w:tcPr>
            <w:tcW w:w="0" w:type="auto"/>
            <w:gridSpan w:val="2"/>
            <w:shd w:val="clear" w:color="auto" w:fill="CCEEFF"/>
            <w:tcMar>
              <w:top w:w="40" w:type="dxa"/>
              <w:left w:w="20" w:type="dxa"/>
              <w:bottom w:w="40" w:type="dxa"/>
              <w:right w:w="0" w:type="dxa"/>
            </w:tcMar>
            <w:vAlign w:val="bottom"/>
          </w:tcPr>
          <w:p w14:paraId="4090D92F" w14:textId="77777777" w:rsidR="00833634" w:rsidRDefault="00E15D51">
            <w:pPr>
              <w:jc w:val="right"/>
              <w:textAlignment w:val="bottom"/>
            </w:pPr>
            <w:r>
              <w:rPr>
                <w:rFonts w:ascii="Arial" w:eastAsia="宋体" w:hAnsi="Arial" w:cs="Arial"/>
                <w:b/>
                <w:bCs/>
                <w:color w:val="000000"/>
                <w:sz w:val="20"/>
                <w:szCs w:val="20"/>
              </w:rPr>
              <w:t>325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930"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3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32" w14:textId="77777777" w:rsidR="00833634" w:rsidRDefault="00E15D51">
            <w:pPr>
              <w:jc w:val="right"/>
              <w:textAlignment w:val="bottom"/>
            </w:pPr>
            <w:r>
              <w:rPr>
                <w:rFonts w:ascii="Arial" w:eastAsia="宋体" w:hAnsi="Arial" w:cs="Arial"/>
                <w:color w:val="000000"/>
                <w:sz w:val="20"/>
                <w:szCs w:val="20"/>
              </w:rPr>
              <w:t>334 </w:t>
            </w:r>
          </w:p>
        </w:tc>
        <w:tc>
          <w:tcPr>
            <w:tcW w:w="0" w:type="auto"/>
            <w:shd w:val="clear" w:color="auto" w:fill="CCEEFF"/>
            <w:tcMar>
              <w:top w:w="40" w:type="dxa"/>
              <w:left w:w="0" w:type="dxa"/>
              <w:bottom w:w="40" w:type="dxa"/>
              <w:right w:w="20" w:type="dxa"/>
            </w:tcMar>
            <w:vAlign w:val="bottom"/>
          </w:tcPr>
          <w:p w14:paraId="4090D93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3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35" w14:textId="77777777" w:rsidR="00833634" w:rsidRDefault="00E15D51">
            <w:pPr>
              <w:jc w:val="right"/>
              <w:textAlignment w:val="bottom"/>
            </w:pPr>
            <w:r>
              <w:rPr>
                <w:rFonts w:ascii="Arial" w:eastAsia="宋体" w:hAnsi="Arial" w:cs="Arial"/>
                <w:b/>
                <w:bCs/>
                <w:color w:val="000000"/>
                <w:sz w:val="20"/>
                <w:szCs w:val="20"/>
              </w:rPr>
              <w:t>119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93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3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38" w14:textId="77777777" w:rsidR="00833634" w:rsidRDefault="00E15D51">
            <w:pPr>
              <w:jc w:val="right"/>
              <w:textAlignment w:val="bottom"/>
            </w:pPr>
            <w:r>
              <w:rPr>
                <w:rFonts w:ascii="Arial" w:eastAsia="宋体" w:hAnsi="Arial" w:cs="Arial"/>
                <w:color w:val="000000"/>
                <w:sz w:val="20"/>
                <w:szCs w:val="20"/>
              </w:rPr>
              <w:t>121 </w:t>
            </w:r>
          </w:p>
        </w:tc>
        <w:tc>
          <w:tcPr>
            <w:tcW w:w="0" w:type="auto"/>
            <w:shd w:val="clear" w:color="auto" w:fill="CCEEFF"/>
            <w:tcMar>
              <w:top w:w="40" w:type="dxa"/>
              <w:left w:w="0" w:type="dxa"/>
              <w:bottom w:w="40" w:type="dxa"/>
              <w:right w:w="20" w:type="dxa"/>
            </w:tcMar>
            <w:vAlign w:val="bottom"/>
          </w:tcPr>
          <w:p w14:paraId="4090D939" w14:textId="77777777" w:rsidR="00833634" w:rsidRDefault="00833634">
            <w:pPr>
              <w:jc w:val="right"/>
              <w:rPr>
                <w:rFonts w:ascii="宋体"/>
              </w:rPr>
            </w:pPr>
          </w:p>
        </w:tc>
      </w:tr>
      <w:tr w:rsidR="00833634" w14:paraId="4090D947" w14:textId="77777777">
        <w:tc>
          <w:tcPr>
            <w:tcW w:w="0" w:type="auto"/>
            <w:gridSpan w:val="3"/>
            <w:shd w:val="clear" w:color="auto" w:fill="FFFFFF"/>
            <w:tcMar>
              <w:top w:w="40" w:type="dxa"/>
              <w:left w:w="20" w:type="dxa"/>
              <w:bottom w:w="40" w:type="dxa"/>
              <w:right w:w="20" w:type="dxa"/>
            </w:tcMar>
            <w:vAlign w:val="bottom"/>
          </w:tcPr>
          <w:p w14:paraId="4090D93B" w14:textId="77777777" w:rsidR="00833634" w:rsidRDefault="00E15D51">
            <w:pPr>
              <w:textAlignment w:val="bottom"/>
            </w:pPr>
            <w:r>
              <w:rPr>
                <w:rFonts w:ascii="Arial" w:eastAsia="宋体" w:hAnsi="Arial" w:cs="Arial"/>
                <w:color w:val="000000"/>
                <w:sz w:val="20"/>
                <w:szCs w:val="20"/>
              </w:rPr>
              <w:t>Interest and debt expense</w:t>
            </w:r>
          </w:p>
        </w:tc>
        <w:tc>
          <w:tcPr>
            <w:tcW w:w="0" w:type="auto"/>
            <w:gridSpan w:val="2"/>
            <w:shd w:val="clear" w:color="auto" w:fill="FFFFFF"/>
            <w:tcMar>
              <w:top w:w="40" w:type="dxa"/>
              <w:left w:w="20" w:type="dxa"/>
              <w:bottom w:w="40" w:type="dxa"/>
              <w:right w:w="0" w:type="dxa"/>
            </w:tcMar>
            <w:vAlign w:val="bottom"/>
          </w:tcPr>
          <w:p w14:paraId="4090D93C" w14:textId="77777777" w:rsidR="00833634" w:rsidRDefault="00E15D51">
            <w:pPr>
              <w:jc w:val="right"/>
              <w:textAlignment w:val="bottom"/>
            </w:pPr>
            <w:r>
              <w:rPr>
                <w:rFonts w:ascii="Arial" w:eastAsia="宋体" w:hAnsi="Arial" w:cs="Arial"/>
                <w:b/>
                <w:bCs/>
                <w:color w:val="000000"/>
                <w:sz w:val="20"/>
                <w:szCs w:val="20"/>
              </w:rPr>
              <w:t>(1,458)</w:t>
            </w:r>
          </w:p>
        </w:tc>
        <w:tc>
          <w:tcPr>
            <w:tcW w:w="0" w:type="auto"/>
            <w:shd w:val="clear" w:color="auto" w:fill="FFFFFF"/>
            <w:tcMar>
              <w:top w:w="40" w:type="dxa"/>
              <w:left w:w="0" w:type="dxa"/>
              <w:bottom w:w="40" w:type="dxa"/>
              <w:right w:w="20" w:type="dxa"/>
            </w:tcMar>
            <w:vAlign w:val="bottom"/>
          </w:tcPr>
          <w:p w14:paraId="4090D93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3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3F" w14:textId="77777777" w:rsidR="00833634" w:rsidRDefault="00E15D51">
            <w:pPr>
              <w:jc w:val="right"/>
              <w:textAlignment w:val="bottom"/>
            </w:pPr>
            <w:r>
              <w:rPr>
                <w:rFonts w:ascii="Arial" w:eastAsia="宋体" w:hAnsi="Arial" w:cs="Arial"/>
                <w:color w:val="000000"/>
                <w:sz w:val="20"/>
                <w:szCs w:val="20"/>
              </w:rPr>
              <w:t>(480)</w:t>
            </w:r>
          </w:p>
        </w:tc>
        <w:tc>
          <w:tcPr>
            <w:tcW w:w="0" w:type="auto"/>
            <w:shd w:val="clear" w:color="auto" w:fill="FFFFFF"/>
            <w:tcMar>
              <w:top w:w="40" w:type="dxa"/>
              <w:left w:w="0" w:type="dxa"/>
              <w:bottom w:w="40" w:type="dxa"/>
              <w:right w:w="20" w:type="dxa"/>
            </w:tcMar>
            <w:vAlign w:val="bottom"/>
          </w:tcPr>
          <w:p w14:paraId="4090D94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4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42" w14:textId="77777777" w:rsidR="00833634" w:rsidRDefault="00E15D51">
            <w:pPr>
              <w:jc w:val="right"/>
              <w:textAlignment w:val="bottom"/>
            </w:pPr>
            <w:r>
              <w:rPr>
                <w:rFonts w:ascii="Arial" w:eastAsia="宋体" w:hAnsi="Arial" w:cs="Arial"/>
                <w:b/>
                <w:bCs/>
                <w:color w:val="000000"/>
                <w:sz w:val="20"/>
                <w:szCs w:val="20"/>
              </w:rPr>
              <w:t>(643)</w:t>
            </w:r>
          </w:p>
        </w:tc>
        <w:tc>
          <w:tcPr>
            <w:tcW w:w="0" w:type="auto"/>
            <w:shd w:val="clear" w:color="auto" w:fill="FFFFFF"/>
            <w:tcMar>
              <w:top w:w="40" w:type="dxa"/>
              <w:left w:w="0" w:type="dxa"/>
              <w:bottom w:w="40" w:type="dxa"/>
              <w:right w:w="20" w:type="dxa"/>
            </w:tcMar>
            <w:vAlign w:val="bottom"/>
          </w:tcPr>
          <w:p w14:paraId="4090D94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4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45" w14:textId="77777777" w:rsidR="00833634" w:rsidRDefault="00E15D51">
            <w:pPr>
              <w:jc w:val="right"/>
              <w:textAlignment w:val="bottom"/>
            </w:pPr>
            <w:r>
              <w:rPr>
                <w:rFonts w:ascii="Arial" w:eastAsia="宋体" w:hAnsi="Arial" w:cs="Arial"/>
                <w:color w:val="000000"/>
                <w:sz w:val="20"/>
                <w:szCs w:val="20"/>
              </w:rPr>
              <w:t>(203)</w:t>
            </w:r>
          </w:p>
        </w:tc>
        <w:tc>
          <w:tcPr>
            <w:tcW w:w="0" w:type="auto"/>
            <w:shd w:val="clear" w:color="auto" w:fill="FFFFFF"/>
            <w:tcMar>
              <w:top w:w="40" w:type="dxa"/>
              <w:left w:w="0" w:type="dxa"/>
              <w:bottom w:w="40" w:type="dxa"/>
              <w:right w:w="20" w:type="dxa"/>
            </w:tcMar>
            <w:vAlign w:val="bottom"/>
          </w:tcPr>
          <w:p w14:paraId="4090D946" w14:textId="77777777" w:rsidR="00833634" w:rsidRDefault="00833634">
            <w:pPr>
              <w:jc w:val="right"/>
              <w:rPr>
                <w:rFonts w:ascii="宋体"/>
              </w:rPr>
            </w:pPr>
          </w:p>
        </w:tc>
      </w:tr>
      <w:tr w:rsidR="00833634" w14:paraId="4090D954"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948" w14:textId="77777777" w:rsidR="00833634" w:rsidRDefault="00E15D51">
            <w:pPr>
              <w:textAlignment w:val="bottom"/>
            </w:pPr>
            <w:r>
              <w:rPr>
                <w:rFonts w:ascii="Arial" w:eastAsia="宋体" w:hAnsi="Arial" w:cs="Arial"/>
                <w:b/>
                <w:bCs/>
                <w:color w:val="000000"/>
                <w:sz w:val="20"/>
                <w:szCs w:val="20"/>
              </w:rPr>
              <w:t>(Loss)/earnings before income taxes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49" w14:textId="77777777" w:rsidR="00833634" w:rsidRDefault="00E15D51">
            <w:pPr>
              <w:jc w:val="right"/>
              <w:textAlignment w:val="bottom"/>
            </w:pPr>
            <w:r>
              <w:rPr>
                <w:rFonts w:ascii="Arial" w:eastAsia="宋体" w:hAnsi="Arial" w:cs="Arial"/>
                <w:b/>
                <w:bCs/>
                <w:color w:val="000000"/>
                <w:sz w:val="20"/>
                <w:szCs w:val="20"/>
              </w:rPr>
              <w:t>(5,851)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4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94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4C" w14:textId="77777777" w:rsidR="00833634" w:rsidRDefault="00E15D51">
            <w:pPr>
              <w:jc w:val="right"/>
              <w:textAlignment w:val="bottom"/>
            </w:pPr>
            <w:r>
              <w:rPr>
                <w:rFonts w:ascii="Arial" w:eastAsia="宋体" w:hAnsi="Arial" w:cs="Arial"/>
                <w:color w:val="000000"/>
                <w:sz w:val="20"/>
                <w:szCs w:val="20"/>
              </w:rPr>
              <w:t>83 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4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94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4F" w14:textId="77777777" w:rsidR="00833634" w:rsidRDefault="00E15D51">
            <w:pPr>
              <w:jc w:val="right"/>
              <w:textAlignment w:val="bottom"/>
            </w:pPr>
            <w:r>
              <w:rPr>
                <w:rFonts w:ascii="Arial" w:eastAsia="宋体" w:hAnsi="Arial" w:cs="Arial"/>
                <w:b/>
                <w:bCs/>
                <w:color w:val="000000"/>
                <w:sz w:val="20"/>
                <w:szCs w:val="20"/>
              </w:rPr>
              <w:t>(925)</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5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95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52" w14:textId="77777777" w:rsidR="00833634" w:rsidRDefault="00E15D51">
            <w:pPr>
              <w:jc w:val="right"/>
              <w:textAlignment w:val="bottom"/>
            </w:pPr>
            <w:r>
              <w:rPr>
                <w:rFonts w:ascii="Arial" w:eastAsia="宋体" w:hAnsi="Arial" w:cs="Arial"/>
                <w:color w:val="000000"/>
                <w:sz w:val="20"/>
                <w:szCs w:val="20"/>
              </w:rPr>
              <w:t>1,177 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53" w14:textId="77777777" w:rsidR="00833634" w:rsidRDefault="00833634">
            <w:pPr>
              <w:jc w:val="right"/>
              <w:rPr>
                <w:rFonts w:ascii="宋体"/>
              </w:rPr>
            </w:pPr>
          </w:p>
        </w:tc>
      </w:tr>
      <w:tr w:rsidR="00833634" w14:paraId="4090D961" w14:textId="77777777">
        <w:tc>
          <w:tcPr>
            <w:tcW w:w="0" w:type="auto"/>
            <w:gridSpan w:val="3"/>
            <w:shd w:val="clear" w:color="auto" w:fill="FFFFFF"/>
            <w:tcMar>
              <w:top w:w="40" w:type="dxa"/>
              <w:left w:w="20" w:type="dxa"/>
              <w:bottom w:w="40" w:type="dxa"/>
              <w:right w:w="20" w:type="dxa"/>
            </w:tcMar>
            <w:vAlign w:val="bottom"/>
          </w:tcPr>
          <w:p w14:paraId="4090D955" w14:textId="77777777" w:rsidR="00833634" w:rsidRDefault="00E15D51">
            <w:pPr>
              <w:textAlignment w:val="bottom"/>
            </w:pPr>
            <w:r>
              <w:rPr>
                <w:rFonts w:ascii="Arial" w:eastAsia="宋体" w:hAnsi="Arial" w:cs="Arial"/>
                <w:color w:val="000000"/>
                <w:sz w:val="20"/>
                <w:szCs w:val="20"/>
              </w:rPr>
              <w:t>Income tax benefit/(expense)</w:t>
            </w:r>
          </w:p>
        </w:tc>
        <w:tc>
          <w:tcPr>
            <w:tcW w:w="0" w:type="auto"/>
            <w:gridSpan w:val="2"/>
            <w:shd w:val="clear" w:color="auto" w:fill="FFFFFF"/>
            <w:tcMar>
              <w:top w:w="40" w:type="dxa"/>
              <w:left w:w="20" w:type="dxa"/>
              <w:bottom w:w="40" w:type="dxa"/>
              <w:right w:w="0" w:type="dxa"/>
            </w:tcMar>
            <w:vAlign w:val="bottom"/>
          </w:tcPr>
          <w:p w14:paraId="4090D956" w14:textId="77777777" w:rsidR="00833634" w:rsidRDefault="00E15D51">
            <w:pPr>
              <w:jc w:val="right"/>
              <w:textAlignment w:val="bottom"/>
            </w:pPr>
            <w:r>
              <w:rPr>
                <w:rFonts w:ascii="Arial" w:eastAsia="宋体" w:hAnsi="Arial" w:cs="Arial"/>
                <w:b/>
                <w:bCs/>
                <w:color w:val="000000"/>
                <w:sz w:val="20"/>
                <w:szCs w:val="20"/>
              </w:rPr>
              <w:t>2,349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95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5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59" w14:textId="77777777" w:rsidR="00833634" w:rsidRDefault="00E15D51">
            <w:pPr>
              <w:jc w:val="right"/>
              <w:textAlignment w:val="bottom"/>
            </w:pPr>
            <w:r>
              <w:rPr>
                <w:rFonts w:ascii="Arial" w:eastAsia="宋体" w:hAnsi="Arial" w:cs="Arial"/>
                <w:color w:val="000000"/>
                <w:sz w:val="20"/>
                <w:szCs w:val="20"/>
              </w:rPr>
              <w:t>291 </w:t>
            </w:r>
          </w:p>
        </w:tc>
        <w:tc>
          <w:tcPr>
            <w:tcW w:w="0" w:type="auto"/>
            <w:shd w:val="clear" w:color="auto" w:fill="FFFFFF"/>
            <w:tcMar>
              <w:top w:w="40" w:type="dxa"/>
              <w:left w:w="0" w:type="dxa"/>
              <w:bottom w:w="40" w:type="dxa"/>
              <w:right w:w="20" w:type="dxa"/>
            </w:tcMar>
            <w:vAlign w:val="bottom"/>
          </w:tcPr>
          <w:p w14:paraId="4090D95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5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5C" w14:textId="77777777" w:rsidR="00833634" w:rsidRDefault="00E15D51">
            <w:pPr>
              <w:jc w:val="right"/>
              <w:textAlignment w:val="bottom"/>
            </w:pPr>
            <w:r>
              <w:rPr>
                <w:rFonts w:ascii="Arial" w:eastAsia="宋体" w:hAnsi="Arial" w:cs="Arial"/>
                <w:b/>
                <w:bCs/>
                <w:color w:val="000000"/>
                <w:sz w:val="20"/>
                <w:szCs w:val="20"/>
              </w:rPr>
              <w:t>459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95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5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5F" w14:textId="77777777" w:rsidR="00833634" w:rsidRDefault="00E15D51">
            <w:pPr>
              <w:jc w:val="right"/>
              <w:textAlignment w:val="bottom"/>
            </w:pPr>
            <w:r>
              <w:rPr>
                <w:rFonts w:ascii="Arial" w:eastAsia="宋体" w:hAnsi="Arial" w:cs="Arial"/>
                <w:color w:val="000000"/>
                <w:sz w:val="20"/>
                <w:szCs w:val="20"/>
              </w:rPr>
              <w:t>(10)</w:t>
            </w:r>
          </w:p>
        </w:tc>
        <w:tc>
          <w:tcPr>
            <w:tcW w:w="0" w:type="auto"/>
            <w:shd w:val="clear" w:color="auto" w:fill="FFFFFF"/>
            <w:tcMar>
              <w:top w:w="40" w:type="dxa"/>
              <w:left w:w="0" w:type="dxa"/>
              <w:bottom w:w="40" w:type="dxa"/>
              <w:right w:w="20" w:type="dxa"/>
            </w:tcMar>
            <w:vAlign w:val="bottom"/>
          </w:tcPr>
          <w:p w14:paraId="4090D960" w14:textId="77777777" w:rsidR="00833634" w:rsidRDefault="00833634">
            <w:pPr>
              <w:jc w:val="right"/>
              <w:rPr>
                <w:rFonts w:ascii="宋体"/>
              </w:rPr>
            </w:pPr>
          </w:p>
        </w:tc>
      </w:tr>
      <w:tr w:rsidR="00833634" w14:paraId="4090D96A" w14:textId="77777777">
        <w:trPr>
          <w:hidden/>
        </w:trPr>
        <w:tc>
          <w:tcPr>
            <w:tcW w:w="0" w:type="auto"/>
            <w:gridSpan w:val="3"/>
            <w:shd w:val="clear" w:color="auto" w:fill="auto"/>
          </w:tcPr>
          <w:p w14:paraId="4090D962" w14:textId="77777777" w:rsidR="00833634" w:rsidRDefault="00833634">
            <w:pPr>
              <w:rPr>
                <w:rFonts w:ascii="宋体"/>
                <w:vanish/>
              </w:rPr>
            </w:pPr>
          </w:p>
        </w:tc>
        <w:tc>
          <w:tcPr>
            <w:tcW w:w="0" w:type="auto"/>
            <w:gridSpan w:val="3"/>
            <w:shd w:val="clear" w:color="auto" w:fill="auto"/>
          </w:tcPr>
          <w:p w14:paraId="4090D963" w14:textId="77777777" w:rsidR="00833634" w:rsidRDefault="00833634">
            <w:pPr>
              <w:rPr>
                <w:rFonts w:ascii="宋体"/>
                <w:vanish/>
              </w:rPr>
            </w:pPr>
          </w:p>
        </w:tc>
        <w:tc>
          <w:tcPr>
            <w:tcW w:w="0" w:type="auto"/>
            <w:gridSpan w:val="3"/>
            <w:shd w:val="clear" w:color="auto" w:fill="auto"/>
          </w:tcPr>
          <w:p w14:paraId="4090D964" w14:textId="77777777" w:rsidR="00833634" w:rsidRDefault="00833634">
            <w:pPr>
              <w:rPr>
                <w:rFonts w:ascii="宋体"/>
                <w:vanish/>
              </w:rPr>
            </w:pPr>
          </w:p>
        </w:tc>
        <w:tc>
          <w:tcPr>
            <w:tcW w:w="0" w:type="auto"/>
            <w:gridSpan w:val="3"/>
            <w:shd w:val="clear" w:color="auto" w:fill="auto"/>
          </w:tcPr>
          <w:p w14:paraId="4090D965" w14:textId="77777777" w:rsidR="00833634" w:rsidRDefault="00833634">
            <w:pPr>
              <w:rPr>
                <w:rFonts w:ascii="宋体"/>
                <w:vanish/>
              </w:rPr>
            </w:pPr>
          </w:p>
        </w:tc>
        <w:tc>
          <w:tcPr>
            <w:tcW w:w="0" w:type="auto"/>
            <w:gridSpan w:val="3"/>
            <w:shd w:val="clear" w:color="auto" w:fill="auto"/>
          </w:tcPr>
          <w:p w14:paraId="4090D966" w14:textId="77777777" w:rsidR="00833634" w:rsidRDefault="00833634">
            <w:pPr>
              <w:rPr>
                <w:rFonts w:ascii="宋体"/>
                <w:vanish/>
              </w:rPr>
            </w:pPr>
          </w:p>
        </w:tc>
        <w:tc>
          <w:tcPr>
            <w:tcW w:w="0" w:type="auto"/>
            <w:gridSpan w:val="3"/>
            <w:shd w:val="clear" w:color="auto" w:fill="auto"/>
          </w:tcPr>
          <w:p w14:paraId="4090D967" w14:textId="77777777" w:rsidR="00833634" w:rsidRDefault="00833634">
            <w:pPr>
              <w:rPr>
                <w:rFonts w:ascii="宋体"/>
                <w:vanish/>
              </w:rPr>
            </w:pPr>
          </w:p>
        </w:tc>
        <w:tc>
          <w:tcPr>
            <w:tcW w:w="0" w:type="auto"/>
            <w:gridSpan w:val="3"/>
            <w:shd w:val="clear" w:color="auto" w:fill="auto"/>
          </w:tcPr>
          <w:p w14:paraId="4090D968" w14:textId="77777777" w:rsidR="00833634" w:rsidRDefault="00833634">
            <w:pPr>
              <w:rPr>
                <w:rFonts w:ascii="宋体"/>
                <w:vanish/>
              </w:rPr>
            </w:pPr>
          </w:p>
        </w:tc>
        <w:tc>
          <w:tcPr>
            <w:tcW w:w="0" w:type="auto"/>
            <w:gridSpan w:val="3"/>
            <w:shd w:val="clear" w:color="auto" w:fill="auto"/>
          </w:tcPr>
          <w:p w14:paraId="4090D969" w14:textId="77777777" w:rsidR="00833634" w:rsidRDefault="00833634">
            <w:pPr>
              <w:rPr>
                <w:rFonts w:ascii="宋体"/>
                <w:vanish/>
              </w:rPr>
            </w:pPr>
          </w:p>
        </w:tc>
      </w:tr>
      <w:tr w:rsidR="00833634" w14:paraId="4090D973" w14:textId="77777777">
        <w:trPr>
          <w:hidden/>
        </w:trPr>
        <w:tc>
          <w:tcPr>
            <w:tcW w:w="0" w:type="auto"/>
            <w:gridSpan w:val="3"/>
            <w:shd w:val="clear" w:color="auto" w:fill="auto"/>
          </w:tcPr>
          <w:p w14:paraId="4090D96B" w14:textId="77777777" w:rsidR="00833634" w:rsidRDefault="00833634">
            <w:pPr>
              <w:rPr>
                <w:rFonts w:ascii="宋体"/>
                <w:vanish/>
              </w:rPr>
            </w:pPr>
          </w:p>
        </w:tc>
        <w:tc>
          <w:tcPr>
            <w:tcW w:w="0" w:type="auto"/>
            <w:gridSpan w:val="3"/>
            <w:shd w:val="clear" w:color="auto" w:fill="auto"/>
          </w:tcPr>
          <w:p w14:paraId="4090D96C" w14:textId="77777777" w:rsidR="00833634" w:rsidRDefault="00833634">
            <w:pPr>
              <w:rPr>
                <w:rFonts w:ascii="宋体"/>
                <w:vanish/>
              </w:rPr>
            </w:pPr>
          </w:p>
        </w:tc>
        <w:tc>
          <w:tcPr>
            <w:tcW w:w="0" w:type="auto"/>
            <w:gridSpan w:val="3"/>
            <w:shd w:val="clear" w:color="auto" w:fill="auto"/>
          </w:tcPr>
          <w:p w14:paraId="4090D96D" w14:textId="77777777" w:rsidR="00833634" w:rsidRDefault="00833634">
            <w:pPr>
              <w:rPr>
                <w:rFonts w:ascii="宋体"/>
                <w:vanish/>
              </w:rPr>
            </w:pPr>
          </w:p>
        </w:tc>
        <w:tc>
          <w:tcPr>
            <w:tcW w:w="0" w:type="auto"/>
            <w:gridSpan w:val="3"/>
            <w:shd w:val="clear" w:color="auto" w:fill="auto"/>
          </w:tcPr>
          <w:p w14:paraId="4090D96E" w14:textId="77777777" w:rsidR="00833634" w:rsidRDefault="00833634">
            <w:pPr>
              <w:rPr>
                <w:rFonts w:ascii="宋体"/>
                <w:vanish/>
              </w:rPr>
            </w:pPr>
          </w:p>
        </w:tc>
        <w:tc>
          <w:tcPr>
            <w:tcW w:w="0" w:type="auto"/>
            <w:gridSpan w:val="3"/>
            <w:shd w:val="clear" w:color="auto" w:fill="auto"/>
          </w:tcPr>
          <w:p w14:paraId="4090D96F" w14:textId="77777777" w:rsidR="00833634" w:rsidRDefault="00833634">
            <w:pPr>
              <w:rPr>
                <w:rFonts w:ascii="宋体"/>
                <w:vanish/>
              </w:rPr>
            </w:pPr>
          </w:p>
        </w:tc>
        <w:tc>
          <w:tcPr>
            <w:tcW w:w="0" w:type="auto"/>
            <w:gridSpan w:val="3"/>
            <w:shd w:val="clear" w:color="auto" w:fill="auto"/>
          </w:tcPr>
          <w:p w14:paraId="4090D970" w14:textId="77777777" w:rsidR="00833634" w:rsidRDefault="00833634">
            <w:pPr>
              <w:rPr>
                <w:rFonts w:ascii="宋体"/>
                <w:vanish/>
              </w:rPr>
            </w:pPr>
          </w:p>
        </w:tc>
        <w:tc>
          <w:tcPr>
            <w:tcW w:w="0" w:type="auto"/>
            <w:gridSpan w:val="3"/>
            <w:shd w:val="clear" w:color="auto" w:fill="auto"/>
          </w:tcPr>
          <w:p w14:paraId="4090D971" w14:textId="77777777" w:rsidR="00833634" w:rsidRDefault="00833634">
            <w:pPr>
              <w:rPr>
                <w:rFonts w:ascii="宋体"/>
                <w:vanish/>
              </w:rPr>
            </w:pPr>
          </w:p>
        </w:tc>
        <w:tc>
          <w:tcPr>
            <w:tcW w:w="0" w:type="auto"/>
            <w:gridSpan w:val="3"/>
            <w:shd w:val="clear" w:color="auto" w:fill="auto"/>
          </w:tcPr>
          <w:p w14:paraId="4090D972" w14:textId="77777777" w:rsidR="00833634" w:rsidRDefault="00833634">
            <w:pPr>
              <w:rPr>
                <w:rFonts w:ascii="宋体"/>
                <w:vanish/>
              </w:rPr>
            </w:pPr>
          </w:p>
        </w:tc>
      </w:tr>
      <w:tr w:rsidR="00833634" w14:paraId="4090D980"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974" w14:textId="77777777" w:rsidR="00833634" w:rsidRDefault="00E15D51">
            <w:pPr>
              <w:textAlignment w:val="bottom"/>
            </w:pPr>
            <w:r>
              <w:rPr>
                <w:rFonts w:ascii="Arial" w:eastAsia="宋体" w:hAnsi="Arial" w:cs="Arial"/>
                <w:b/>
                <w:bCs/>
                <w:color w:val="000000"/>
                <w:sz w:val="20"/>
                <w:szCs w:val="20"/>
              </w:rPr>
              <w:t>Net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75" w14:textId="77777777" w:rsidR="00833634" w:rsidRDefault="00E15D51">
            <w:pPr>
              <w:jc w:val="right"/>
              <w:textAlignment w:val="bottom"/>
            </w:pPr>
            <w:r>
              <w:rPr>
                <w:rFonts w:ascii="Arial" w:eastAsia="宋体" w:hAnsi="Arial" w:cs="Arial"/>
                <w:b/>
                <w:bCs/>
                <w:color w:val="000000"/>
                <w:sz w:val="20"/>
                <w:szCs w:val="20"/>
              </w:rPr>
              <w:t>(3,502)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7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97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78"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7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97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7B" w14:textId="77777777" w:rsidR="00833634" w:rsidRDefault="00E15D51">
            <w:pPr>
              <w:jc w:val="right"/>
              <w:textAlignment w:val="bottom"/>
            </w:pPr>
            <w:r>
              <w:rPr>
                <w:rFonts w:ascii="Arial" w:eastAsia="宋体" w:hAnsi="Arial" w:cs="Arial"/>
                <w:b/>
                <w:bCs/>
                <w:color w:val="000000"/>
                <w:sz w:val="20"/>
                <w:szCs w:val="20"/>
              </w:rPr>
              <w:t>(466)</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7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97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7E" w14:textId="77777777" w:rsidR="00833634" w:rsidRDefault="00E15D51">
            <w:pPr>
              <w:jc w:val="right"/>
              <w:textAlignment w:val="bottom"/>
            </w:pPr>
            <w:r>
              <w:rPr>
                <w:rFonts w:ascii="Arial" w:eastAsia="宋体" w:hAnsi="Arial" w:cs="Arial"/>
                <w:color w:val="000000"/>
                <w:sz w:val="20"/>
                <w:szCs w:val="20"/>
              </w:rPr>
              <w:t>1,167 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7F" w14:textId="77777777" w:rsidR="00833634" w:rsidRDefault="00833634">
            <w:pPr>
              <w:jc w:val="right"/>
              <w:rPr>
                <w:rFonts w:ascii="宋体"/>
              </w:rPr>
            </w:pPr>
          </w:p>
        </w:tc>
      </w:tr>
      <w:tr w:rsidR="00833634" w14:paraId="4090D98B" w14:textId="77777777">
        <w:tc>
          <w:tcPr>
            <w:tcW w:w="0" w:type="auto"/>
            <w:gridSpan w:val="3"/>
            <w:shd w:val="clear" w:color="auto" w:fill="auto"/>
            <w:tcMar>
              <w:top w:w="40" w:type="dxa"/>
              <w:left w:w="20" w:type="dxa"/>
              <w:bottom w:w="40" w:type="dxa"/>
              <w:right w:w="20" w:type="dxa"/>
            </w:tcMar>
            <w:vAlign w:val="bottom"/>
          </w:tcPr>
          <w:p w14:paraId="4090D981" w14:textId="77777777" w:rsidR="00833634" w:rsidRDefault="00E15D51">
            <w:pPr>
              <w:textAlignment w:val="bottom"/>
            </w:pPr>
            <w:r>
              <w:rPr>
                <w:rFonts w:ascii="Arial" w:eastAsia="宋体" w:hAnsi="Arial" w:cs="Arial"/>
                <w:color w:val="000000"/>
                <w:sz w:val="20"/>
                <w:szCs w:val="20"/>
              </w:rPr>
              <w:t>Less: net loss attributable to noncontrolling interest</w:t>
            </w:r>
          </w:p>
        </w:tc>
        <w:tc>
          <w:tcPr>
            <w:tcW w:w="0" w:type="auto"/>
            <w:gridSpan w:val="2"/>
            <w:shd w:val="clear" w:color="auto" w:fill="FFFFFF"/>
            <w:tcMar>
              <w:top w:w="40" w:type="dxa"/>
              <w:left w:w="20" w:type="dxa"/>
              <w:bottom w:w="40" w:type="dxa"/>
              <w:right w:w="0" w:type="dxa"/>
            </w:tcMar>
            <w:vAlign w:val="bottom"/>
          </w:tcPr>
          <w:p w14:paraId="4090D982" w14:textId="77777777" w:rsidR="00833634" w:rsidRDefault="00E15D51">
            <w:pPr>
              <w:jc w:val="right"/>
              <w:textAlignment w:val="bottom"/>
            </w:pPr>
            <w:r>
              <w:rPr>
                <w:rFonts w:ascii="Arial" w:eastAsia="宋体" w:hAnsi="Arial" w:cs="Arial"/>
                <w:b/>
                <w:bCs/>
                <w:color w:val="000000"/>
                <w:sz w:val="20"/>
                <w:szCs w:val="20"/>
              </w:rPr>
              <w:t>(49)</w:t>
            </w:r>
          </w:p>
        </w:tc>
        <w:tc>
          <w:tcPr>
            <w:tcW w:w="0" w:type="auto"/>
            <w:shd w:val="clear" w:color="auto" w:fill="FFFFFF"/>
            <w:tcMar>
              <w:top w:w="40" w:type="dxa"/>
              <w:left w:w="0" w:type="dxa"/>
              <w:bottom w:w="40" w:type="dxa"/>
              <w:right w:w="20" w:type="dxa"/>
            </w:tcMar>
            <w:vAlign w:val="bottom"/>
          </w:tcPr>
          <w:p w14:paraId="4090D98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84"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98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98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987" w14:textId="77777777" w:rsidR="00833634" w:rsidRDefault="00E15D51">
            <w:pPr>
              <w:jc w:val="right"/>
              <w:textAlignment w:val="bottom"/>
            </w:pPr>
            <w:r>
              <w:rPr>
                <w:rFonts w:ascii="Arial" w:eastAsia="宋体" w:hAnsi="Arial" w:cs="Arial"/>
                <w:b/>
                <w:bCs/>
                <w:color w:val="000000"/>
                <w:sz w:val="20"/>
                <w:szCs w:val="20"/>
              </w:rPr>
              <w:t>(17)</w:t>
            </w:r>
          </w:p>
        </w:tc>
        <w:tc>
          <w:tcPr>
            <w:tcW w:w="0" w:type="auto"/>
            <w:shd w:val="clear" w:color="auto" w:fill="FFFFFF"/>
            <w:tcMar>
              <w:top w:w="40" w:type="dxa"/>
              <w:left w:w="0" w:type="dxa"/>
              <w:bottom w:w="40" w:type="dxa"/>
              <w:right w:w="20" w:type="dxa"/>
            </w:tcMar>
            <w:vAlign w:val="bottom"/>
          </w:tcPr>
          <w:p w14:paraId="4090D98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989"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98A" w14:textId="77777777" w:rsidR="00833634" w:rsidRDefault="00833634">
            <w:pPr>
              <w:rPr>
                <w:rFonts w:ascii="宋体"/>
              </w:rPr>
            </w:pPr>
          </w:p>
        </w:tc>
      </w:tr>
      <w:tr w:rsidR="00833634" w14:paraId="4090D99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98C" w14:textId="77777777" w:rsidR="00833634" w:rsidRDefault="00E15D51">
            <w:pPr>
              <w:textAlignment w:val="bottom"/>
            </w:pPr>
            <w:r>
              <w:rPr>
                <w:rFonts w:ascii="Arial" w:eastAsia="宋体" w:hAnsi="Arial" w:cs="Arial"/>
                <w:b/>
                <w:bCs/>
                <w:color w:val="000000"/>
                <w:sz w:val="20"/>
                <w:szCs w:val="20"/>
              </w:rPr>
              <w:t>Net (loss)/earnings attributable to Boeing Shareholders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8D" w14:textId="77777777" w:rsidR="00833634" w:rsidRDefault="00E15D51">
            <w:pPr>
              <w:jc w:val="right"/>
              <w:textAlignment w:val="bottom"/>
            </w:pPr>
            <w:r>
              <w:rPr>
                <w:rFonts w:ascii="Arial" w:eastAsia="宋体" w:hAnsi="Arial" w:cs="Arial"/>
                <w:b/>
                <w:bCs/>
                <w:color w:val="000000"/>
                <w:sz w:val="20"/>
                <w:szCs w:val="20"/>
              </w:rPr>
              <w:t>($3,453)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8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98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90"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9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99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93" w14:textId="77777777" w:rsidR="00833634" w:rsidRDefault="00E15D51">
            <w:pPr>
              <w:jc w:val="right"/>
              <w:textAlignment w:val="bottom"/>
            </w:pPr>
            <w:r>
              <w:rPr>
                <w:rFonts w:ascii="Arial" w:eastAsia="宋体" w:hAnsi="Arial" w:cs="Arial"/>
                <w:b/>
                <w:bCs/>
                <w:color w:val="000000"/>
                <w:sz w:val="20"/>
                <w:szCs w:val="20"/>
              </w:rPr>
              <w:t>($449)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9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99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996" w14:textId="77777777" w:rsidR="00833634" w:rsidRDefault="00E15D51">
            <w:pPr>
              <w:jc w:val="right"/>
              <w:textAlignment w:val="bottom"/>
            </w:pPr>
            <w:r>
              <w:rPr>
                <w:rFonts w:ascii="Arial" w:eastAsia="宋体" w:hAnsi="Arial" w:cs="Arial"/>
                <w:color w:val="000000"/>
                <w:sz w:val="20"/>
                <w:szCs w:val="20"/>
              </w:rPr>
              <w:t>$1,167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997" w14:textId="77777777" w:rsidR="00833634" w:rsidRDefault="00833634">
            <w:pPr>
              <w:jc w:val="right"/>
              <w:rPr>
                <w:rFonts w:ascii="宋体"/>
              </w:rPr>
            </w:pPr>
          </w:p>
        </w:tc>
      </w:tr>
      <w:tr w:rsidR="00833634" w14:paraId="4090D9A1" w14:textId="77777777">
        <w:trPr>
          <w:trHeight w:val="220"/>
        </w:trPr>
        <w:tc>
          <w:tcPr>
            <w:tcW w:w="0" w:type="auto"/>
            <w:gridSpan w:val="3"/>
            <w:tcBorders>
              <w:top w:val="double" w:sz="6" w:space="0" w:color="000000"/>
            </w:tcBorders>
            <w:shd w:val="clear" w:color="auto" w:fill="FFFFFF"/>
            <w:tcMar>
              <w:top w:w="0" w:type="dxa"/>
              <w:left w:w="20" w:type="dxa"/>
              <w:bottom w:w="0" w:type="dxa"/>
              <w:right w:w="20" w:type="dxa"/>
            </w:tcMar>
          </w:tcPr>
          <w:p w14:paraId="4090D999"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9A"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9B"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9C"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9D"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9E"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9F"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A0" w14:textId="77777777" w:rsidR="00833634" w:rsidRDefault="00833634">
            <w:pPr>
              <w:rPr>
                <w:rFonts w:ascii="宋体"/>
              </w:rPr>
            </w:pPr>
          </w:p>
        </w:tc>
      </w:tr>
      <w:tr w:rsidR="00833634" w14:paraId="4090D9AA" w14:textId="77777777">
        <w:trPr>
          <w:hidden/>
        </w:trPr>
        <w:tc>
          <w:tcPr>
            <w:tcW w:w="0" w:type="auto"/>
            <w:gridSpan w:val="3"/>
            <w:shd w:val="clear" w:color="auto" w:fill="auto"/>
          </w:tcPr>
          <w:p w14:paraId="4090D9A2" w14:textId="77777777" w:rsidR="00833634" w:rsidRDefault="00833634">
            <w:pPr>
              <w:rPr>
                <w:rFonts w:ascii="宋体"/>
                <w:vanish/>
              </w:rPr>
            </w:pPr>
          </w:p>
        </w:tc>
        <w:tc>
          <w:tcPr>
            <w:tcW w:w="0" w:type="auto"/>
            <w:gridSpan w:val="3"/>
            <w:shd w:val="clear" w:color="auto" w:fill="auto"/>
          </w:tcPr>
          <w:p w14:paraId="4090D9A3" w14:textId="77777777" w:rsidR="00833634" w:rsidRDefault="00833634">
            <w:pPr>
              <w:rPr>
                <w:rFonts w:ascii="宋体"/>
                <w:vanish/>
              </w:rPr>
            </w:pPr>
          </w:p>
        </w:tc>
        <w:tc>
          <w:tcPr>
            <w:tcW w:w="0" w:type="auto"/>
            <w:gridSpan w:val="3"/>
            <w:shd w:val="clear" w:color="auto" w:fill="auto"/>
          </w:tcPr>
          <w:p w14:paraId="4090D9A4" w14:textId="77777777" w:rsidR="00833634" w:rsidRDefault="00833634">
            <w:pPr>
              <w:rPr>
                <w:rFonts w:ascii="宋体"/>
                <w:vanish/>
              </w:rPr>
            </w:pPr>
          </w:p>
        </w:tc>
        <w:tc>
          <w:tcPr>
            <w:tcW w:w="0" w:type="auto"/>
            <w:gridSpan w:val="3"/>
            <w:shd w:val="clear" w:color="auto" w:fill="auto"/>
          </w:tcPr>
          <w:p w14:paraId="4090D9A5" w14:textId="77777777" w:rsidR="00833634" w:rsidRDefault="00833634">
            <w:pPr>
              <w:rPr>
                <w:rFonts w:ascii="宋体"/>
                <w:vanish/>
              </w:rPr>
            </w:pPr>
          </w:p>
        </w:tc>
        <w:tc>
          <w:tcPr>
            <w:tcW w:w="0" w:type="auto"/>
            <w:gridSpan w:val="3"/>
            <w:shd w:val="clear" w:color="auto" w:fill="auto"/>
          </w:tcPr>
          <w:p w14:paraId="4090D9A6" w14:textId="77777777" w:rsidR="00833634" w:rsidRDefault="00833634">
            <w:pPr>
              <w:rPr>
                <w:rFonts w:ascii="宋体"/>
                <w:vanish/>
              </w:rPr>
            </w:pPr>
          </w:p>
        </w:tc>
        <w:tc>
          <w:tcPr>
            <w:tcW w:w="0" w:type="auto"/>
            <w:gridSpan w:val="3"/>
            <w:shd w:val="clear" w:color="auto" w:fill="auto"/>
          </w:tcPr>
          <w:p w14:paraId="4090D9A7" w14:textId="77777777" w:rsidR="00833634" w:rsidRDefault="00833634">
            <w:pPr>
              <w:rPr>
                <w:rFonts w:ascii="宋体"/>
                <w:vanish/>
              </w:rPr>
            </w:pPr>
          </w:p>
        </w:tc>
        <w:tc>
          <w:tcPr>
            <w:tcW w:w="0" w:type="auto"/>
            <w:gridSpan w:val="3"/>
            <w:shd w:val="clear" w:color="auto" w:fill="auto"/>
          </w:tcPr>
          <w:p w14:paraId="4090D9A8" w14:textId="77777777" w:rsidR="00833634" w:rsidRDefault="00833634">
            <w:pPr>
              <w:rPr>
                <w:rFonts w:ascii="宋体"/>
                <w:vanish/>
              </w:rPr>
            </w:pPr>
          </w:p>
        </w:tc>
        <w:tc>
          <w:tcPr>
            <w:tcW w:w="0" w:type="auto"/>
            <w:gridSpan w:val="3"/>
            <w:shd w:val="clear" w:color="auto" w:fill="auto"/>
          </w:tcPr>
          <w:p w14:paraId="4090D9A9" w14:textId="77777777" w:rsidR="00833634" w:rsidRDefault="00833634">
            <w:pPr>
              <w:rPr>
                <w:rFonts w:ascii="宋体"/>
                <w:vanish/>
              </w:rPr>
            </w:pPr>
          </w:p>
        </w:tc>
      </w:tr>
      <w:tr w:rsidR="00833634" w14:paraId="4090D9B3" w14:textId="77777777">
        <w:trPr>
          <w:hidden/>
        </w:trPr>
        <w:tc>
          <w:tcPr>
            <w:tcW w:w="0" w:type="auto"/>
            <w:gridSpan w:val="3"/>
            <w:shd w:val="clear" w:color="auto" w:fill="auto"/>
          </w:tcPr>
          <w:p w14:paraId="4090D9AB" w14:textId="77777777" w:rsidR="00833634" w:rsidRDefault="00833634">
            <w:pPr>
              <w:rPr>
                <w:rFonts w:ascii="宋体"/>
                <w:vanish/>
              </w:rPr>
            </w:pPr>
          </w:p>
        </w:tc>
        <w:tc>
          <w:tcPr>
            <w:tcW w:w="0" w:type="auto"/>
            <w:gridSpan w:val="3"/>
            <w:shd w:val="clear" w:color="auto" w:fill="auto"/>
          </w:tcPr>
          <w:p w14:paraId="4090D9AC" w14:textId="77777777" w:rsidR="00833634" w:rsidRDefault="00833634">
            <w:pPr>
              <w:rPr>
                <w:rFonts w:ascii="宋体"/>
                <w:vanish/>
              </w:rPr>
            </w:pPr>
          </w:p>
        </w:tc>
        <w:tc>
          <w:tcPr>
            <w:tcW w:w="0" w:type="auto"/>
            <w:gridSpan w:val="3"/>
            <w:shd w:val="clear" w:color="auto" w:fill="auto"/>
          </w:tcPr>
          <w:p w14:paraId="4090D9AD" w14:textId="77777777" w:rsidR="00833634" w:rsidRDefault="00833634">
            <w:pPr>
              <w:rPr>
                <w:rFonts w:ascii="宋体"/>
                <w:vanish/>
              </w:rPr>
            </w:pPr>
          </w:p>
        </w:tc>
        <w:tc>
          <w:tcPr>
            <w:tcW w:w="0" w:type="auto"/>
            <w:gridSpan w:val="3"/>
            <w:shd w:val="clear" w:color="auto" w:fill="auto"/>
          </w:tcPr>
          <w:p w14:paraId="4090D9AE" w14:textId="77777777" w:rsidR="00833634" w:rsidRDefault="00833634">
            <w:pPr>
              <w:rPr>
                <w:rFonts w:ascii="宋体"/>
                <w:vanish/>
              </w:rPr>
            </w:pPr>
          </w:p>
        </w:tc>
        <w:tc>
          <w:tcPr>
            <w:tcW w:w="0" w:type="auto"/>
            <w:gridSpan w:val="3"/>
            <w:shd w:val="clear" w:color="auto" w:fill="auto"/>
          </w:tcPr>
          <w:p w14:paraId="4090D9AF" w14:textId="77777777" w:rsidR="00833634" w:rsidRDefault="00833634">
            <w:pPr>
              <w:rPr>
                <w:rFonts w:ascii="宋体"/>
                <w:vanish/>
              </w:rPr>
            </w:pPr>
          </w:p>
        </w:tc>
        <w:tc>
          <w:tcPr>
            <w:tcW w:w="0" w:type="auto"/>
            <w:gridSpan w:val="3"/>
            <w:shd w:val="clear" w:color="auto" w:fill="auto"/>
          </w:tcPr>
          <w:p w14:paraId="4090D9B0" w14:textId="77777777" w:rsidR="00833634" w:rsidRDefault="00833634">
            <w:pPr>
              <w:rPr>
                <w:rFonts w:ascii="宋体"/>
                <w:vanish/>
              </w:rPr>
            </w:pPr>
          </w:p>
        </w:tc>
        <w:tc>
          <w:tcPr>
            <w:tcW w:w="0" w:type="auto"/>
            <w:gridSpan w:val="3"/>
            <w:shd w:val="clear" w:color="auto" w:fill="auto"/>
          </w:tcPr>
          <w:p w14:paraId="4090D9B1" w14:textId="77777777" w:rsidR="00833634" w:rsidRDefault="00833634">
            <w:pPr>
              <w:rPr>
                <w:rFonts w:ascii="宋体"/>
                <w:vanish/>
              </w:rPr>
            </w:pPr>
          </w:p>
        </w:tc>
        <w:tc>
          <w:tcPr>
            <w:tcW w:w="0" w:type="auto"/>
            <w:gridSpan w:val="3"/>
            <w:shd w:val="clear" w:color="auto" w:fill="auto"/>
          </w:tcPr>
          <w:p w14:paraId="4090D9B2" w14:textId="77777777" w:rsidR="00833634" w:rsidRDefault="00833634">
            <w:pPr>
              <w:rPr>
                <w:rFonts w:ascii="宋体"/>
                <w:vanish/>
              </w:rPr>
            </w:pPr>
          </w:p>
        </w:tc>
      </w:tr>
      <w:tr w:rsidR="00833634" w14:paraId="4090D9C0" w14:textId="77777777">
        <w:tc>
          <w:tcPr>
            <w:tcW w:w="0" w:type="auto"/>
            <w:gridSpan w:val="3"/>
            <w:shd w:val="clear" w:color="auto" w:fill="CCEEFF"/>
            <w:tcMar>
              <w:top w:w="40" w:type="dxa"/>
              <w:left w:w="20" w:type="dxa"/>
              <w:bottom w:w="40" w:type="dxa"/>
              <w:right w:w="20" w:type="dxa"/>
            </w:tcMar>
            <w:vAlign w:val="bottom"/>
          </w:tcPr>
          <w:p w14:paraId="4090D9B4" w14:textId="77777777" w:rsidR="00833634" w:rsidRDefault="00E15D51">
            <w:pPr>
              <w:textAlignment w:val="bottom"/>
            </w:pPr>
            <w:r>
              <w:rPr>
                <w:rFonts w:ascii="Arial" w:eastAsia="宋体" w:hAnsi="Arial" w:cs="Arial"/>
                <w:b/>
                <w:bCs/>
                <w:color w:val="000000"/>
                <w:sz w:val="20"/>
                <w:szCs w:val="20"/>
              </w:rPr>
              <w:t>Basic (loss)/earnings per share</w:t>
            </w:r>
          </w:p>
        </w:tc>
        <w:tc>
          <w:tcPr>
            <w:tcW w:w="0" w:type="auto"/>
            <w:gridSpan w:val="2"/>
            <w:shd w:val="clear" w:color="auto" w:fill="CCEEFF"/>
            <w:tcMar>
              <w:top w:w="40" w:type="dxa"/>
              <w:left w:w="20" w:type="dxa"/>
              <w:bottom w:w="40" w:type="dxa"/>
              <w:right w:w="0" w:type="dxa"/>
            </w:tcMar>
            <w:vAlign w:val="bottom"/>
          </w:tcPr>
          <w:p w14:paraId="4090D9B5" w14:textId="77777777" w:rsidR="00833634" w:rsidRDefault="00E15D51">
            <w:pPr>
              <w:jc w:val="right"/>
              <w:textAlignment w:val="bottom"/>
            </w:pPr>
            <w:r>
              <w:rPr>
                <w:rFonts w:ascii="Arial" w:eastAsia="宋体" w:hAnsi="Arial" w:cs="Arial"/>
                <w:b/>
                <w:bCs/>
                <w:color w:val="000000"/>
                <w:sz w:val="20"/>
                <w:szCs w:val="20"/>
              </w:rPr>
              <w:t>($6.10)</w:t>
            </w:r>
          </w:p>
        </w:tc>
        <w:tc>
          <w:tcPr>
            <w:tcW w:w="0" w:type="auto"/>
            <w:shd w:val="clear" w:color="auto" w:fill="CCEEFF"/>
            <w:tcMar>
              <w:top w:w="40" w:type="dxa"/>
              <w:left w:w="0" w:type="dxa"/>
              <w:bottom w:w="40" w:type="dxa"/>
              <w:right w:w="20" w:type="dxa"/>
            </w:tcMar>
            <w:vAlign w:val="bottom"/>
          </w:tcPr>
          <w:p w14:paraId="4090D9B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B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B8" w14:textId="77777777" w:rsidR="00833634" w:rsidRDefault="00E15D51">
            <w:pPr>
              <w:jc w:val="right"/>
              <w:textAlignment w:val="bottom"/>
            </w:pPr>
            <w:r>
              <w:rPr>
                <w:rFonts w:ascii="Arial" w:eastAsia="宋体" w:hAnsi="Arial" w:cs="Arial"/>
                <w:color w:val="000000"/>
                <w:sz w:val="20"/>
                <w:szCs w:val="20"/>
              </w:rPr>
              <w:t>$0.66 </w:t>
            </w:r>
          </w:p>
        </w:tc>
        <w:tc>
          <w:tcPr>
            <w:tcW w:w="0" w:type="auto"/>
            <w:shd w:val="clear" w:color="auto" w:fill="CCEEFF"/>
            <w:tcMar>
              <w:top w:w="40" w:type="dxa"/>
              <w:left w:w="0" w:type="dxa"/>
              <w:bottom w:w="40" w:type="dxa"/>
              <w:right w:w="20" w:type="dxa"/>
            </w:tcMar>
            <w:vAlign w:val="bottom"/>
          </w:tcPr>
          <w:p w14:paraId="4090D9B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B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BB" w14:textId="77777777" w:rsidR="00833634" w:rsidRDefault="00E15D51">
            <w:pPr>
              <w:jc w:val="right"/>
              <w:textAlignment w:val="bottom"/>
            </w:pPr>
            <w:r>
              <w:rPr>
                <w:rFonts w:ascii="Arial" w:eastAsia="宋体" w:hAnsi="Arial" w:cs="Arial"/>
                <w:b/>
                <w:bCs/>
                <w:color w:val="000000"/>
                <w:sz w:val="20"/>
                <w:szCs w:val="20"/>
              </w:rPr>
              <w:t>($0.79)</w:t>
            </w:r>
          </w:p>
        </w:tc>
        <w:tc>
          <w:tcPr>
            <w:tcW w:w="0" w:type="auto"/>
            <w:shd w:val="clear" w:color="auto" w:fill="CCEEFF"/>
            <w:tcMar>
              <w:top w:w="40" w:type="dxa"/>
              <w:left w:w="0" w:type="dxa"/>
              <w:bottom w:w="40" w:type="dxa"/>
              <w:right w:w="20" w:type="dxa"/>
            </w:tcMar>
            <w:vAlign w:val="bottom"/>
          </w:tcPr>
          <w:p w14:paraId="4090D9B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B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BE" w14:textId="77777777" w:rsidR="00833634" w:rsidRDefault="00E15D51">
            <w:pPr>
              <w:jc w:val="right"/>
              <w:textAlignment w:val="bottom"/>
            </w:pPr>
            <w:r>
              <w:rPr>
                <w:rFonts w:ascii="Arial" w:eastAsia="宋体" w:hAnsi="Arial" w:cs="Arial"/>
                <w:color w:val="000000"/>
                <w:sz w:val="20"/>
                <w:szCs w:val="20"/>
              </w:rPr>
              <w:t>$2.07 </w:t>
            </w:r>
          </w:p>
        </w:tc>
        <w:tc>
          <w:tcPr>
            <w:tcW w:w="0" w:type="auto"/>
            <w:shd w:val="clear" w:color="auto" w:fill="CCEEFF"/>
            <w:tcMar>
              <w:top w:w="40" w:type="dxa"/>
              <w:left w:w="0" w:type="dxa"/>
              <w:bottom w:w="40" w:type="dxa"/>
              <w:right w:w="20" w:type="dxa"/>
            </w:tcMar>
            <w:vAlign w:val="bottom"/>
          </w:tcPr>
          <w:p w14:paraId="4090D9BF" w14:textId="77777777" w:rsidR="00833634" w:rsidRDefault="00833634">
            <w:pPr>
              <w:jc w:val="right"/>
              <w:rPr>
                <w:rFonts w:ascii="宋体"/>
              </w:rPr>
            </w:pPr>
          </w:p>
        </w:tc>
      </w:tr>
      <w:tr w:rsidR="00833634" w14:paraId="4090D9C9" w14:textId="77777777">
        <w:trPr>
          <w:trHeight w:val="180"/>
        </w:trPr>
        <w:tc>
          <w:tcPr>
            <w:tcW w:w="0" w:type="auto"/>
            <w:gridSpan w:val="3"/>
            <w:tcBorders>
              <w:top w:val="double" w:sz="6" w:space="0" w:color="000000"/>
            </w:tcBorders>
            <w:shd w:val="clear" w:color="auto" w:fill="FFFFFF"/>
            <w:tcMar>
              <w:top w:w="0" w:type="dxa"/>
              <w:left w:w="20" w:type="dxa"/>
              <w:bottom w:w="0" w:type="dxa"/>
              <w:right w:w="20" w:type="dxa"/>
            </w:tcMar>
          </w:tcPr>
          <w:p w14:paraId="4090D9C1"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C2"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C3"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C4"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C5"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C6"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C7"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C8" w14:textId="77777777" w:rsidR="00833634" w:rsidRDefault="00833634">
            <w:pPr>
              <w:rPr>
                <w:rFonts w:ascii="宋体"/>
              </w:rPr>
            </w:pPr>
          </w:p>
        </w:tc>
      </w:tr>
      <w:tr w:rsidR="00833634" w14:paraId="4090D9D2" w14:textId="77777777">
        <w:trPr>
          <w:hidden/>
        </w:trPr>
        <w:tc>
          <w:tcPr>
            <w:tcW w:w="0" w:type="auto"/>
            <w:gridSpan w:val="3"/>
            <w:shd w:val="clear" w:color="auto" w:fill="auto"/>
          </w:tcPr>
          <w:p w14:paraId="4090D9CA" w14:textId="77777777" w:rsidR="00833634" w:rsidRDefault="00833634">
            <w:pPr>
              <w:rPr>
                <w:rFonts w:ascii="宋体"/>
                <w:vanish/>
              </w:rPr>
            </w:pPr>
          </w:p>
        </w:tc>
        <w:tc>
          <w:tcPr>
            <w:tcW w:w="0" w:type="auto"/>
            <w:gridSpan w:val="3"/>
            <w:shd w:val="clear" w:color="auto" w:fill="auto"/>
          </w:tcPr>
          <w:p w14:paraId="4090D9CB" w14:textId="77777777" w:rsidR="00833634" w:rsidRDefault="00833634">
            <w:pPr>
              <w:rPr>
                <w:rFonts w:ascii="宋体"/>
                <w:vanish/>
              </w:rPr>
            </w:pPr>
          </w:p>
        </w:tc>
        <w:tc>
          <w:tcPr>
            <w:tcW w:w="0" w:type="auto"/>
            <w:gridSpan w:val="3"/>
            <w:shd w:val="clear" w:color="auto" w:fill="auto"/>
          </w:tcPr>
          <w:p w14:paraId="4090D9CC" w14:textId="77777777" w:rsidR="00833634" w:rsidRDefault="00833634">
            <w:pPr>
              <w:rPr>
                <w:rFonts w:ascii="宋体"/>
                <w:vanish/>
              </w:rPr>
            </w:pPr>
          </w:p>
        </w:tc>
        <w:tc>
          <w:tcPr>
            <w:tcW w:w="0" w:type="auto"/>
            <w:gridSpan w:val="3"/>
            <w:shd w:val="clear" w:color="auto" w:fill="auto"/>
          </w:tcPr>
          <w:p w14:paraId="4090D9CD" w14:textId="77777777" w:rsidR="00833634" w:rsidRDefault="00833634">
            <w:pPr>
              <w:rPr>
                <w:rFonts w:ascii="宋体"/>
                <w:vanish/>
              </w:rPr>
            </w:pPr>
          </w:p>
        </w:tc>
        <w:tc>
          <w:tcPr>
            <w:tcW w:w="0" w:type="auto"/>
            <w:gridSpan w:val="3"/>
            <w:shd w:val="clear" w:color="auto" w:fill="auto"/>
          </w:tcPr>
          <w:p w14:paraId="4090D9CE" w14:textId="77777777" w:rsidR="00833634" w:rsidRDefault="00833634">
            <w:pPr>
              <w:rPr>
                <w:rFonts w:ascii="宋体"/>
                <w:vanish/>
              </w:rPr>
            </w:pPr>
          </w:p>
        </w:tc>
        <w:tc>
          <w:tcPr>
            <w:tcW w:w="0" w:type="auto"/>
            <w:gridSpan w:val="3"/>
            <w:shd w:val="clear" w:color="auto" w:fill="auto"/>
          </w:tcPr>
          <w:p w14:paraId="4090D9CF" w14:textId="77777777" w:rsidR="00833634" w:rsidRDefault="00833634">
            <w:pPr>
              <w:rPr>
                <w:rFonts w:ascii="宋体"/>
                <w:vanish/>
              </w:rPr>
            </w:pPr>
          </w:p>
        </w:tc>
        <w:tc>
          <w:tcPr>
            <w:tcW w:w="0" w:type="auto"/>
            <w:gridSpan w:val="3"/>
            <w:shd w:val="clear" w:color="auto" w:fill="auto"/>
          </w:tcPr>
          <w:p w14:paraId="4090D9D0" w14:textId="77777777" w:rsidR="00833634" w:rsidRDefault="00833634">
            <w:pPr>
              <w:rPr>
                <w:rFonts w:ascii="宋体"/>
                <w:vanish/>
              </w:rPr>
            </w:pPr>
          </w:p>
        </w:tc>
        <w:tc>
          <w:tcPr>
            <w:tcW w:w="0" w:type="auto"/>
            <w:gridSpan w:val="3"/>
            <w:shd w:val="clear" w:color="auto" w:fill="auto"/>
          </w:tcPr>
          <w:p w14:paraId="4090D9D1" w14:textId="77777777" w:rsidR="00833634" w:rsidRDefault="00833634">
            <w:pPr>
              <w:rPr>
                <w:rFonts w:ascii="宋体"/>
                <w:vanish/>
              </w:rPr>
            </w:pPr>
          </w:p>
        </w:tc>
      </w:tr>
      <w:tr w:rsidR="00833634" w14:paraId="4090D9DB" w14:textId="77777777">
        <w:trPr>
          <w:hidden/>
        </w:trPr>
        <w:tc>
          <w:tcPr>
            <w:tcW w:w="0" w:type="auto"/>
            <w:gridSpan w:val="3"/>
            <w:shd w:val="clear" w:color="auto" w:fill="auto"/>
          </w:tcPr>
          <w:p w14:paraId="4090D9D3" w14:textId="77777777" w:rsidR="00833634" w:rsidRDefault="00833634">
            <w:pPr>
              <w:rPr>
                <w:rFonts w:ascii="宋体"/>
                <w:vanish/>
              </w:rPr>
            </w:pPr>
          </w:p>
        </w:tc>
        <w:tc>
          <w:tcPr>
            <w:tcW w:w="0" w:type="auto"/>
            <w:gridSpan w:val="3"/>
            <w:shd w:val="clear" w:color="auto" w:fill="auto"/>
          </w:tcPr>
          <w:p w14:paraId="4090D9D4" w14:textId="77777777" w:rsidR="00833634" w:rsidRDefault="00833634">
            <w:pPr>
              <w:rPr>
                <w:rFonts w:ascii="宋体"/>
                <w:vanish/>
              </w:rPr>
            </w:pPr>
          </w:p>
        </w:tc>
        <w:tc>
          <w:tcPr>
            <w:tcW w:w="0" w:type="auto"/>
            <w:gridSpan w:val="3"/>
            <w:shd w:val="clear" w:color="auto" w:fill="auto"/>
          </w:tcPr>
          <w:p w14:paraId="4090D9D5" w14:textId="77777777" w:rsidR="00833634" w:rsidRDefault="00833634">
            <w:pPr>
              <w:rPr>
                <w:rFonts w:ascii="宋体"/>
                <w:vanish/>
              </w:rPr>
            </w:pPr>
          </w:p>
        </w:tc>
        <w:tc>
          <w:tcPr>
            <w:tcW w:w="0" w:type="auto"/>
            <w:gridSpan w:val="3"/>
            <w:shd w:val="clear" w:color="auto" w:fill="auto"/>
          </w:tcPr>
          <w:p w14:paraId="4090D9D6" w14:textId="77777777" w:rsidR="00833634" w:rsidRDefault="00833634">
            <w:pPr>
              <w:rPr>
                <w:rFonts w:ascii="宋体"/>
                <w:vanish/>
              </w:rPr>
            </w:pPr>
          </w:p>
        </w:tc>
        <w:tc>
          <w:tcPr>
            <w:tcW w:w="0" w:type="auto"/>
            <w:gridSpan w:val="3"/>
            <w:shd w:val="clear" w:color="auto" w:fill="auto"/>
          </w:tcPr>
          <w:p w14:paraId="4090D9D7" w14:textId="77777777" w:rsidR="00833634" w:rsidRDefault="00833634">
            <w:pPr>
              <w:rPr>
                <w:rFonts w:ascii="宋体"/>
                <w:vanish/>
              </w:rPr>
            </w:pPr>
          </w:p>
        </w:tc>
        <w:tc>
          <w:tcPr>
            <w:tcW w:w="0" w:type="auto"/>
            <w:gridSpan w:val="3"/>
            <w:shd w:val="clear" w:color="auto" w:fill="auto"/>
          </w:tcPr>
          <w:p w14:paraId="4090D9D8" w14:textId="77777777" w:rsidR="00833634" w:rsidRDefault="00833634">
            <w:pPr>
              <w:rPr>
                <w:rFonts w:ascii="宋体"/>
                <w:vanish/>
              </w:rPr>
            </w:pPr>
          </w:p>
        </w:tc>
        <w:tc>
          <w:tcPr>
            <w:tcW w:w="0" w:type="auto"/>
            <w:gridSpan w:val="3"/>
            <w:shd w:val="clear" w:color="auto" w:fill="auto"/>
          </w:tcPr>
          <w:p w14:paraId="4090D9D9" w14:textId="77777777" w:rsidR="00833634" w:rsidRDefault="00833634">
            <w:pPr>
              <w:rPr>
                <w:rFonts w:ascii="宋体"/>
                <w:vanish/>
              </w:rPr>
            </w:pPr>
          </w:p>
        </w:tc>
        <w:tc>
          <w:tcPr>
            <w:tcW w:w="0" w:type="auto"/>
            <w:gridSpan w:val="3"/>
            <w:shd w:val="clear" w:color="auto" w:fill="auto"/>
          </w:tcPr>
          <w:p w14:paraId="4090D9DA" w14:textId="77777777" w:rsidR="00833634" w:rsidRDefault="00833634">
            <w:pPr>
              <w:rPr>
                <w:rFonts w:ascii="宋体"/>
                <w:vanish/>
              </w:rPr>
            </w:pPr>
          </w:p>
        </w:tc>
      </w:tr>
      <w:tr w:rsidR="00833634" w14:paraId="4090D9E8" w14:textId="77777777">
        <w:tc>
          <w:tcPr>
            <w:tcW w:w="0" w:type="auto"/>
            <w:gridSpan w:val="3"/>
            <w:shd w:val="clear" w:color="auto" w:fill="CCEEFF"/>
            <w:tcMar>
              <w:top w:w="40" w:type="dxa"/>
              <w:left w:w="20" w:type="dxa"/>
              <w:bottom w:w="40" w:type="dxa"/>
              <w:right w:w="20" w:type="dxa"/>
            </w:tcMar>
            <w:vAlign w:val="bottom"/>
          </w:tcPr>
          <w:p w14:paraId="4090D9DC" w14:textId="77777777" w:rsidR="00833634" w:rsidRDefault="00E15D51">
            <w:pPr>
              <w:textAlignment w:val="bottom"/>
            </w:pPr>
            <w:r>
              <w:rPr>
                <w:rFonts w:ascii="Arial" w:eastAsia="宋体" w:hAnsi="Arial" w:cs="Arial"/>
                <w:b/>
                <w:bCs/>
                <w:color w:val="000000"/>
                <w:sz w:val="20"/>
                <w:szCs w:val="20"/>
              </w:rPr>
              <w:t>Diluted (loss)/earnings per share</w:t>
            </w:r>
          </w:p>
        </w:tc>
        <w:tc>
          <w:tcPr>
            <w:tcW w:w="0" w:type="auto"/>
            <w:gridSpan w:val="2"/>
            <w:shd w:val="clear" w:color="auto" w:fill="CCEEFF"/>
            <w:tcMar>
              <w:top w:w="40" w:type="dxa"/>
              <w:left w:w="20" w:type="dxa"/>
              <w:bottom w:w="40" w:type="dxa"/>
              <w:right w:w="0" w:type="dxa"/>
            </w:tcMar>
            <w:vAlign w:val="bottom"/>
          </w:tcPr>
          <w:p w14:paraId="4090D9DD" w14:textId="77777777" w:rsidR="00833634" w:rsidRDefault="00E15D51">
            <w:pPr>
              <w:jc w:val="right"/>
              <w:textAlignment w:val="bottom"/>
            </w:pPr>
            <w:r>
              <w:rPr>
                <w:rFonts w:ascii="Arial" w:eastAsia="宋体" w:hAnsi="Arial" w:cs="Arial"/>
                <w:b/>
                <w:bCs/>
                <w:color w:val="000000"/>
                <w:sz w:val="20"/>
                <w:szCs w:val="20"/>
              </w:rPr>
              <w:t>($6.10)</w:t>
            </w:r>
          </w:p>
        </w:tc>
        <w:tc>
          <w:tcPr>
            <w:tcW w:w="0" w:type="auto"/>
            <w:shd w:val="clear" w:color="auto" w:fill="CCEEFF"/>
            <w:tcMar>
              <w:top w:w="40" w:type="dxa"/>
              <w:left w:w="0" w:type="dxa"/>
              <w:bottom w:w="40" w:type="dxa"/>
              <w:right w:w="20" w:type="dxa"/>
            </w:tcMar>
            <w:vAlign w:val="bottom"/>
          </w:tcPr>
          <w:p w14:paraId="4090D9D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D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E0" w14:textId="77777777" w:rsidR="00833634" w:rsidRDefault="00E15D51">
            <w:pPr>
              <w:jc w:val="right"/>
              <w:textAlignment w:val="bottom"/>
            </w:pPr>
            <w:r>
              <w:rPr>
                <w:rFonts w:ascii="Arial" w:eastAsia="宋体" w:hAnsi="Arial" w:cs="Arial"/>
                <w:color w:val="000000"/>
                <w:sz w:val="20"/>
                <w:szCs w:val="20"/>
              </w:rPr>
              <w:t>$0.66 </w:t>
            </w:r>
          </w:p>
        </w:tc>
        <w:tc>
          <w:tcPr>
            <w:tcW w:w="0" w:type="auto"/>
            <w:shd w:val="clear" w:color="auto" w:fill="CCEEFF"/>
            <w:tcMar>
              <w:top w:w="40" w:type="dxa"/>
              <w:left w:w="0" w:type="dxa"/>
              <w:bottom w:w="40" w:type="dxa"/>
              <w:right w:w="20" w:type="dxa"/>
            </w:tcMar>
            <w:vAlign w:val="bottom"/>
          </w:tcPr>
          <w:p w14:paraId="4090D9E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E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E3" w14:textId="77777777" w:rsidR="00833634" w:rsidRDefault="00E15D51">
            <w:pPr>
              <w:jc w:val="right"/>
              <w:textAlignment w:val="bottom"/>
            </w:pPr>
            <w:r>
              <w:rPr>
                <w:rFonts w:ascii="Arial" w:eastAsia="宋体" w:hAnsi="Arial" w:cs="Arial"/>
                <w:b/>
                <w:bCs/>
                <w:color w:val="000000"/>
                <w:sz w:val="20"/>
                <w:szCs w:val="20"/>
              </w:rPr>
              <w:t>($0.79)</w:t>
            </w:r>
          </w:p>
        </w:tc>
        <w:tc>
          <w:tcPr>
            <w:tcW w:w="0" w:type="auto"/>
            <w:shd w:val="clear" w:color="auto" w:fill="CCEEFF"/>
            <w:tcMar>
              <w:top w:w="40" w:type="dxa"/>
              <w:left w:w="0" w:type="dxa"/>
              <w:bottom w:w="40" w:type="dxa"/>
              <w:right w:w="20" w:type="dxa"/>
            </w:tcMar>
            <w:vAlign w:val="bottom"/>
          </w:tcPr>
          <w:p w14:paraId="4090D9E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9E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9E6" w14:textId="77777777" w:rsidR="00833634" w:rsidRDefault="00E15D51">
            <w:pPr>
              <w:jc w:val="right"/>
              <w:textAlignment w:val="bottom"/>
            </w:pPr>
            <w:r>
              <w:rPr>
                <w:rFonts w:ascii="Arial" w:eastAsia="宋体" w:hAnsi="Arial" w:cs="Arial"/>
                <w:color w:val="000000"/>
                <w:sz w:val="20"/>
                <w:szCs w:val="20"/>
              </w:rPr>
              <w:t>$2.05 </w:t>
            </w:r>
          </w:p>
        </w:tc>
        <w:tc>
          <w:tcPr>
            <w:tcW w:w="0" w:type="auto"/>
            <w:shd w:val="clear" w:color="auto" w:fill="CCEEFF"/>
            <w:tcMar>
              <w:top w:w="40" w:type="dxa"/>
              <w:left w:w="0" w:type="dxa"/>
              <w:bottom w:w="40" w:type="dxa"/>
              <w:right w:w="20" w:type="dxa"/>
            </w:tcMar>
            <w:vAlign w:val="bottom"/>
          </w:tcPr>
          <w:p w14:paraId="4090D9E7" w14:textId="77777777" w:rsidR="00833634" w:rsidRDefault="00833634">
            <w:pPr>
              <w:jc w:val="right"/>
              <w:rPr>
                <w:rFonts w:ascii="宋体"/>
              </w:rPr>
            </w:pPr>
          </w:p>
        </w:tc>
      </w:tr>
      <w:tr w:rsidR="00833634" w14:paraId="4090D9F1" w14:textId="77777777">
        <w:trPr>
          <w:trHeight w:val="180"/>
        </w:trPr>
        <w:tc>
          <w:tcPr>
            <w:tcW w:w="0" w:type="auto"/>
            <w:gridSpan w:val="3"/>
            <w:tcBorders>
              <w:top w:val="double" w:sz="6" w:space="0" w:color="000000"/>
            </w:tcBorders>
            <w:shd w:val="clear" w:color="auto" w:fill="FFFFFF"/>
            <w:tcMar>
              <w:top w:w="0" w:type="dxa"/>
              <w:left w:w="20" w:type="dxa"/>
              <w:bottom w:w="0" w:type="dxa"/>
              <w:right w:w="20" w:type="dxa"/>
            </w:tcMar>
          </w:tcPr>
          <w:p w14:paraId="4090D9E9"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EA"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EB"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EC"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ED"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EE"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EF"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9F0" w14:textId="77777777" w:rsidR="00833634" w:rsidRDefault="00833634">
            <w:pPr>
              <w:rPr>
                <w:rFonts w:ascii="宋体"/>
              </w:rPr>
            </w:pPr>
          </w:p>
        </w:tc>
      </w:tr>
      <w:tr w:rsidR="00833634" w14:paraId="4090D9FA"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D9F2" w14:textId="77777777" w:rsidR="00833634" w:rsidRDefault="00E15D51">
            <w:pPr>
              <w:textAlignment w:val="bottom"/>
            </w:pPr>
            <w:r>
              <w:rPr>
                <w:rFonts w:ascii="Arial" w:eastAsia="宋体" w:hAnsi="Arial" w:cs="Arial"/>
                <w:b/>
                <w:bCs/>
                <w:color w:val="000000"/>
                <w:sz w:val="20"/>
                <w:szCs w:val="20"/>
              </w:rPr>
              <w:t>Weighted average diluted shares (millions)</w:t>
            </w: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D9F3" w14:textId="77777777" w:rsidR="00833634" w:rsidRDefault="00E15D51">
            <w:pPr>
              <w:jc w:val="right"/>
              <w:textAlignment w:val="bottom"/>
            </w:pPr>
            <w:r>
              <w:rPr>
                <w:rFonts w:ascii="Arial" w:eastAsia="宋体" w:hAnsi="Arial" w:cs="Arial"/>
                <w:b/>
                <w:bCs/>
                <w:color w:val="000000"/>
                <w:sz w:val="20"/>
                <w:szCs w:val="20"/>
              </w:rPr>
              <w:t>566.3</w:t>
            </w:r>
          </w:p>
        </w:tc>
        <w:tc>
          <w:tcPr>
            <w:tcW w:w="0" w:type="auto"/>
            <w:gridSpan w:val="3"/>
            <w:tcBorders>
              <w:bottom w:val="double" w:sz="6" w:space="0" w:color="000000"/>
            </w:tcBorders>
            <w:shd w:val="clear" w:color="auto" w:fill="CCEEFF"/>
            <w:tcMar>
              <w:top w:w="0" w:type="dxa"/>
              <w:left w:w="20" w:type="dxa"/>
              <w:bottom w:w="0" w:type="dxa"/>
              <w:right w:w="20" w:type="dxa"/>
            </w:tcMar>
          </w:tcPr>
          <w:p w14:paraId="4090D9F4" w14:textId="77777777" w:rsidR="00833634" w:rsidRDefault="00833634">
            <w:pPr>
              <w:rPr>
                <w:rFonts w:ascii="宋体"/>
              </w:rPr>
            </w:pP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D9F5" w14:textId="77777777" w:rsidR="00833634" w:rsidRDefault="00E15D51">
            <w:pPr>
              <w:jc w:val="right"/>
              <w:textAlignment w:val="bottom"/>
            </w:pPr>
            <w:r>
              <w:rPr>
                <w:rFonts w:ascii="Arial" w:eastAsia="宋体" w:hAnsi="Arial" w:cs="Arial"/>
                <w:color w:val="000000"/>
                <w:sz w:val="20"/>
                <w:szCs w:val="20"/>
              </w:rPr>
              <w:t>570.4</w:t>
            </w:r>
          </w:p>
        </w:tc>
        <w:tc>
          <w:tcPr>
            <w:tcW w:w="0" w:type="auto"/>
            <w:gridSpan w:val="3"/>
            <w:tcBorders>
              <w:bottom w:val="double" w:sz="6" w:space="0" w:color="000000"/>
            </w:tcBorders>
            <w:shd w:val="clear" w:color="auto" w:fill="CCEEFF"/>
            <w:tcMar>
              <w:top w:w="0" w:type="dxa"/>
              <w:left w:w="20" w:type="dxa"/>
              <w:bottom w:w="0" w:type="dxa"/>
              <w:right w:w="20" w:type="dxa"/>
            </w:tcMar>
          </w:tcPr>
          <w:p w14:paraId="4090D9F6" w14:textId="77777777" w:rsidR="00833634" w:rsidRDefault="00833634">
            <w:pPr>
              <w:rPr>
                <w:rFonts w:ascii="宋体"/>
              </w:rPr>
            </w:pP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D9F7" w14:textId="77777777" w:rsidR="00833634" w:rsidRDefault="00E15D51">
            <w:pPr>
              <w:jc w:val="right"/>
              <w:textAlignment w:val="bottom"/>
            </w:pPr>
            <w:r>
              <w:rPr>
                <w:rFonts w:ascii="Arial" w:eastAsia="宋体" w:hAnsi="Arial" w:cs="Arial"/>
                <w:b/>
                <w:bCs/>
                <w:color w:val="000000"/>
                <w:sz w:val="20"/>
                <w:szCs w:val="20"/>
              </w:rPr>
              <w:t>566.6</w:t>
            </w:r>
          </w:p>
        </w:tc>
        <w:tc>
          <w:tcPr>
            <w:tcW w:w="0" w:type="auto"/>
            <w:gridSpan w:val="3"/>
            <w:tcBorders>
              <w:bottom w:val="double" w:sz="6" w:space="0" w:color="000000"/>
            </w:tcBorders>
            <w:shd w:val="clear" w:color="auto" w:fill="CCEEFF"/>
            <w:tcMar>
              <w:top w:w="0" w:type="dxa"/>
              <w:left w:w="20" w:type="dxa"/>
              <w:bottom w:w="0" w:type="dxa"/>
              <w:right w:w="20" w:type="dxa"/>
            </w:tcMar>
          </w:tcPr>
          <w:p w14:paraId="4090D9F8" w14:textId="77777777" w:rsidR="00833634" w:rsidRDefault="00833634">
            <w:pPr>
              <w:rPr>
                <w:rFonts w:ascii="宋体"/>
              </w:rPr>
            </w:pPr>
          </w:p>
        </w:tc>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D9F9" w14:textId="77777777" w:rsidR="00833634" w:rsidRDefault="00E15D51">
            <w:pPr>
              <w:jc w:val="right"/>
              <w:textAlignment w:val="bottom"/>
            </w:pPr>
            <w:r>
              <w:rPr>
                <w:rFonts w:ascii="Arial" w:eastAsia="宋体" w:hAnsi="Arial" w:cs="Arial"/>
                <w:color w:val="000000"/>
                <w:sz w:val="20"/>
                <w:szCs w:val="20"/>
              </w:rPr>
              <w:t>569.2</w:t>
            </w:r>
          </w:p>
        </w:tc>
      </w:tr>
    </w:tbl>
    <w:p w14:paraId="4090D9FB" w14:textId="77777777" w:rsidR="00833634" w:rsidRDefault="00E15D51">
      <w:pPr>
        <w:spacing w:after="180"/>
        <w:jc w:val="both"/>
      </w:pPr>
      <w:r>
        <w:rPr>
          <w:rFonts w:ascii="Arial" w:eastAsia="宋体" w:hAnsi="Arial" w:cs="Arial"/>
          <w:color w:val="000000"/>
          <w:sz w:val="20"/>
          <w:szCs w:val="20"/>
        </w:rPr>
        <w:t xml:space="preserve">See Notes to the Condensed Consolidated Financial Statements. </w:t>
      </w:r>
    </w:p>
    <w:p w14:paraId="4090D9FC" w14:textId="77777777" w:rsidR="00833634" w:rsidRDefault="00E15D51">
      <w:pPr>
        <w:spacing w:after="180"/>
        <w:jc w:val="center"/>
      </w:pPr>
      <w:r>
        <w:rPr>
          <w:rFonts w:ascii="Arial" w:eastAsia="宋体" w:hAnsi="Arial" w:cs="Arial"/>
          <w:color w:val="000000"/>
          <w:sz w:val="18"/>
          <w:szCs w:val="18"/>
        </w:rPr>
        <w:t>1</w:t>
      </w:r>
    </w:p>
    <w:p w14:paraId="4090D9FD" w14:textId="77777777" w:rsidR="00833634" w:rsidRDefault="00E15D51">
      <w:r>
        <w:pict w14:anchorId="4090FE21">
          <v:rect id="_x0000_i1027" style="width:415.3pt;height:1.5pt" o:hralign="center" o:hrstd="t" o:hr="t" fillcolor="#a0a0a0" stroked="f"/>
        </w:pict>
      </w:r>
    </w:p>
    <w:p w14:paraId="4090D9FE" w14:textId="77777777" w:rsidR="00833634" w:rsidRDefault="00E15D51">
      <w:pPr>
        <w:spacing w:after="180"/>
        <w:jc w:val="both"/>
      </w:pPr>
      <w:hyperlink r:id="rId104" w:anchor="i8d805bfb1e1c4815a1dcd5b6d1e0b117_10" w:history="1">
        <w:r>
          <w:rPr>
            <w:rStyle w:val="a5"/>
            <w:rFonts w:ascii="Arial" w:eastAsia="宋体" w:hAnsi="Arial" w:cs="Arial"/>
            <w:sz w:val="18"/>
            <w:szCs w:val="18"/>
          </w:rPr>
          <w:t>Table of Contents</w:t>
        </w:r>
      </w:hyperlink>
    </w:p>
    <w:p w14:paraId="4090D9FF" w14:textId="77777777" w:rsidR="00833634" w:rsidRDefault="00E15D51">
      <w:pPr>
        <w:jc w:val="center"/>
      </w:pPr>
      <w:r>
        <w:rPr>
          <w:rFonts w:ascii="Arial" w:eastAsia="宋体" w:hAnsi="Arial" w:cs="Arial"/>
          <w:b/>
          <w:bCs/>
          <w:color w:val="000000"/>
          <w:sz w:val="20"/>
          <w:szCs w:val="20"/>
        </w:rPr>
        <w:t>The Boeing Company and Subsidiaries</w:t>
      </w:r>
    </w:p>
    <w:p w14:paraId="4090DA00" w14:textId="77777777" w:rsidR="00833634" w:rsidRDefault="00E15D51">
      <w:pPr>
        <w:jc w:val="center"/>
      </w:pPr>
      <w:r>
        <w:rPr>
          <w:rFonts w:ascii="Arial" w:eastAsia="宋体" w:hAnsi="Arial" w:cs="Arial"/>
          <w:b/>
          <w:bCs/>
          <w:color w:val="000000"/>
          <w:sz w:val="20"/>
          <w:szCs w:val="20"/>
        </w:rPr>
        <w:t xml:space="preserve">Condensed Consolidated Statements of Comprehensive Income </w:t>
      </w:r>
    </w:p>
    <w:p w14:paraId="4090DA01" w14:textId="77777777" w:rsidR="00833634" w:rsidRDefault="00E15D51">
      <w:pPr>
        <w:spacing w:after="120"/>
        <w:jc w:val="center"/>
      </w:pPr>
      <w:r>
        <w:rPr>
          <w:rFonts w:ascii="Arial" w:eastAsia="宋体" w:hAnsi="Arial" w:cs="Arial"/>
          <w:color w:val="000000"/>
          <w:sz w:val="20"/>
          <w:szCs w:val="20"/>
        </w:rPr>
        <w:t>(Unaudited)</w:t>
      </w:r>
    </w:p>
    <w:tbl>
      <w:tblPr>
        <w:tblW w:w="4984" w:type="pct"/>
        <w:jc w:val="center"/>
        <w:tblCellMar>
          <w:top w:w="15" w:type="dxa"/>
          <w:left w:w="15" w:type="dxa"/>
          <w:bottom w:w="15" w:type="dxa"/>
          <w:right w:w="15" w:type="dxa"/>
        </w:tblCellMar>
        <w:tblLook w:val="04A0" w:firstRow="1" w:lastRow="0" w:firstColumn="1" w:lastColumn="0" w:noHBand="0" w:noVBand="1"/>
      </w:tblPr>
      <w:tblGrid>
        <w:gridCol w:w="59"/>
        <w:gridCol w:w="4094"/>
        <w:gridCol w:w="38"/>
        <w:gridCol w:w="66"/>
        <w:gridCol w:w="851"/>
        <w:gridCol w:w="37"/>
        <w:gridCol w:w="37"/>
        <w:gridCol w:w="36"/>
        <w:gridCol w:w="36"/>
        <w:gridCol w:w="49"/>
        <w:gridCol w:w="859"/>
        <w:gridCol w:w="36"/>
        <w:gridCol w:w="36"/>
        <w:gridCol w:w="36"/>
        <w:gridCol w:w="36"/>
        <w:gridCol w:w="52"/>
        <w:gridCol w:w="858"/>
        <w:gridCol w:w="37"/>
        <w:gridCol w:w="36"/>
        <w:gridCol w:w="36"/>
        <w:gridCol w:w="36"/>
        <w:gridCol w:w="60"/>
        <w:gridCol w:w="852"/>
        <w:gridCol w:w="36"/>
      </w:tblGrid>
      <w:tr w:rsidR="00833634" w14:paraId="4090DA1A" w14:textId="77777777">
        <w:trPr>
          <w:jc w:val="center"/>
        </w:trPr>
        <w:tc>
          <w:tcPr>
            <w:tcW w:w="50" w:type="pct"/>
            <w:shd w:val="clear" w:color="auto" w:fill="auto"/>
          </w:tcPr>
          <w:p w14:paraId="4090DA02" w14:textId="77777777" w:rsidR="00833634" w:rsidRDefault="00833634">
            <w:pPr>
              <w:rPr>
                <w:rFonts w:ascii="宋体"/>
              </w:rPr>
            </w:pPr>
          </w:p>
        </w:tc>
        <w:tc>
          <w:tcPr>
            <w:tcW w:w="2477" w:type="pct"/>
            <w:shd w:val="clear" w:color="auto" w:fill="auto"/>
          </w:tcPr>
          <w:p w14:paraId="4090DA03" w14:textId="77777777" w:rsidR="00833634" w:rsidRDefault="00833634">
            <w:pPr>
              <w:rPr>
                <w:rFonts w:ascii="宋体"/>
              </w:rPr>
            </w:pPr>
          </w:p>
        </w:tc>
        <w:tc>
          <w:tcPr>
            <w:tcW w:w="5" w:type="pct"/>
            <w:shd w:val="clear" w:color="auto" w:fill="auto"/>
          </w:tcPr>
          <w:p w14:paraId="4090DA04" w14:textId="77777777" w:rsidR="00833634" w:rsidRDefault="00833634">
            <w:pPr>
              <w:rPr>
                <w:rFonts w:ascii="宋体"/>
              </w:rPr>
            </w:pPr>
          </w:p>
        </w:tc>
        <w:tc>
          <w:tcPr>
            <w:tcW w:w="50" w:type="pct"/>
            <w:shd w:val="clear" w:color="auto" w:fill="auto"/>
          </w:tcPr>
          <w:p w14:paraId="4090DA05" w14:textId="77777777" w:rsidR="00833634" w:rsidRDefault="00833634">
            <w:pPr>
              <w:rPr>
                <w:rFonts w:ascii="宋体"/>
              </w:rPr>
            </w:pPr>
          </w:p>
        </w:tc>
        <w:tc>
          <w:tcPr>
            <w:tcW w:w="531" w:type="pct"/>
            <w:shd w:val="clear" w:color="auto" w:fill="auto"/>
          </w:tcPr>
          <w:p w14:paraId="4090DA06" w14:textId="77777777" w:rsidR="00833634" w:rsidRDefault="00833634">
            <w:pPr>
              <w:rPr>
                <w:rFonts w:ascii="宋体"/>
              </w:rPr>
            </w:pPr>
          </w:p>
        </w:tc>
        <w:tc>
          <w:tcPr>
            <w:tcW w:w="5" w:type="pct"/>
            <w:shd w:val="clear" w:color="auto" w:fill="auto"/>
          </w:tcPr>
          <w:p w14:paraId="4090DA07" w14:textId="77777777" w:rsidR="00833634" w:rsidRDefault="00833634">
            <w:pPr>
              <w:rPr>
                <w:rFonts w:ascii="宋体"/>
              </w:rPr>
            </w:pPr>
          </w:p>
        </w:tc>
        <w:tc>
          <w:tcPr>
            <w:tcW w:w="5" w:type="pct"/>
            <w:shd w:val="clear" w:color="auto" w:fill="auto"/>
          </w:tcPr>
          <w:p w14:paraId="4090DA08" w14:textId="77777777" w:rsidR="00833634" w:rsidRDefault="00833634">
            <w:pPr>
              <w:rPr>
                <w:rFonts w:ascii="宋体"/>
              </w:rPr>
            </w:pPr>
          </w:p>
        </w:tc>
        <w:tc>
          <w:tcPr>
            <w:tcW w:w="30" w:type="pct"/>
            <w:shd w:val="clear" w:color="auto" w:fill="auto"/>
          </w:tcPr>
          <w:p w14:paraId="4090DA09" w14:textId="77777777" w:rsidR="00833634" w:rsidRDefault="00833634">
            <w:pPr>
              <w:rPr>
                <w:rFonts w:ascii="宋体"/>
              </w:rPr>
            </w:pPr>
          </w:p>
        </w:tc>
        <w:tc>
          <w:tcPr>
            <w:tcW w:w="5" w:type="pct"/>
            <w:shd w:val="clear" w:color="auto" w:fill="auto"/>
          </w:tcPr>
          <w:p w14:paraId="4090DA0A" w14:textId="77777777" w:rsidR="00833634" w:rsidRDefault="00833634">
            <w:pPr>
              <w:rPr>
                <w:rFonts w:ascii="宋体"/>
              </w:rPr>
            </w:pPr>
          </w:p>
        </w:tc>
        <w:tc>
          <w:tcPr>
            <w:tcW w:w="50" w:type="pct"/>
            <w:shd w:val="clear" w:color="auto" w:fill="auto"/>
          </w:tcPr>
          <w:p w14:paraId="4090DA0B" w14:textId="77777777" w:rsidR="00833634" w:rsidRDefault="00833634">
            <w:pPr>
              <w:rPr>
                <w:rFonts w:ascii="宋体"/>
              </w:rPr>
            </w:pPr>
          </w:p>
        </w:tc>
        <w:tc>
          <w:tcPr>
            <w:tcW w:w="531" w:type="pct"/>
            <w:shd w:val="clear" w:color="auto" w:fill="auto"/>
          </w:tcPr>
          <w:p w14:paraId="4090DA0C" w14:textId="77777777" w:rsidR="00833634" w:rsidRDefault="00833634">
            <w:pPr>
              <w:rPr>
                <w:rFonts w:ascii="宋体"/>
              </w:rPr>
            </w:pPr>
          </w:p>
        </w:tc>
        <w:tc>
          <w:tcPr>
            <w:tcW w:w="5" w:type="pct"/>
            <w:shd w:val="clear" w:color="auto" w:fill="auto"/>
          </w:tcPr>
          <w:p w14:paraId="4090DA0D" w14:textId="77777777" w:rsidR="00833634" w:rsidRDefault="00833634">
            <w:pPr>
              <w:rPr>
                <w:rFonts w:ascii="宋体"/>
              </w:rPr>
            </w:pPr>
          </w:p>
        </w:tc>
        <w:tc>
          <w:tcPr>
            <w:tcW w:w="5" w:type="pct"/>
            <w:shd w:val="clear" w:color="auto" w:fill="auto"/>
          </w:tcPr>
          <w:p w14:paraId="4090DA0E" w14:textId="77777777" w:rsidR="00833634" w:rsidRDefault="00833634">
            <w:pPr>
              <w:rPr>
                <w:rFonts w:ascii="宋体"/>
              </w:rPr>
            </w:pPr>
          </w:p>
        </w:tc>
        <w:tc>
          <w:tcPr>
            <w:tcW w:w="30" w:type="pct"/>
            <w:shd w:val="clear" w:color="auto" w:fill="auto"/>
          </w:tcPr>
          <w:p w14:paraId="4090DA0F" w14:textId="77777777" w:rsidR="00833634" w:rsidRDefault="00833634">
            <w:pPr>
              <w:rPr>
                <w:rFonts w:ascii="宋体"/>
              </w:rPr>
            </w:pPr>
          </w:p>
        </w:tc>
        <w:tc>
          <w:tcPr>
            <w:tcW w:w="5" w:type="pct"/>
            <w:shd w:val="clear" w:color="auto" w:fill="auto"/>
          </w:tcPr>
          <w:p w14:paraId="4090DA10" w14:textId="77777777" w:rsidR="00833634" w:rsidRDefault="00833634">
            <w:pPr>
              <w:rPr>
                <w:rFonts w:ascii="宋体"/>
              </w:rPr>
            </w:pPr>
          </w:p>
        </w:tc>
        <w:tc>
          <w:tcPr>
            <w:tcW w:w="50" w:type="pct"/>
            <w:shd w:val="clear" w:color="auto" w:fill="auto"/>
          </w:tcPr>
          <w:p w14:paraId="4090DA11" w14:textId="77777777" w:rsidR="00833634" w:rsidRDefault="00833634">
            <w:pPr>
              <w:rPr>
                <w:rFonts w:ascii="宋体"/>
              </w:rPr>
            </w:pPr>
          </w:p>
        </w:tc>
        <w:tc>
          <w:tcPr>
            <w:tcW w:w="531" w:type="pct"/>
            <w:shd w:val="clear" w:color="auto" w:fill="auto"/>
          </w:tcPr>
          <w:p w14:paraId="4090DA12" w14:textId="77777777" w:rsidR="00833634" w:rsidRDefault="00833634">
            <w:pPr>
              <w:rPr>
                <w:rFonts w:ascii="宋体"/>
              </w:rPr>
            </w:pPr>
          </w:p>
        </w:tc>
        <w:tc>
          <w:tcPr>
            <w:tcW w:w="5" w:type="pct"/>
            <w:shd w:val="clear" w:color="auto" w:fill="auto"/>
          </w:tcPr>
          <w:p w14:paraId="4090DA13" w14:textId="77777777" w:rsidR="00833634" w:rsidRDefault="00833634">
            <w:pPr>
              <w:rPr>
                <w:rFonts w:ascii="宋体"/>
              </w:rPr>
            </w:pPr>
          </w:p>
        </w:tc>
        <w:tc>
          <w:tcPr>
            <w:tcW w:w="5" w:type="pct"/>
            <w:shd w:val="clear" w:color="auto" w:fill="auto"/>
          </w:tcPr>
          <w:p w14:paraId="4090DA14" w14:textId="77777777" w:rsidR="00833634" w:rsidRDefault="00833634">
            <w:pPr>
              <w:rPr>
                <w:rFonts w:ascii="宋体"/>
              </w:rPr>
            </w:pPr>
          </w:p>
        </w:tc>
        <w:tc>
          <w:tcPr>
            <w:tcW w:w="30" w:type="pct"/>
            <w:shd w:val="clear" w:color="auto" w:fill="auto"/>
          </w:tcPr>
          <w:p w14:paraId="4090DA15" w14:textId="77777777" w:rsidR="00833634" w:rsidRDefault="00833634">
            <w:pPr>
              <w:rPr>
                <w:rFonts w:ascii="宋体"/>
              </w:rPr>
            </w:pPr>
          </w:p>
        </w:tc>
        <w:tc>
          <w:tcPr>
            <w:tcW w:w="5" w:type="pct"/>
            <w:shd w:val="clear" w:color="auto" w:fill="auto"/>
          </w:tcPr>
          <w:p w14:paraId="4090DA16" w14:textId="77777777" w:rsidR="00833634" w:rsidRDefault="00833634">
            <w:pPr>
              <w:rPr>
                <w:rFonts w:ascii="宋体"/>
              </w:rPr>
            </w:pPr>
          </w:p>
        </w:tc>
        <w:tc>
          <w:tcPr>
            <w:tcW w:w="50" w:type="pct"/>
            <w:shd w:val="clear" w:color="auto" w:fill="auto"/>
          </w:tcPr>
          <w:p w14:paraId="4090DA17" w14:textId="77777777" w:rsidR="00833634" w:rsidRDefault="00833634">
            <w:pPr>
              <w:rPr>
                <w:rFonts w:ascii="宋体"/>
              </w:rPr>
            </w:pPr>
          </w:p>
        </w:tc>
        <w:tc>
          <w:tcPr>
            <w:tcW w:w="532" w:type="pct"/>
            <w:shd w:val="clear" w:color="auto" w:fill="auto"/>
          </w:tcPr>
          <w:p w14:paraId="4090DA18" w14:textId="77777777" w:rsidR="00833634" w:rsidRDefault="00833634">
            <w:pPr>
              <w:rPr>
                <w:rFonts w:ascii="宋体"/>
              </w:rPr>
            </w:pPr>
          </w:p>
        </w:tc>
        <w:tc>
          <w:tcPr>
            <w:tcW w:w="5" w:type="pct"/>
            <w:shd w:val="clear" w:color="auto" w:fill="auto"/>
          </w:tcPr>
          <w:p w14:paraId="4090DA19" w14:textId="77777777" w:rsidR="00833634" w:rsidRDefault="00833634">
            <w:pPr>
              <w:rPr>
                <w:rFonts w:ascii="宋体"/>
              </w:rPr>
            </w:pPr>
          </w:p>
        </w:tc>
      </w:tr>
      <w:tr w:rsidR="00833634" w14:paraId="4090DA1F" w14:textId="77777777">
        <w:trPr>
          <w:jc w:val="center"/>
        </w:trPr>
        <w:tc>
          <w:tcPr>
            <w:tcW w:w="0" w:type="auto"/>
            <w:gridSpan w:val="3"/>
            <w:shd w:val="clear" w:color="auto" w:fill="auto"/>
            <w:tcMar>
              <w:top w:w="40" w:type="dxa"/>
              <w:left w:w="20" w:type="dxa"/>
              <w:bottom w:w="40" w:type="dxa"/>
              <w:right w:w="20" w:type="dxa"/>
            </w:tcMar>
            <w:vAlign w:val="bottom"/>
          </w:tcPr>
          <w:p w14:paraId="4090DA1B"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DA1C"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DA1D"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DA1E"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DA2C"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tcPr>
          <w:p w14:paraId="4090DA20"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DA21" w14:textId="77777777" w:rsidR="00833634" w:rsidRDefault="00E15D51">
            <w:pPr>
              <w:jc w:val="right"/>
              <w:textAlignment w:val="bottom"/>
            </w:pPr>
            <w:r>
              <w:rPr>
                <w:rFonts w:ascii="Arial" w:eastAsia="宋体" w:hAnsi="Arial" w:cs="Arial"/>
                <w:b/>
                <w:bCs/>
                <w:color w:val="000000"/>
                <w:sz w:val="20"/>
                <w:szCs w:val="20"/>
              </w:rPr>
              <w:t>2020</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4090DA22"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DA23"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DA24" w14:textId="77777777" w:rsidR="00833634" w:rsidRDefault="00E15D51">
            <w:pPr>
              <w:jc w:val="right"/>
              <w:textAlignment w:val="bottom"/>
            </w:pPr>
            <w:r>
              <w:rPr>
                <w:rFonts w:ascii="Arial" w:eastAsia="宋体" w:hAnsi="Arial" w:cs="Arial"/>
                <w:color w:val="000000"/>
                <w:sz w:val="20"/>
                <w:szCs w:val="20"/>
              </w:rPr>
              <w:t>2019 </w:t>
            </w:r>
          </w:p>
        </w:tc>
        <w:tc>
          <w:tcPr>
            <w:tcW w:w="0" w:type="auto"/>
            <w:tcBorders>
              <w:top w:val="single" w:sz="8" w:space="0" w:color="000000"/>
            </w:tcBorders>
            <w:shd w:val="clear" w:color="auto" w:fill="auto"/>
            <w:tcMar>
              <w:top w:w="40" w:type="dxa"/>
              <w:left w:w="0" w:type="dxa"/>
              <w:bottom w:w="40" w:type="dxa"/>
              <w:right w:w="20" w:type="dxa"/>
            </w:tcMar>
            <w:vAlign w:val="bottom"/>
          </w:tcPr>
          <w:p w14:paraId="4090DA25"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DA26"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DA27" w14:textId="77777777" w:rsidR="00833634" w:rsidRDefault="00E15D51">
            <w:pPr>
              <w:jc w:val="right"/>
              <w:textAlignment w:val="bottom"/>
            </w:pPr>
            <w:r>
              <w:rPr>
                <w:rFonts w:ascii="Arial" w:eastAsia="宋体" w:hAnsi="Arial" w:cs="Arial"/>
                <w:b/>
                <w:bCs/>
                <w:color w:val="000000"/>
                <w:sz w:val="20"/>
                <w:szCs w:val="20"/>
              </w:rPr>
              <w:t>2020</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4090DA28"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DA29"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DA2A" w14:textId="77777777" w:rsidR="00833634" w:rsidRDefault="00E15D51">
            <w:pPr>
              <w:jc w:val="right"/>
              <w:textAlignment w:val="bottom"/>
            </w:pPr>
            <w:r>
              <w:rPr>
                <w:rFonts w:ascii="Arial" w:eastAsia="宋体" w:hAnsi="Arial" w:cs="Arial"/>
                <w:color w:val="000000"/>
                <w:sz w:val="20"/>
                <w:szCs w:val="20"/>
              </w:rPr>
              <w:t>2019 </w:t>
            </w:r>
          </w:p>
        </w:tc>
        <w:tc>
          <w:tcPr>
            <w:tcW w:w="0" w:type="auto"/>
            <w:tcBorders>
              <w:top w:val="single" w:sz="8" w:space="0" w:color="000000"/>
            </w:tcBorders>
            <w:shd w:val="clear" w:color="auto" w:fill="auto"/>
            <w:tcMar>
              <w:top w:w="40" w:type="dxa"/>
              <w:left w:w="0" w:type="dxa"/>
              <w:bottom w:w="40" w:type="dxa"/>
              <w:right w:w="20" w:type="dxa"/>
            </w:tcMar>
            <w:vAlign w:val="bottom"/>
          </w:tcPr>
          <w:p w14:paraId="4090DA2B" w14:textId="77777777" w:rsidR="00833634" w:rsidRDefault="00833634">
            <w:pPr>
              <w:jc w:val="right"/>
              <w:rPr>
                <w:rFonts w:ascii="宋体"/>
              </w:rPr>
            </w:pPr>
          </w:p>
        </w:tc>
      </w:tr>
      <w:tr w:rsidR="00833634" w14:paraId="4090DA39"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A2D" w14:textId="77777777" w:rsidR="00833634" w:rsidRDefault="00E15D51">
            <w:pPr>
              <w:textAlignment w:val="bottom"/>
            </w:pPr>
            <w:r>
              <w:rPr>
                <w:rFonts w:ascii="Arial" w:eastAsia="宋体" w:hAnsi="Arial" w:cs="Arial"/>
                <w:b/>
                <w:bCs/>
                <w:color w:val="000000"/>
                <w:sz w:val="20"/>
                <w:szCs w:val="20"/>
              </w:rPr>
              <w:t>Net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A2E" w14:textId="77777777" w:rsidR="00833634" w:rsidRDefault="00E15D51">
            <w:pPr>
              <w:jc w:val="right"/>
              <w:textAlignment w:val="bottom"/>
            </w:pPr>
            <w:r>
              <w:rPr>
                <w:rFonts w:ascii="Arial" w:eastAsia="宋体" w:hAnsi="Arial" w:cs="Arial"/>
                <w:b/>
                <w:bCs/>
                <w:color w:val="000000"/>
                <w:sz w:val="20"/>
                <w:szCs w:val="20"/>
              </w:rPr>
              <w:t>($3,502)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A2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3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A31"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A3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3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A34" w14:textId="77777777" w:rsidR="00833634" w:rsidRDefault="00E15D51">
            <w:pPr>
              <w:jc w:val="right"/>
              <w:textAlignment w:val="bottom"/>
            </w:pPr>
            <w:r>
              <w:rPr>
                <w:rFonts w:ascii="Arial" w:eastAsia="宋体" w:hAnsi="Arial" w:cs="Arial"/>
                <w:b/>
                <w:bCs/>
                <w:color w:val="000000"/>
                <w:sz w:val="20"/>
                <w:szCs w:val="20"/>
              </w:rPr>
              <w:t>($466)</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A3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3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A37" w14:textId="77777777" w:rsidR="00833634" w:rsidRDefault="00E15D51">
            <w:pPr>
              <w:jc w:val="right"/>
              <w:textAlignment w:val="bottom"/>
            </w:pPr>
            <w:r>
              <w:rPr>
                <w:rFonts w:ascii="Arial" w:eastAsia="宋体" w:hAnsi="Arial" w:cs="Arial"/>
                <w:color w:val="000000"/>
                <w:sz w:val="20"/>
                <w:szCs w:val="20"/>
              </w:rPr>
              <w:t>$1,167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A38" w14:textId="77777777" w:rsidR="00833634" w:rsidRDefault="00833634">
            <w:pPr>
              <w:jc w:val="right"/>
              <w:rPr>
                <w:rFonts w:ascii="宋体"/>
              </w:rPr>
            </w:pPr>
          </w:p>
        </w:tc>
      </w:tr>
      <w:tr w:rsidR="00833634" w14:paraId="4090DA42" w14:textId="77777777">
        <w:trPr>
          <w:jc w:val="center"/>
        </w:trPr>
        <w:tc>
          <w:tcPr>
            <w:tcW w:w="0" w:type="auto"/>
            <w:gridSpan w:val="3"/>
            <w:shd w:val="clear" w:color="auto" w:fill="FFFFFF"/>
            <w:tcMar>
              <w:top w:w="40" w:type="dxa"/>
              <w:left w:w="20" w:type="dxa"/>
              <w:bottom w:w="40" w:type="dxa"/>
              <w:right w:w="20" w:type="dxa"/>
            </w:tcMar>
            <w:vAlign w:val="bottom"/>
          </w:tcPr>
          <w:p w14:paraId="4090DA3A" w14:textId="77777777" w:rsidR="00833634" w:rsidRDefault="00E15D51">
            <w:pPr>
              <w:textAlignment w:val="bottom"/>
            </w:pPr>
            <w:r>
              <w:rPr>
                <w:rFonts w:ascii="Arial" w:eastAsia="宋体" w:hAnsi="Arial" w:cs="Arial"/>
                <w:color w:val="000000"/>
                <w:sz w:val="20"/>
                <w:szCs w:val="20"/>
              </w:rPr>
              <w:t>Other comprehensive (loss)/income, net of tax:</w:t>
            </w:r>
          </w:p>
        </w:tc>
        <w:tc>
          <w:tcPr>
            <w:tcW w:w="0" w:type="auto"/>
            <w:gridSpan w:val="3"/>
            <w:shd w:val="clear" w:color="auto" w:fill="FFFFFF"/>
            <w:tcMar>
              <w:top w:w="0" w:type="dxa"/>
              <w:left w:w="20" w:type="dxa"/>
              <w:bottom w:w="0" w:type="dxa"/>
              <w:right w:w="20" w:type="dxa"/>
            </w:tcMar>
          </w:tcPr>
          <w:p w14:paraId="4090DA3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3C"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3D"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3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3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4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41" w14:textId="77777777" w:rsidR="00833634" w:rsidRDefault="00833634">
            <w:pPr>
              <w:rPr>
                <w:rFonts w:ascii="宋体"/>
              </w:rPr>
            </w:pPr>
          </w:p>
        </w:tc>
      </w:tr>
      <w:tr w:rsidR="00833634" w14:paraId="4090DA4F" w14:textId="77777777">
        <w:trPr>
          <w:jc w:val="center"/>
        </w:trPr>
        <w:tc>
          <w:tcPr>
            <w:tcW w:w="0" w:type="auto"/>
            <w:gridSpan w:val="3"/>
            <w:shd w:val="clear" w:color="auto" w:fill="CCEEFF"/>
            <w:tcMar>
              <w:top w:w="40" w:type="dxa"/>
              <w:left w:w="20" w:type="dxa"/>
              <w:bottom w:w="40" w:type="dxa"/>
              <w:right w:w="20" w:type="dxa"/>
            </w:tcMar>
            <w:vAlign w:val="bottom"/>
          </w:tcPr>
          <w:p w14:paraId="4090DA43" w14:textId="77777777" w:rsidR="00833634" w:rsidRDefault="00E15D51">
            <w:pPr>
              <w:textAlignment w:val="bottom"/>
            </w:pPr>
            <w:r>
              <w:rPr>
                <w:rFonts w:ascii="Arial" w:eastAsia="宋体" w:hAnsi="Arial" w:cs="Arial"/>
                <w:color w:val="000000"/>
                <w:sz w:val="20"/>
                <w:szCs w:val="20"/>
              </w:rPr>
              <w:t>Currency translation adjustments</w:t>
            </w:r>
          </w:p>
        </w:tc>
        <w:tc>
          <w:tcPr>
            <w:tcW w:w="0" w:type="auto"/>
            <w:gridSpan w:val="2"/>
            <w:shd w:val="clear" w:color="auto" w:fill="CCEEFF"/>
            <w:tcMar>
              <w:top w:w="40" w:type="dxa"/>
              <w:left w:w="20" w:type="dxa"/>
              <w:bottom w:w="40" w:type="dxa"/>
              <w:right w:w="0" w:type="dxa"/>
            </w:tcMar>
            <w:vAlign w:val="bottom"/>
          </w:tcPr>
          <w:p w14:paraId="4090DA44" w14:textId="77777777" w:rsidR="00833634" w:rsidRDefault="00E15D51">
            <w:pPr>
              <w:jc w:val="right"/>
              <w:textAlignment w:val="bottom"/>
            </w:pPr>
            <w:r>
              <w:rPr>
                <w:rFonts w:ascii="Arial" w:eastAsia="宋体" w:hAnsi="Arial" w:cs="Arial"/>
                <w:b/>
                <w:bCs/>
                <w:color w:val="000000"/>
                <w:sz w:val="20"/>
                <w:szCs w:val="20"/>
              </w:rPr>
              <w:t>15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A4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4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47" w14:textId="77777777" w:rsidR="00833634" w:rsidRDefault="00E15D51">
            <w:pPr>
              <w:jc w:val="right"/>
              <w:textAlignment w:val="bottom"/>
            </w:pPr>
            <w:r>
              <w:rPr>
                <w:rFonts w:ascii="Arial" w:eastAsia="宋体" w:hAnsi="Arial" w:cs="Arial"/>
                <w:color w:val="000000"/>
                <w:sz w:val="20"/>
                <w:szCs w:val="20"/>
              </w:rPr>
              <w:t>(61)</w:t>
            </w:r>
          </w:p>
        </w:tc>
        <w:tc>
          <w:tcPr>
            <w:tcW w:w="0" w:type="auto"/>
            <w:shd w:val="clear" w:color="auto" w:fill="CCEEFF"/>
            <w:tcMar>
              <w:top w:w="40" w:type="dxa"/>
              <w:left w:w="0" w:type="dxa"/>
              <w:bottom w:w="40" w:type="dxa"/>
              <w:right w:w="20" w:type="dxa"/>
            </w:tcMar>
            <w:vAlign w:val="bottom"/>
          </w:tcPr>
          <w:p w14:paraId="4090DA4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4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4A" w14:textId="77777777" w:rsidR="00833634" w:rsidRDefault="00E15D51">
            <w:pPr>
              <w:jc w:val="right"/>
              <w:textAlignment w:val="bottom"/>
            </w:pPr>
            <w:r>
              <w:rPr>
                <w:rFonts w:ascii="Arial" w:eastAsia="宋体" w:hAnsi="Arial" w:cs="Arial"/>
                <w:b/>
                <w:bCs/>
                <w:color w:val="000000"/>
                <w:sz w:val="20"/>
                <w:szCs w:val="20"/>
              </w:rPr>
              <w:t>48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A4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4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4D" w14:textId="77777777" w:rsidR="00833634" w:rsidRDefault="00E15D51">
            <w:pPr>
              <w:jc w:val="right"/>
              <w:textAlignment w:val="bottom"/>
            </w:pPr>
            <w:r>
              <w:rPr>
                <w:rFonts w:ascii="Arial" w:eastAsia="宋体" w:hAnsi="Arial" w:cs="Arial"/>
                <w:color w:val="000000"/>
                <w:sz w:val="20"/>
                <w:szCs w:val="20"/>
              </w:rPr>
              <w:t>(59)</w:t>
            </w:r>
          </w:p>
        </w:tc>
        <w:tc>
          <w:tcPr>
            <w:tcW w:w="0" w:type="auto"/>
            <w:shd w:val="clear" w:color="auto" w:fill="CCEEFF"/>
            <w:tcMar>
              <w:top w:w="40" w:type="dxa"/>
              <w:left w:w="0" w:type="dxa"/>
              <w:bottom w:w="40" w:type="dxa"/>
              <w:right w:w="20" w:type="dxa"/>
            </w:tcMar>
            <w:vAlign w:val="bottom"/>
          </w:tcPr>
          <w:p w14:paraId="4090DA4E" w14:textId="77777777" w:rsidR="00833634" w:rsidRDefault="00833634">
            <w:pPr>
              <w:jc w:val="right"/>
              <w:rPr>
                <w:rFonts w:ascii="宋体"/>
              </w:rPr>
            </w:pPr>
          </w:p>
        </w:tc>
      </w:tr>
      <w:tr w:rsidR="00833634" w14:paraId="4090DA59" w14:textId="77777777">
        <w:trPr>
          <w:jc w:val="center"/>
        </w:trPr>
        <w:tc>
          <w:tcPr>
            <w:tcW w:w="0" w:type="auto"/>
            <w:gridSpan w:val="3"/>
            <w:shd w:val="clear" w:color="auto" w:fill="auto"/>
            <w:tcMar>
              <w:top w:w="40" w:type="dxa"/>
              <w:left w:w="20" w:type="dxa"/>
              <w:bottom w:w="40" w:type="dxa"/>
              <w:right w:w="20" w:type="dxa"/>
            </w:tcMar>
            <w:vAlign w:val="bottom"/>
          </w:tcPr>
          <w:p w14:paraId="4090DA50" w14:textId="77777777" w:rsidR="00833634" w:rsidRDefault="00E15D51">
            <w:pPr>
              <w:textAlignment w:val="bottom"/>
            </w:pPr>
            <w:r>
              <w:rPr>
                <w:rFonts w:ascii="Arial" w:eastAsia="宋体" w:hAnsi="Arial" w:cs="Arial"/>
                <w:color w:val="000000"/>
                <w:sz w:val="20"/>
                <w:szCs w:val="20"/>
              </w:rPr>
              <w:t>Unrealized gain on certain investments, net of tax of $0</w:t>
            </w:r>
            <w:r>
              <w:rPr>
                <w:rFonts w:ascii="sans-serif" w:eastAsia="sans-serif" w:hAnsi="sans-serif" w:cs="sans-serif"/>
                <w:color w:val="000000"/>
                <w:sz w:val="20"/>
                <w:szCs w:val="20"/>
              </w:rPr>
              <w:t>, $</w:t>
            </w:r>
            <w:r>
              <w:rPr>
                <w:rFonts w:ascii="sans-serif" w:eastAsia="sans-serif" w:hAnsi="sans-serif" w:cs="sans-serif"/>
                <w:color w:val="000000"/>
                <w:sz w:val="20"/>
                <w:szCs w:val="20"/>
              </w:rPr>
              <w:t>0, $0 and $0</w:t>
            </w:r>
          </w:p>
        </w:tc>
        <w:tc>
          <w:tcPr>
            <w:tcW w:w="0" w:type="auto"/>
            <w:gridSpan w:val="3"/>
            <w:shd w:val="clear" w:color="auto" w:fill="FFFFFF"/>
            <w:tcMar>
              <w:top w:w="0" w:type="dxa"/>
              <w:left w:w="20" w:type="dxa"/>
              <w:bottom w:w="0" w:type="dxa"/>
              <w:right w:w="20" w:type="dxa"/>
            </w:tcMar>
          </w:tcPr>
          <w:p w14:paraId="4090DA5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5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A53" w14:textId="77777777" w:rsidR="00833634" w:rsidRDefault="00E15D51">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4090DA5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5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5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5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58" w14:textId="77777777" w:rsidR="00833634" w:rsidRDefault="00833634">
            <w:pPr>
              <w:rPr>
                <w:rFonts w:ascii="宋体"/>
              </w:rPr>
            </w:pPr>
          </w:p>
        </w:tc>
      </w:tr>
      <w:tr w:rsidR="00833634" w14:paraId="4090DA62" w14:textId="77777777">
        <w:trPr>
          <w:jc w:val="center"/>
        </w:trPr>
        <w:tc>
          <w:tcPr>
            <w:tcW w:w="0" w:type="auto"/>
            <w:gridSpan w:val="3"/>
            <w:shd w:val="clear" w:color="auto" w:fill="CCEEFF"/>
            <w:tcMar>
              <w:top w:w="40" w:type="dxa"/>
              <w:left w:w="20" w:type="dxa"/>
              <w:bottom w:w="40" w:type="dxa"/>
              <w:right w:w="20" w:type="dxa"/>
            </w:tcMar>
            <w:vAlign w:val="bottom"/>
          </w:tcPr>
          <w:p w14:paraId="4090DA5A" w14:textId="77777777" w:rsidR="00833634" w:rsidRDefault="00E15D51">
            <w:pPr>
              <w:textAlignment w:val="bottom"/>
            </w:pPr>
            <w:r>
              <w:rPr>
                <w:rFonts w:ascii="Arial" w:eastAsia="宋体" w:hAnsi="Arial" w:cs="Arial"/>
                <w:color w:val="000000"/>
                <w:sz w:val="20"/>
                <w:szCs w:val="20"/>
              </w:rPr>
              <w:t>Unrealized (loss)/gain on derivative instruments:</w:t>
            </w:r>
          </w:p>
        </w:tc>
        <w:tc>
          <w:tcPr>
            <w:tcW w:w="0" w:type="auto"/>
            <w:gridSpan w:val="3"/>
            <w:shd w:val="clear" w:color="auto" w:fill="CCEEFF"/>
            <w:tcMar>
              <w:top w:w="0" w:type="dxa"/>
              <w:left w:w="20" w:type="dxa"/>
              <w:bottom w:w="0" w:type="dxa"/>
              <w:right w:w="20" w:type="dxa"/>
            </w:tcMar>
          </w:tcPr>
          <w:p w14:paraId="4090DA5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A5C"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A5D"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A5E"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A5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A6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A61" w14:textId="77777777" w:rsidR="00833634" w:rsidRDefault="00833634">
            <w:pPr>
              <w:rPr>
                <w:rFonts w:ascii="宋体"/>
              </w:rPr>
            </w:pPr>
          </w:p>
        </w:tc>
      </w:tr>
      <w:tr w:rsidR="00833634" w14:paraId="4090DA6F" w14:textId="77777777">
        <w:trPr>
          <w:jc w:val="center"/>
        </w:trPr>
        <w:tc>
          <w:tcPr>
            <w:tcW w:w="0" w:type="auto"/>
            <w:gridSpan w:val="3"/>
            <w:shd w:val="clear" w:color="auto" w:fill="FFFFFF"/>
            <w:tcMar>
              <w:top w:w="40" w:type="dxa"/>
              <w:left w:w="20" w:type="dxa"/>
              <w:bottom w:w="40" w:type="dxa"/>
              <w:right w:w="20" w:type="dxa"/>
            </w:tcMar>
            <w:vAlign w:val="bottom"/>
          </w:tcPr>
          <w:p w14:paraId="4090DA63" w14:textId="77777777" w:rsidR="00833634" w:rsidRDefault="00E15D51">
            <w:pPr>
              <w:ind w:hanging="180"/>
              <w:textAlignment w:val="bottom"/>
            </w:pPr>
            <w:r>
              <w:rPr>
                <w:rFonts w:ascii="Arial" w:eastAsia="宋体" w:hAnsi="Arial" w:cs="Arial"/>
                <w:color w:val="000000"/>
                <w:sz w:val="20"/>
                <w:szCs w:val="20"/>
              </w:rPr>
              <w:t xml:space="preserve">Unrealized (loss)/gain arising during period, net of tax of $31, </w:t>
            </w:r>
            <w:r>
              <w:rPr>
                <w:rFonts w:ascii="sans-serif" w:eastAsia="sans-serif" w:hAnsi="sans-serif" w:cs="sans-serif"/>
                <w:color w:val="000000"/>
                <w:sz w:val="20"/>
                <w:szCs w:val="20"/>
              </w:rPr>
              <w:t>$30</w:t>
            </w:r>
            <w:r>
              <w:rPr>
                <w:rFonts w:ascii="Arial" w:eastAsia="宋体" w:hAnsi="Arial" w:cs="Arial"/>
                <w:color w:val="000000"/>
                <w:sz w:val="20"/>
                <w:szCs w:val="20"/>
              </w:rPr>
              <w:t xml:space="preserve">, </w:t>
            </w:r>
            <w:r>
              <w:rPr>
                <w:rFonts w:ascii="sans-serif" w:eastAsia="sans-serif" w:hAnsi="sans-serif" w:cs="sans-serif"/>
                <w:color w:val="000000"/>
                <w:sz w:val="20"/>
                <w:szCs w:val="20"/>
              </w:rPr>
              <w:t>($23)</w:t>
            </w:r>
            <w:r>
              <w:rPr>
                <w:rFonts w:ascii="Arial" w:eastAsia="宋体" w:hAnsi="Arial" w:cs="Arial"/>
                <w:color w:val="000000"/>
                <w:sz w:val="20"/>
                <w:szCs w:val="20"/>
              </w:rPr>
              <w:t xml:space="preserve"> and </w:t>
            </w:r>
            <w:r>
              <w:rPr>
                <w:rFonts w:ascii="sans-serif" w:eastAsia="sans-serif" w:hAnsi="sans-serif" w:cs="sans-serif"/>
                <w:color w:val="000000"/>
                <w:sz w:val="20"/>
                <w:szCs w:val="20"/>
              </w:rPr>
              <w:t>$25</w:t>
            </w:r>
          </w:p>
        </w:tc>
        <w:tc>
          <w:tcPr>
            <w:tcW w:w="0" w:type="auto"/>
            <w:gridSpan w:val="2"/>
            <w:shd w:val="clear" w:color="auto" w:fill="FFFFFF"/>
            <w:tcMar>
              <w:top w:w="40" w:type="dxa"/>
              <w:left w:w="20" w:type="dxa"/>
              <w:bottom w:w="40" w:type="dxa"/>
              <w:right w:w="0" w:type="dxa"/>
            </w:tcMar>
            <w:vAlign w:val="bottom"/>
          </w:tcPr>
          <w:p w14:paraId="4090DA64" w14:textId="77777777" w:rsidR="00833634" w:rsidRDefault="00E15D51">
            <w:pPr>
              <w:jc w:val="right"/>
              <w:textAlignment w:val="bottom"/>
            </w:pPr>
            <w:r>
              <w:rPr>
                <w:rFonts w:ascii="Arial" w:eastAsia="宋体" w:hAnsi="Arial" w:cs="Arial"/>
                <w:b/>
                <w:bCs/>
                <w:color w:val="000000"/>
                <w:sz w:val="20"/>
                <w:szCs w:val="20"/>
              </w:rPr>
              <w:t>(107)</w:t>
            </w:r>
          </w:p>
        </w:tc>
        <w:tc>
          <w:tcPr>
            <w:tcW w:w="0" w:type="auto"/>
            <w:shd w:val="clear" w:color="auto" w:fill="FFFFFF"/>
            <w:tcMar>
              <w:top w:w="40" w:type="dxa"/>
              <w:left w:w="0" w:type="dxa"/>
              <w:bottom w:w="40" w:type="dxa"/>
              <w:right w:w="20" w:type="dxa"/>
            </w:tcMar>
            <w:vAlign w:val="bottom"/>
          </w:tcPr>
          <w:p w14:paraId="4090DA6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6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A67" w14:textId="77777777" w:rsidR="00833634" w:rsidRDefault="00E15D51">
            <w:pPr>
              <w:jc w:val="right"/>
              <w:textAlignment w:val="bottom"/>
            </w:pPr>
            <w:r>
              <w:rPr>
                <w:rFonts w:ascii="Arial" w:eastAsia="宋体" w:hAnsi="Arial" w:cs="Arial"/>
                <w:color w:val="000000"/>
                <w:sz w:val="20"/>
                <w:szCs w:val="20"/>
              </w:rPr>
              <w:t>(106)</w:t>
            </w:r>
          </w:p>
        </w:tc>
        <w:tc>
          <w:tcPr>
            <w:tcW w:w="0" w:type="auto"/>
            <w:shd w:val="clear" w:color="auto" w:fill="FFFFFF"/>
            <w:tcMar>
              <w:top w:w="40" w:type="dxa"/>
              <w:left w:w="0" w:type="dxa"/>
              <w:bottom w:w="40" w:type="dxa"/>
              <w:right w:w="20" w:type="dxa"/>
            </w:tcMar>
            <w:vAlign w:val="bottom"/>
          </w:tcPr>
          <w:p w14:paraId="4090DA6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6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A6A" w14:textId="77777777" w:rsidR="00833634" w:rsidRDefault="00E15D51">
            <w:pPr>
              <w:jc w:val="right"/>
              <w:textAlignment w:val="bottom"/>
            </w:pPr>
            <w:r>
              <w:rPr>
                <w:rFonts w:ascii="Arial" w:eastAsia="宋体" w:hAnsi="Arial" w:cs="Arial"/>
                <w:b/>
                <w:bCs/>
                <w:color w:val="000000"/>
                <w:sz w:val="20"/>
                <w:szCs w:val="20"/>
              </w:rPr>
              <w:t>79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A6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6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A6D" w14:textId="77777777" w:rsidR="00833634" w:rsidRDefault="00E15D51">
            <w:pPr>
              <w:jc w:val="right"/>
              <w:textAlignment w:val="bottom"/>
            </w:pPr>
            <w:r>
              <w:rPr>
                <w:rFonts w:ascii="Arial" w:eastAsia="宋体" w:hAnsi="Arial" w:cs="Arial"/>
                <w:color w:val="000000"/>
                <w:sz w:val="20"/>
                <w:szCs w:val="20"/>
              </w:rPr>
              <w:t>(89)</w:t>
            </w:r>
          </w:p>
        </w:tc>
        <w:tc>
          <w:tcPr>
            <w:tcW w:w="0" w:type="auto"/>
            <w:shd w:val="clear" w:color="auto" w:fill="FFFFFF"/>
            <w:tcMar>
              <w:top w:w="40" w:type="dxa"/>
              <w:left w:w="0" w:type="dxa"/>
              <w:bottom w:w="40" w:type="dxa"/>
              <w:right w:w="20" w:type="dxa"/>
            </w:tcMar>
            <w:vAlign w:val="bottom"/>
          </w:tcPr>
          <w:p w14:paraId="4090DA6E" w14:textId="77777777" w:rsidR="00833634" w:rsidRDefault="00833634">
            <w:pPr>
              <w:jc w:val="right"/>
              <w:rPr>
                <w:rFonts w:ascii="宋体"/>
              </w:rPr>
            </w:pPr>
          </w:p>
        </w:tc>
      </w:tr>
      <w:tr w:rsidR="00833634" w14:paraId="4090DA7C" w14:textId="77777777">
        <w:trPr>
          <w:jc w:val="center"/>
        </w:trPr>
        <w:tc>
          <w:tcPr>
            <w:tcW w:w="0" w:type="auto"/>
            <w:gridSpan w:val="3"/>
            <w:shd w:val="clear" w:color="auto" w:fill="CCEEFF"/>
            <w:tcMar>
              <w:top w:w="40" w:type="dxa"/>
              <w:left w:w="20" w:type="dxa"/>
              <w:bottom w:w="40" w:type="dxa"/>
              <w:right w:w="20" w:type="dxa"/>
            </w:tcMar>
            <w:vAlign w:val="bottom"/>
          </w:tcPr>
          <w:p w14:paraId="4090DA70" w14:textId="77777777" w:rsidR="00833634" w:rsidRDefault="00E15D51">
            <w:pPr>
              <w:ind w:hanging="180"/>
              <w:textAlignment w:val="bottom"/>
            </w:pPr>
            <w:r>
              <w:rPr>
                <w:rFonts w:ascii="Arial" w:eastAsia="宋体" w:hAnsi="Arial" w:cs="Arial"/>
                <w:color w:val="000000"/>
                <w:sz w:val="20"/>
                <w:szCs w:val="20"/>
              </w:rPr>
              <w:t xml:space="preserve">Reclassification adjustment for losses/(gains) included in net (loss)/earnings, net of tax of </w:t>
            </w:r>
            <w:r>
              <w:rPr>
                <w:rFonts w:ascii="sans-serif" w:eastAsia="sans-serif" w:hAnsi="sans-serif" w:cs="sans-serif"/>
                <w:color w:val="000000"/>
                <w:sz w:val="20"/>
                <w:szCs w:val="20"/>
              </w:rPr>
              <w:t>($6)</w:t>
            </w:r>
            <w:r>
              <w:rPr>
                <w:rFonts w:ascii="Arial" w:eastAsia="宋体" w:hAnsi="Arial" w:cs="Arial"/>
                <w:color w:val="000000"/>
                <w:sz w:val="20"/>
                <w:szCs w:val="20"/>
              </w:rPr>
              <w:t xml:space="preserve">, </w:t>
            </w:r>
            <w:r>
              <w:rPr>
                <w:rFonts w:ascii="sans-serif" w:eastAsia="sans-serif" w:hAnsi="sans-serif" w:cs="sans-serif"/>
                <w:color w:val="000000"/>
                <w:sz w:val="20"/>
                <w:szCs w:val="20"/>
              </w:rPr>
              <w:t>($6)</w:t>
            </w:r>
            <w:r>
              <w:rPr>
                <w:rFonts w:ascii="Arial" w:eastAsia="宋体" w:hAnsi="Arial" w:cs="Arial"/>
                <w:color w:val="000000"/>
                <w:sz w:val="20"/>
                <w:szCs w:val="20"/>
              </w:rPr>
              <w:t xml:space="preserve">, </w:t>
            </w:r>
            <w:r>
              <w:rPr>
                <w:rFonts w:ascii="sans-serif" w:eastAsia="sans-serif" w:hAnsi="sans-serif" w:cs="sans-serif"/>
                <w:color w:val="000000"/>
                <w:sz w:val="20"/>
                <w:szCs w:val="20"/>
              </w:rPr>
              <w:t>($2)</w:t>
            </w:r>
            <w:r>
              <w:rPr>
                <w:rFonts w:ascii="Arial" w:eastAsia="宋体" w:hAnsi="Arial" w:cs="Arial"/>
                <w:color w:val="000000"/>
                <w:sz w:val="20"/>
                <w:szCs w:val="20"/>
              </w:rPr>
              <w:t xml:space="preserve"> and </w:t>
            </w:r>
            <w:r>
              <w:rPr>
                <w:rFonts w:ascii="sans-serif" w:eastAsia="sans-serif" w:hAnsi="sans-serif" w:cs="sans-serif"/>
                <w:color w:val="000000"/>
                <w:sz w:val="20"/>
                <w:szCs w:val="20"/>
              </w:rPr>
              <w:t>($7)</w:t>
            </w:r>
          </w:p>
        </w:tc>
        <w:tc>
          <w:tcPr>
            <w:tcW w:w="0" w:type="auto"/>
            <w:gridSpan w:val="2"/>
            <w:shd w:val="clear" w:color="auto" w:fill="CCEEFF"/>
            <w:tcMar>
              <w:top w:w="40" w:type="dxa"/>
              <w:left w:w="20" w:type="dxa"/>
              <w:bottom w:w="40" w:type="dxa"/>
              <w:right w:w="0" w:type="dxa"/>
            </w:tcMar>
            <w:vAlign w:val="bottom"/>
          </w:tcPr>
          <w:p w14:paraId="4090DA71" w14:textId="77777777" w:rsidR="00833634" w:rsidRDefault="00E15D51">
            <w:pPr>
              <w:jc w:val="right"/>
              <w:textAlignment w:val="bottom"/>
            </w:pPr>
            <w:r>
              <w:rPr>
                <w:rFonts w:ascii="Arial" w:eastAsia="宋体" w:hAnsi="Arial" w:cs="Arial"/>
                <w:b/>
                <w:bCs/>
                <w:color w:val="000000"/>
                <w:sz w:val="20"/>
                <w:szCs w:val="20"/>
              </w:rPr>
              <w:t>20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A7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7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74" w14:textId="77777777" w:rsidR="00833634" w:rsidRDefault="00E15D51">
            <w:pPr>
              <w:jc w:val="right"/>
              <w:textAlignment w:val="bottom"/>
            </w:pPr>
            <w:r>
              <w:rPr>
                <w:rFonts w:ascii="Arial" w:eastAsia="宋体" w:hAnsi="Arial" w:cs="Arial"/>
                <w:color w:val="000000"/>
                <w:sz w:val="20"/>
                <w:szCs w:val="20"/>
              </w:rPr>
              <w:t>22 </w:t>
            </w:r>
          </w:p>
        </w:tc>
        <w:tc>
          <w:tcPr>
            <w:tcW w:w="0" w:type="auto"/>
            <w:shd w:val="clear" w:color="auto" w:fill="CCEEFF"/>
            <w:tcMar>
              <w:top w:w="40" w:type="dxa"/>
              <w:left w:w="0" w:type="dxa"/>
              <w:bottom w:w="40" w:type="dxa"/>
              <w:right w:w="20" w:type="dxa"/>
            </w:tcMar>
            <w:vAlign w:val="bottom"/>
          </w:tcPr>
          <w:p w14:paraId="4090DA7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7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77" w14:textId="77777777" w:rsidR="00833634" w:rsidRDefault="00E15D51">
            <w:pPr>
              <w:jc w:val="right"/>
              <w:textAlignment w:val="bottom"/>
            </w:pPr>
            <w:r>
              <w:rPr>
                <w:rFonts w:ascii="Arial" w:eastAsia="宋体" w:hAnsi="Arial" w:cs="Arial"/>
                <w:b/>
                <w:bCs/>
                <w:color w:val="000000"/>
                <w:sz w:val="20"/>
                <w:szCs w:val="20"/>
              </w:rPr>
              <w:t>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A7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7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7A" w14:textId="77777777" w:rsidR="00833634" w:rsidRDefault="00E15D51">
            <w:pPr>
              <w:jc w:val="right"/>
              <w:textAlignment w:val="bottom"/>
            </w:pPr>
            <w:r>
              <w:rPr>
                <w:rFonts w:ascii="Arial" w:eastAsia="宋体" w:hAnsi="Arial" w:cs="Arial"/>
                <w:color w:val="000000"/>
                <w:sz w:val="20"/>
                <w:szCs w:val="20"/>
              </w:rPr>
              <w:t>25 </w:t>
            </w:r>
          </w:p>
        </w:tc>
        <w:tc>
          <w:tcPr>
            <w:tcW w:w="0" w:type="auto"/>
            <w:shd w:val="clear" w:color="auto" w:fill="CCEEFF"/>
            <w:tcMar>
              <w:top w:w="40" w:type="dxa"/>
              <w:left w:w="0" w:type="dxa"/>
              <w:bottom w:w="40" w:type="dxa"/>
              <w:right w:w="20" w:type="dxa"/>
            </w:tcMar>
            <w:vAlign w:val="bottom"/>
          </w:tcPr>
          <w:p w14:paraId="4090DA7B" w14:textId="77777777" w:rsidR="00833634" w:rsidRDefault="00833634">
            <w:pPr>
              <w:jc w:val="right"/>
              <w:rPr>
                <w:rFonts w:ascii="宋体"/>
              </w:rPr>
            </w:pPr>
          </w:p>
        </w:tc>
      </w:tr>
      <w:tr w:rsidR="00833634" w14:paraId="4090DA89"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A7D" w14:textId="77777777" w:rsidR="00833634" w:rsidRDefault="00E15D51">
            <w:pPr>
              <w:ind w:hanging="180"/>
              <w:textAlignment w:val="bottom"/>
            </w:pPr>
            <w:r>
              <w:rPr>
                <w:rFonts w:ascii="Arial" w:eastAsia="宋体" w:hAnsi="Arial" w:cs="Arial"/>
                <w:color w:val="000000"/>
                <w:sz w:val="20"/>
                <w:szCs w:val="20"/>
              </w:rPr>
              <w:t xml:space="preserve">Total unrealized (loss)/gain on </w:t>
            </w:r>
            <w:r>
              <w:rPr>
                <w:rFonts w:ascii="Arial" w:eastAsia="宋体" w:hAnsi="Arial" w:cs="Arial"/>
                <w:color w:val="000000"/>
                <w:sz w:val="20"/>
                <w:szCs w:val="20"/>
              </w:rPr>
              <w:t>derivative instruments,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7E" w14:textId="77777777" w:rsidR="00833634" w:rsidRDefault="00E15D51">
            <w:pPr>
              <w:jc w:val="right"/>
              <w:textAlignment w:val="bottom"/>
            </w:pPr>
            <w:r>
              <w:rPr>
                <w:rFonts w:ascii="Arial" w:eastAsia="宋体" w:hAnsi="Arial" w:cs="Arial"/>
                <w:b/>
                <w:bCs/>
                <w:color w:val="000000"/>
                <w:sz w:val="20"/>
                <w:szCs w:val="20"/>
              </w:rPr>
              <w:t>(87)</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7F"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80"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81" w14:textId="77777777" w:rsidR="00833634" w:rsidRDefault="00E15D51">
            <w:pPr>
              <w:jc w:val="right"/>
              <w:textAlignment w:val="bottom"/>
            </w:pPr>
            <w:r>
              <w:rPr>
                <w:rFonts w:ascii="Arial" w:eastAsia="宋体" w:hAnsi="Arial" w:cs="Arial"/>
                <w:color w:val="000000"/>
                <w:sz w:val="20"/>
                <w:szCs w:val="20"/>
              </w:rPr>
              <w:t>(84)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82"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83"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84" w14:textId="77777777" w:rsidR="00833634" w:rsidRDefault="00E15D51">
            <w:pPr>
              <w:jc w:val="right"/>
              <w:textAlignment w:val="bottom"/>
            </w:pPr>
            <w:r>
              <w:rPr>
                <w:rFonts w:ascii="Arial" w:eastAsia="宋体" w:hAnsi="Arial" w:cs="Arial"/>
                <w:b/>
                <w:bCs/>
                <w:color w:val="000000"/>
                <w:sz w:val="20"/>
                <w:szCs w:val="20"/>
              </w:rPr>
              <w:t>87</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85"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86"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87" w14:textId="77777777" w:rsidR="00833634" w:rsidRDefault="00E15D51">
            <w:pPr>
              <w:jc w:val="right"/>
              <w:textAlignment w:val="bottom"/>
            </w:pPr>
            <w:r>
              <w:rPr>
                <w:rFonts w:ascii="Arial" w:eastAsia="宋体" w:hAnsi="Arial" w:cs="Arial"/>
                <w:color w:val="000000"/>
                <w:sz w:val="20"/>
                <w:szCs w:val="20"/>
              </w:rPr>
              <w:t>(64)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88" w14:textId="77777777" w:rsidR="00833634" w:rsidRDefault="00833634">
            <w:pPr>
              <w:jc w:val="right"/>
              <w:rPr>
                <w:rFonts w:ascii="宋体"/>
              </w:rPr>
            </w:pPr>
          </w:p>
        </w:tc>
      </w:tr>
      <w:tr w:rsidR="00833634" w14:paraId="4090DA92"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A8A" w14:textId="77777777" w:rsidR="00833634" w:rsidRDefault="00E15D51">
            <w:pPr>
              <w:ind w:hanging="180"/>
              <w:textAlignment w:val="bottom"/>
            </w:pPr>
            <w:r>
              <w:rPr>
                <w:rFonts w:ascii="Arial" w:eastAsia="宋体" w:hAnsi="Arial" w:cs="Arial"/>
                <w:color w:val="000000"/>
                <w:sz w:val="20"/>
                <w:szCs w:val="20"/>
              </w:rPr>
              <w:t>Defined benefit pension plans and other postretirement benefits:</w:t>
            </w:r>
          </w:p>
        </w:tc>
        <w:tc>
          <w:tcPr>
            <w:tcW w:w="0" w:type="auto"/>
            <w:gridSpan w:val="3"/>
            <w:tcBorders>
              <w:top w:val="single" w:sz="8" w:space="0" w:color="000000"/>
            </w:tcBorders>
            <w:shd w:val="clear" w:color="auto" w:fill="CCEEFF"/>
            <w:tcMar>
              <w:top w:w="0" w:type="dxa"/>
              <w:left w:w="20" w:type="dxa"/>
              <w:bottom w:w="0" w:type="dxa"/>
              <w:right w:w="20" w:type="dxa"/>
            </w:tcMar>
          </w:tcPr>
          <w:p w14:paraId="4090DA8B"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8C"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8D"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8E"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8F"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90"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91" w14:textId="77777777" w:rsidR="00833634" w:rsidRDefault="00833634">
            <w:pPr>
              <w:rPr>
                <w:rFonts w:ascii="宋体"/>
              </w:rPr>
            </w:pPr>
          </w:p>
        </w:tc>
      </w:tr>
      <w:tr w:rsidR="00833634" w14:paraId="4090DA9D" w14:textId="77777777">
        <w:trPr>
          <w:jc w:val="center"/>
        </w:trPr>
        <w:tc>
          <w:tcPr>
            <w:tcW w:w="0" w:type="auto"/>
            <w:gridSpan w:val="3"/>
            <w:shd w:val="clear" w:color="auto" w:fill="FFFFFF"/>
            <w:tcMar>
              <w:top w:w="40" w:type="dxa"/>
              <w:left w:w="20" w:type="dxa"/>
              <w:bottom w:w="40" w:type="dxa"/>
              <w:right w:w="20" w:type="dxa"/>
            </w:tcMar>
            <w:vAlign w:val="bottom"/>
          </w:tcPr>
          <w:p w14:paraId="4090DA93" w14:textId="77777777" w:rsidR="00833634" w:rsidRDefault="00E15D51">
            <w:pPr>
              <w:ind w:hanging="180"/>
              <w:textAlignment w:val="bottom"/>
            </w:pPr>
            <w:r>
              <w:rPr>
                <w:rFonts w:ascii="Arial" w:eastAsia="宋体" w:hAnsi="Arial" w:cs="Arial"/>
                <w:color w:val="000000"/>
                <w:sz w:val="20"/>
                <w:szCs w:val="20"/>
              </w:rPr>
              <w:t xml:space="preserve">Prior service credit arising during the period, net of tax of ($4), $0, ($4) and </w:t>
            </w:r>
            <w:r>
              <w:rPr>
                <w:rFonts w:ascii="Arial" w:eastAsia="宋体" w:hAnsi="Arial" w:cs="Arial"/>
                <w:color w:val="000000"/>
                <w:sz w:val="20"/>
                <w:szCs w:val="20"/>
              </w:rPr>
              <w:t>$0</w:t>
            </w:r>
          </w:p>
        </w:tc>
        <w:tc>
          <w:tcPr>
            <w:tcW w:w="0" w:type="auto"/>
            <w:gridSpan w:val="2"/>
            <w:shd w:val="clear" w:color="auto" w:fill="FFFFFF"/>
            <w:tcMar>
              <w:top w:w="40" w:type="dxa"/>
              <w:left w:w="20" w:type="dxa"/>
              <w:bottom w:w="40" w:type="dxa"/>
              <w:right w:w="0" w:type="dxa"/>
            </w:tcMar>
            <w:vAlign w:val="bottom"/>
          </w:tcPr>
          <w:p w14:paraId="4090DA94" w14:textId="77777777" w:rsidR="00833634" w:rsidRDefault="00E15D51">
            <w:pPr>
              <w:jc w:val="right"/>
              <w:textAlignment w:val="bottom"/>
            </w:pPr>
            <w:r>
              <w:rPr>
                <w:rFonts w:ascii="Arial" w:eastAsia="宋体" w:hAnsi="Arial" w:cs="Arial"/>
                <w:b/>
                <w:bCs/>
                <w:color w:val="000000"/>
                <w:sz w:val="20"/>
                <w:szCs w:val="20"/>
              </w:rPr>
              <w:t>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A9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9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9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9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A99" w14:textId="77777777" w:rsidR="00833634" w:rsidRDefault="00E15D51">
            <w:pPr>
              <w:jc w:val="right"/>
              <w:textAlignment w:val="bottom"/>
            </w:pPr>
            <w:r>
              <w:rPr>
                <w:rFonts w:ascii="Arial" w:eastAsia="宋体" w:hAnsi="Arial" w:cs="Arial"/>
                <w:b/>
                <w:bCs/>
                <w:color w:val="000000"/>
                <w:sz w:val="20"/>
                <w:szCs w:val="20"/>
              </w:rPr>
              <w:t>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A9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9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9C" w14:textId="77777777" w:rsidR="00833634" w:rsidRDefault="00833634">
            <w:pPr>
              <w:rPr>
                <w:rFonts w:ascii="宋体"/>
              </w:rPr>
            </w:pPr>
          </w:p>
        </w:tc>
      </w:tr>
      <w:tr w:rsidR="00833634" w14:paraId="4090DAAA" w14:textId="77777777">
        <w:trPr>
          <w:jc w:val="center"/>
        </w:trPr>
        <w:tc>
          <w:tcPr>
            <w:tcW w:w="0" w:type="auto"/>
            <w:gridSpan w:val="3"/>
            <w:shd w:val="clear" w:color="auto" w:fill="CCEEFF"/>
            <w:tcMar>
              <w:top w:w="40" w:type="dxa"/>
              <w:left w:w="20" w:type="dxa"/>
              <w:bottom w:w="40" w:type="dxa"/>
              <w:right w:w="20" w:type="dxa"/>
            </w:tcMar>
            <w:vAlign w:val="bottom"/>
          </w:tcPr>
          <w:p w14:paraId="4090DA9E" w14:textId="77777777" w:rsidR="00833634" w:rsidRDefault="00E15D51">
            <w:pPr>
              <w:ind w:hanging="180"/>
              <w:textAlignment w:val="bottom"/>
            </w:pPr>
            <w:r>
              <w:rPr>
                <w:rFonts w:ascii="Arial" w:eastAsia="宋体" w:hAnsi="Arial" w:cs="Arial"/>
                <w:color w:val="000000"/>
                <w:sz w:val="20"/>
                <w:szCs w:val="20"/>
              </w:rPr>
              <w:t xml:space="preserve">Amortization of prior service credits included in net periodic pension cost, net of tax of $22, </w:t>
            </w:r>
            <w:r>
              <w:rPr>
                <w:rFonts w:ascii="sans-serif" w:eastAsia="sans-serif" w:hAnsi="sans-serif" w:cs="sans-serif"/>
                <w:color w:val="000000"/>
                <w:sz w:val="20"/>
                <w:szCs w:val="20"/>
              </w:rPr>
              <w:t>$18</w:t>
            </w:r>
            <w:r>
              <w:rPr>
                <w:rFonts w:ascii="Arial" w:eastAsia="宋体" w:hAnsi="Arial" w:cs="Arial"/>
                <w:color w:val="000000"/>
                <w:sz w:val="20"/>
                <w:szCs w:val="20"/>
              </w:rPr>
              <w:t xml:space="preserve">, </w:t>
            </w:r>
            <w:r>
              <w:rPr>
                <w:rFonts w:ascii="sans-serif" w:eastAsia="sans-serif" w:hAnsi="sans-serif" w:cs="sans-serif"/>
                <w:color w:val="000000"/>
                <w:sz w:val="20"/>
                <w:szCs w:val="20"/>
              </w:rPr>
              <w:t>$10</w:t>
            </w:r>
            <w:r>
              <w:rPr>
                <w:rFonts w:ascii="Arial" w:eastAsia="宋体" w:hAnsi="Arial" w:cs="Arial"/>
                <w:color w:val="000000"/>
                <w:sz w:val="20"/>
                <w:szCs w:val="20"/>
              </w:rPr>
              <w:t xml:space="preserve"> and </w:t>
            </w:r>
            <w:r>
              <w:rPr>
                <w:rFonts w:ascii="sans-serif" w:eastAsia="sans-serif" w:hAnsi="sans-serif" w:cs="sans-serif"/>
                <w:color w:val="000000"/>
                <w:sz w:val="20"/>
                <w:szCs w:val="20"/>
              </w:rPr>
              <w:t>$5</w:t>
            </w:r>
          </w:p>
        </w:tc>
        <w:tc>
          <w:tcPr>
            <w:tcW w:w="0" w:type="auto"/>
            <w:gridSpan w:val="2"/>
            <w:shd w:val="clear" w:color="auto" w:fill="CCEEFF"/>
            <w:tcMar>
              <w:top w:w="40" w:type="dxa"/>
              <w:left w:w="20" w:type="dxa"/>
              <w:bottom w:w="40" w:type="dxa"/>
              <w:right w:w="0" w:type="dxa"/>
            </w:tcMar>
            <w:vAlign w:val="bottom"/>
          </w:tcPr>
          <w:p w14:paraId="4090DA9F" w14:textId="77777777" w:rsidR="00833634" w:rsidRDefault="00E15D51">
            <w:pPr>
              <w:jc w:val="right"/>
              <w:textAlignment w:val="bottom"/>
            </w:pPr>
            <w:r>
              <w:rPr>
                <w:rFonts w:ascii="Arial" w:eastAsia="宋体" w:hAnsi="Arial" w:cs="Arial"/>
                <w:b/>
                <w:bCs/>
                <w:color w:val="000000"/>
                <w:sz w:val="20"/>
                <w:szCs w:val="20"/>
              </w:rPr>
              <w:t>(67)</w:t>
            </w:r>
          </w:p>
        </w:tc>
        <w:tc>
          <w:tcPr>
            <w:tcW w:w="0" w:type="auto"/>
            <w:shd w:val="clear" w:color="auto" w:fill="CCEEFF"/>
            <w:tcMar>
              <w:top w:w="40" w:type="dxa"/>
              <w:left w:w="0" w:type="dxa"/>
              <w:bottom w:w="40" w:type="dxa"/>
              <w:right w:w="20" w:type="dxa"/>
            </w:tcMar>
            <w:vAlign w:val="bottom"/>
          </w:tcPr>
          <w:p w14:paraId="4090DAA0"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A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A2" w14:textId="77777777" w:rsidR="00833634" w:rsidRDefault="00E15D51">
            <w:pPr>
              <w:jc w:val="right"/>
              <w:textAlignment w:val="bottom"/>
            </w:pPr>
            <w:r>
              <w:rPr>
                <w:rFonts w:ascii="Arial" w:eastAsia="宋体" w:hAnsi="Arial" w:cs="Arial"/>
                <w:color w:val="000000"/>
                <w:sz w:val="20"/>
                <w:szCs w:val="20"/>
              </w:rPr>
              <w:t>(67)</w:t>
            </w:r>
          </w:p>
        </w:tc>
        <w:tc>
          <w:tcPr>
            <w:tcW w:w="0" w:type="auto"/>
            <w:shd w:val="clear" w:color="auto" w:fill="CCEEFF"/>
            <w:tcMar>
              <w:top w:w="40" w:type="dxa"/>
              <w:left w:w="0" w:type="dxa"/>
              <w:bottom w:w="40" w:type="dxa"/>
              <w:right w:w="20" w:type="dxa"/>
            </w:tcMar>
            <w:vAlign w:val="bottom"/>
          </w:tcPr>
          <w:p w14:paraId="4090DAA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A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A5" w14:textId="77777777" w:rsidR="00833634" w:rsidRDefault="00E15D51">
            <w:pPr>
              <w:jc w:val="right"/>
              <w:textAlignment w:val="bottom"/>
            </w:pPr>
            <w:r>
              <w:rPr>
                <w:rFonts w:ascii="Arial" w:eastAsia="宋体" w:hAnsi="Arial" w:cs="Arial"/>
                <w:b/>
                <w:bCs/>
                <w:color w:val="000000"/>
                <w:sz w:val="20"/>
                <w:szCs w:val="20"/>
              </w:rPr>
              <w:t>(22)</w:t>
            </w:r>
          </w:p>
        </w:tc>
        <w:tc>
          <w:tcPr>
            <w:tcW w:w="0" w:type="auto"/>
            <w:shd w:val="clear" w:color="auto" w:fill="CCEEFF"/>
            <w:tcMar>
              <w:top w:w="40" w:type="dxa"/>
              <w:left w:w="0" w:type="dxa"/>
              <w:bottom w:w="40" w:type="dxa"/>
              <w:right w:w="20" w:type="dxa"/>
            </w:tcMar>
            <w:vAlign w:val="bottom"/>
          </w:tcPr>
          <w:p w14:paraId="4090DAA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A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A8" w14:textId="77777777" w:rsidR="00833634" w:rsidRDefault="00E15D51">
            <w:pPr>
              <w:jc w:val="right"/>
              <w:textAlignment w:val="bottom"/>
            </w:pPr>
            <w:r>
              <w:rPr>
                <w:rFonts w:ascii="Arial" w:eastAsia="宋体" w:hAnsi="Arial" w:cs="Arial"/>
                <w:color w:val="000000"/>
                <w:sz w:val="20"/>
                <w:szCs w:val="20"/>
              </w:rPr>
              <w:t>(22)</w:t>
            </w:r>
          </w:p>
        </w:tc>
        <w:tc>
          <w:tcPr>
            <w:tcW w:w="0" w:type="auto"/>
            <w:shd w:val="clear" w:color="auto" w:fill="CCEEFF"/>
            <w:tcMar>
              <w:top w:w="40" w:type="dxa"/>
              <w:left w:w="0" w:type="dxa"/>
              <w:bottom w:w="40" w:type="dxa"/>
              <w:right w:w="20" w:type="dxa"/>
            </w:tcMar>
            <w:vAlign w:val="bottom"/>
          </w:tcPr>
          <w:p w14:paraId="4090DAA9" w14:textId="77777777" w:rsidR="00833634" w:rsidRDefault="00833634">
            <w:pPr>
              <w:jc w:val="right"/>
              <w:rPr>
                <w:rFonts w:ascii="宋体"/>
              </w:rPr>
            </w:pPr>
          </w:p>
        </w:tc>
      </w:tr>
      <w:tr w:rsidR="00833634" w14:paraId="4090DAB5" w14:textId="77777777">
        <w:trPr>
          <w:jc w:val="center"/>
        </w:trPr>
        <w:tc>
          <w:tcPr>
            <w:tcW w:w="0" w:type="auto"/>
            <w:gridSpan w:val="3"/>
            <w:shd w:val="clear" w:color="auto" w:fill="FFFFFF"/>
            <w:tcMar>
              <w:top w:w="40" w:type="dxa"/>
              <w:left w:w="20" w:type="dxa"/>
              <w:bottom w:w="40" w:type="dxa"/>
              <w:right w:w="20" w:type="dxa"/>
            </w:tcMar>
            <w:vAlign w:val="bottom"/>
          </w:tcPr>
          <w:p w14:paraId="4090DAAB" w14:textId="77777777" w:rsidR="00833634" w:rsidRDefault="00E15D51">
            <w:pPr>
              <w:ind w:hanging="180"/>
              <w:textAlignment w:val="bottom"/>
            </w:pPr>
            <w:r>
              <w:rPr>
                <w:rFonts w:ascii="Arial" w:eastAsia="宋体" w:hAnsi="Arial" w:cs="Arial"/>
                <w:color w:val="000000"/>
                <w:sz w:val="20"/>
                <w:szCs w:val="20"/>
              </w:rPr>
              <w:t xml:space="preserve">Net actuarial loss arising during the period, net of tax of $19, </w:t>
            </w:r>
            <w:r>
              <w:rPr>
                <w:rFonts w:ascii="sans-serif" w:eastAsia="sans-serif" w:hAnsi="sans-serif" w:cs="sans-serif"/>
                <w:color w:val="000000"/>
                <w:sz w:val="20"/>
                <w:szCs w:val="20"/>
              </w:rPr>
              <w:t>$0</w:t>
            </w:r>
            <w:r>
              <w:rPr>
                <w:rFonts w:ascii="Arial" w:eastAsia="宋体" w:hAnsi="Arial" w:cs="Arial"/>
                <w:color w:val="000000"/>
                <w:sz w:val="20"/>
                <w:szCs w:val="20"/>
              </w:rPr>
              <w:t xml:space="preserve">, </w:t>
            </w:r>
            <w:r>
              <w:rPr>
                <w:rFonts w:ascii="sans-serif" w:eastAsia="sans-serif" w:hAnsi="sans-serif" w:cs="sans-serif"/>
                <w:color w:val="000000"/>
                <w:sz w:val="20"/>
                <w:szCs w:val="20"/>
              </w:rPr>
              <w:t>$16</w:t>
            </w:r>
            <w:r>
              <w:rPr>
                <w:rFonts w:ascii="Arial" w:eastAsia="宋体" w:hAnsi="Arial" w:cs="Arial"/>
                <w:color w:val="000000"/>
                <w:sz w:val="20"/>
                <w:szCs w:val="20"/>
              </w:rPr>
              <w:t xml:space="preserve"> and </w:t>
            </w:r>
            <w:r>
              <w:rPr>
                <w:rFonts w:ascii="sans-serif" w:eastAsia="sans-serif" w:hAnsi="sans-serif" w:cs="sans-serif"/>
                <w:color w:val="000000"/>
                <w:sz w:val="20"/>
                <w:szCs w:val="20"/>
              </w:rPr>
              <w:t>$0</w:t>
            </w:r>
          </w:p>
        </w:tc>
        <w:tc>
          <w:tcPr>
            <w:tcW w:w="0" w:type="auto"/>
            <w:gridSpan w:val="2"/>
            <w:shd w:val="clear" w:color="auto" w:fill="FFFFFF"/>
            <w:tcMar>
              <w:top w:w="40" w:type="dxa"/>
              <w:left w:w="20" w:type="dxa"/>
              <w:bottom w:w="40" w:type="dxa"/>
              <w:right w:w="0" w:type="dxa"/>
            </w:tcMar>
            <w:vAlign w:val="bottom"/>
          </w:tcPr>
          <w:p w14:paraId="4090DAAC" w14:textId="77777777" w:rsidR="00833634" w:rsidRDefault="00E15D51">
            <w:pPr>
              <w:jc w:val="right"/>
              <w:textAlignment w:val="bottom"/>
            </w:pPr>
            <w:r>
              <w:rPr>
                <w:rFonts w:ascii="Arial" w:eastAsia="宋体" w:hAnsi="Arial" w:cs="Arial"/>
                <w:b/>
                <w:bCs/>
                <w:color w:val="000000"/>
                <w:sz w:val="20"/>
                <w:szCs w:val="20"/>
              </w:rPr>
              <w:t>(65)</w:t>
            </w:r>
          </w:p>
        </w:tc>
        <w:tc>
          <w:tcPr>
            <w:tcW w:w="0" w:type="auto"/>
            <w:shd w:val="clear" w:color="auto" w:fill="FFFFFF"/>
            <w:tcMar>
              <w:top w:w="40" w:type="dxa"/>
              <w:left w:w="0" w:type="dxa"/>
              <w:bottom w:w="40" w:type="dxa"/>
              <w:right w:w="20" w:type="dxa"/>
            </w:tcMar>
            <w:vAlign w:val="bottom"/>
          </w:tcPr>
          <w:p w14:paraId="4090DAA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A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A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B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AB1" w14:textId="77777777" w:rsidR="00833634" w:rsidRDefault="00E15D51">
            <w:pPr>
              <w:jc w:val="right"/>
              <w:textAlignment w:val="bottom"/>
            </w:pPr>
            <w:r>
              <w:rPr>
                <w:rFonts w:ascii="Arial" w:eastAsia="宋体" w:hAnsi="Arial" w:cs="Arial"/>
                <w:b/>
                <w:bCs/>
                <w:color w:val="000000"/>
                <w:sz w:val="20"/>
                <w:szCs w:val="20"/>
              </w:rPr>
              <w:t>(53)</w:t>
            </w:r>
          </w:p>
        </w:tc>
        <w:tc>
          <w:tcPr>
            <w:tcW w:w="0" w:type="auto"/>
            <w:shd w:val="clear" w:color="auto" w:fill="FFFFFF"/>
            <w:tcMar>
              <w:top w:w="40" w:type="dxa"/>
              <w:left w:w="0" w:type="dxa"/>
              <w:bottom w:w="40" w:type="dxa"/>
              <w:right w:w="20" w:type="dxa"/>
            </w:tcMar>
            <w:vAlign w:val="bottom"/>
          </w:tcPr>
          <w:p w14:paraId="4090DAB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B3"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B4" w14:textId="77777777" w:rsidR="00833634" w:rsidRDefault="00833634">
            <w:pPr>
              <w:rPr>
                <w:rFonts w:ascii="宋体"/>
              </w:rPr>
            </w:pPr>
          </w:p>
        </w:tc>
      </w:tr>
      <w:tr w:rsidR="00833634" w14:paraId="4090DAC2" w14:textId="77777777">
        <w:trPr>
          <w:jc w:val="center"/>
        </w:trPr>
        <w:tc>
          <w:tcPr>
            <w:tcW w:w="0" w:type="auto"/>
            <w:gridSpan w:val="3"/>
            <w:shd w:val="clear" w:color="auto" w:fill="CCEEFF"/>
            <w:tcMar>
              <w:top w:w="40" w:type="dxa"/>
              <w:left w:w="20" w:type="dxa"/>
              <w:bottom w:w="40" w:type="dxa"/>
              <w:right w:w="20" w:type="dxa"/>
            </w:tcMar>
            <w:vAlign w:val="bottom"/>
          </w:tcPr>
          <w:p w14:paraId="4090DAB6" w14:textId="77777777" w:rsidR="00833634" w:rsidRDefault="00E15D51">
            <w:pPr>
              <w:ind w:hanging="180"/>
              <w:textAlignment w:val="bottom"/>
            </w:pPr>
            <w:r>
              <w:rPr>
                <w:rFonts w:ascii="Arial" w:eastAsia="宋体" w:hAnsi="Arial" w:cs="Arial"/>
                <w:color w:val="000000"/>
                <w:sz w:val="20"/>
                <w:szCs w:val="20"/>
              </w:rPr>
              <w:t xml:space="preserve">Amortization of actuarial losses included in net periodic pension cost, net of tax of ($179), </w:t>
            </w:r>
            <w:r>
              <w:rPr>
                <w:rFonts w:ascii="sans-serif" w:eastAsia="sans-serif" w:hAnsi="sans-serif" w:cs="sans-serif"/>
                <w:color w:val="000000"/>
                <w:sz w:val="20"/>
                <w:szCs w:val="20"/>
              </w:rPr>
              <w:t>($97)</w:t>
            </w:r>
            <w:r>
              <w:rPr>
                <w:rFonts w:ascii="Arial" w:eastAsia="宋体" w:hAnsi="Arial" w:cs="Arial"/>
                <w:color w:val="000000"/>
                <w:sz w:val="20"/>
                <w:szCs w:val="20"/>
              </w:rPr>
              <w:t xml:space="preserve">, </w:t>
            </w:r>
            <w:r>
              <w:rPr>
                <w:rFonts w:ascii="sans-serif" w:eastAsia="sans-serif" w:hAnsi="sans-serif" w:cs="sans-serif"/>
                <w:color w:val="000000"/>
                <w:sz w:val="20"/>
                <w:szCs w:val="20"/>
              </w:rPr>
              <w:t>($76)</w:t>
            </w:r>
            <w:r>
              <w:rPr>
                <w:rFonts w:ascii="Arial" w:eastAsia="宋体" w:hAnsi="Arial" w:cs="Arial"/>
                <w:color w:val="000000"/>
                <w:sz w:val="20"/>
                <w:szCs w:val="20"/>
              </w:rPr>
              <w:t xml:space="preserve"> and </w:t>
            </w:r>
            <w:r>
              <w:rPr>
                <w:rFonts w:ascii="sans-serif" w:eastAsia="sans-serif" w:hAnsi="sans-serif" w:cs="sans-serif"/>
                <w:color w:val="000000"/>
                <w:sz w:val="20"/>
                <w:szCs w:val="20"/>
              </w:rPr>
              <w:t>($32)</w:t>
            </w:r>
          </w:p>
        </w:tc>
        <w:tc>
          <w:tcPr>
            <w:tcW w:w="0" w:type="auto"/>
            <w:gridSpan w:val="2"/>
            <w:shd w:val="clear" w:color="auto" w:fill="CCEEFF"/>
            <w:tcMar>
              <w:top w:w="40" w:type="dxa"/>
              <w:left w:w="20" w:type="dxa"/>
              <w:bottom w:w="40" w:type="dxa"/>
              <w:right w:w="0" w:type="dxa"/>
            </w:tcMar>
            <w:vAlign w:val="bottom"/>
          </w:tcPr>
          <w:p w14:paraId="4090DAB7" w14:textId="77777777" w:rsidR="00833634" w:rsidRDefault="00E15D51">
            <w:pPr>
              <w:jc w:val="right"/>
              <w:textAlignment w:val="bottom"/>
            </w:pPr>
            <w:r>
              <w:rPr>
                <w:rFonts w:ascii="Arial" w:eastAsia="宋体" w:hAnsi="Arial" w:cs="Arial"/>
                <w:b/>
                <w:bCs/>
                <w:color w:val="000000"/>
                <w:sz w:val="20"/>
                <w:szCs w:val="20"/>
              </w:rPr>
              <w:t>562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AB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B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BA" w14:textId="77777777" w:rsidR="00833634" w:rsidRDefault="00E15D51">
            <w:pPr>
              <w:jc w:val="right"/>
              <w:textAlignment w:val="bottom"/>
            </w:pPr>
            <w:r>
              <w:rPr>
                <w:rFonts w:ascii="Arial" w:eastAsia="宋体" w:hAnsi="Arial" w:cs="Arial"/>
                <w:color w:val="000000"/>
                <w:sz w:val="20"/>
                <w:szCs w:val="20"/>
              </w:rPr>
              <w:t>350 </w:t>
            </w:r>
          </w:p>
        </w:tc>
        <w:tc>
          <w:tcPr>
            <w:tcW w:w="0" w:type="auto"/>
            <w:shd w:val="clear" w:color="auto" w:fill="CCEEFF"/>
            <w:tcMar>
              <w:top w:w="40" w:type="dxa"/>
              <w:left w:w="0" w:type="dxa"/>
              <w:bottom w:w="40" w:type="dxa"/>
              <w:right w:w="20" w:type="dxa"/>
            </w:tcMar>
            <w:vAlign w:val="bottom"/>
          </w:tcPr>
          <w:p w14:paraId="4090DAB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B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BD" w14:textId="77777777" w:rsidR="00833634" w:rsidRDefault="00E15D51">
            <w:pPr>
              <w:jc w:val="right"/>
              <w:textAlignment w:val="bottom"/>
            </w:pPr>
            <w:r>
              <w:rPr>
                <w:rFonts w:ascii="Arial" w:eastAsia="宋体" w:hAnsi="Arial" w:cs="Arial"/>
                <w:b/>
                <w:bCs/>
                <w:color w:val="000000"/>
                <w:sz w:val="20"/>
                <w:szCs w:val="20"/>
              </w:rPr>
              <w:t>172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AB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B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C0" w14:textId="77777777" w:rsidR="00833634" w:rsidRDefault="00E15D51">
            <w:pPr>
              <w:jc w:val="right"/>
              <w:textAlignment w:val="bottom"/>
            </w:pPr>
            <w:r>
              <w:rPr>
                <w:rFonts w:ascii="Arial" w:eastAsia="宋体" w:hAnsi="Arial" w:cs="Arial"/>
                <w:color w:val="000000"/>
                <w:sz w:val="20"/>
                <w:szCs w:val="20"/>
              </w:rPr>
              <w:t>117 </w:t>
            </w:r>
          </w:p>
        </w:tc>
        <w:tc>
          <w:tcPr>
            <w:tcW w:w="0" w:type="auto"/>
            <w:shd w:val="clear" w:color="auto" w:fill="CCEEFF"/>
            <w:tcMar>
              <w:top w:w="40" w:type="dxa"/>
              <w:left w:w="0" w:type="dxa"/>
              <w:bottom w:w="40" w:type="dxa"/>
              <w:right w:w="20" w:type="dxa"/>
            </w:tcMar>
            <w:vAlign w:val="bottom"/>
          </w:tcPr>
          <w:p w14:paraId="4090DAC1" w14:textId="77777777" w:rsidR="00833634" w:rsidRDefault="00833634">
            <w:pPr>
              <w:jc w:val="right"/>
              <w:rPr>
                <w:rFonts w:ascii="宋体"/>
              </w:rPr>
            </w:pPr>
          </w:p>
        </w:tc>
      </w:tr>
      <w:tr w:rsidR="00833634" w14:paraId="4090DACD" w14:textId="77777777">
        <w:trPr>
          <w:jc w:val="center"/>
        </w:trPr>
        <w:tc>
          <w:tcPr>
            <w:tcW w:w="0" w:type="auto"/>
            <w:gridSpan w:val="3"/>
            <w:shd w:val="clear" w:color="auto" w:fill="FFFFFF"/>
            <w:tcMar>
              <w:top w:w="40" w:type="dxa"/>
              <w:left w:w="20" w:type="dxa"/>
              <w:bottom w:w="40" w:type="dxa"/>
              <w:right w:w="20" w:type="dxa"/>
            </w:tcMar>
            <w:vAlign w:val="bottom"/>
          </w:tcPr>
          <w:p w14:paraId="4090DAC3" w14:textId="77777777" w:rsidR="00833634" w:rsidRDefault="00E15D51">
            <w:pPr>
              <w:ind w:hanging="180"/>
              <w:textAlignment w:val="bottom"/>
            </w:pPr>
            <w:r>
              <w:rPr>
                <w:rFonts w:ascii="Arial" w:eastAsia="宋体" w:hAnsi="Arial" w:cs="Arial"/>
                <w:color w:val="000000"/>
                <w:sz w:val="20"/>
                <w:szCs w:val="20"/>
              </w:rPr>
              <w:t xml:space="preserve">Settlements and curtailments included in net loss, net of tax of ($1), </w:t>
            </w:r>
            <w:r>
              <w:rPr>
                <w:rFonts w:ascii="sans-serif" w:eastAsia="sans-serif" w:hAnsi="sans-serif" w:cs="sans-serif"/>
                <w:color w:val="000000"/>
                <w:sz w:val="20"/>
                <w:szCs w:val="20"/>
              </w:rPr>
              <w:t>$0</w:t>
            </w:r>
            <w:r>
              <w:rPr>
                <w:rFonts w:ascii="Arial" w:eastAsia="宋体" w:hAnsi="Arial" w:cs="Arial"/>
                <w:color w:val="000000"/>
                <w:sz w:val="20"/>
                <w:szCs w:val="20"/>
              </w:rPr>
              <w:t xml:space="preserve">, </w:t>
            </w:r>
            <w:r>
              <w:rPr>
                <w:rFonts w:ascii="sans-serif" w:eastAsia="sans-serif" w:hAnsi="sans-serif" w:cs="sans-serif"/>
                <w:color w:val="000000"/>
                <w:sz w:val="20"/>
                <w:szCs w:val="20"/>
              </w:rPr>
              <w:t>$0</w:t>
            </w:r>
            <w:r>
              <w:rPr>
                <w:rFonts w:ascii="Arial" w:eastAsia="宋体" w:hAnsi="Arial" w:cs="Arial"/>
                <w:color w:val="000000"/>
                <w:sz w:val="20"/>
                <w:szCs w:val="20"/>
              </w:rPr>
              <w:t xml:space="preserve"> and </w:t>
            </w:r>
            <w:r>
              <w:rPr>
                <w:rFonts w:ascii="sans-serif" w:eastAsia="sans-serif" w:hAnsi="sans-serif" w:cs="sans-serif"/>
                <w:color w:val="000000"/>
                <w:sz w:val="20"/>
                <w:szCs w:val="20"/>
              </w:rPr>
              <w:t>$0</w:t>
            </w:r>
          </w:p>
        </w:tc>
        <w:tc>
          <w:tcPr>
            <w:tcW w:w="0" w:type="auto"/>
            <w:gridSpan w:val="2"/>
            <w:shd w:val="clear" w:color="auto" w:fill="FFFFFF"/>
            <w:tcMar>
              <w:top w:w="40" w:type="dxa"/>
              <w:left w:w="20" w:type="dxa"/>
              <w:bottom w:w="40" w:type="dxa"/>
              <w:right w:w="0" w:type="dxa"/>
            </w:tcMar>
            <w:vAlign w:val="bottom"/>
          </w:tcPr>
          <w:p w14:paraId="4090DAC4" w14:textId="77777777" w:rsidR="00833634" w:rsidRDefault="00E15D51">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AC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C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C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C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AC9" w14:textId="77777777" w:rsidR="00833634" w:rsidRDefault="00E15D51">
            <w:pPr>
              <w:jc w:val="right"/>
              <w:textAlignment w:val="bottom"/>
            </w:pPr>
            <w:r>
              <w:rPr>
                <w:rFonts w:ascii="Arial" w:eastAsia="宋体" w:hAnsi="Arial" w:cs="Arial"/>
                <w:b/>
                <w:bCs/>
                <w:color w:val="000000"/>
                <w:sz w:val="20"/>
                <w:szCs w:val="20"/>
              </w:rPr>
              <w:t>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AC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AC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ACC" w14:textId="77777777" w:rsidR="00833634" w:rsidRDefault="00833634">
            <w:pPr>
              <w:rPr>
                <w:rFonts w:ascii="宋体"/>
              </w:rPr>
            </w:pPr>
          </w:p>
        </w:tc>
      </w:tr>
      <w:tr w:rsidR="00833634" w14:paraId="4090DAD8" w14:textId="77777777">
        <w:trPr>
          <w:jc w:val="center"/>
        </w:trPr>
        <w:tc>
          <w:tcPr>
            <w:tcW w:w="0" w:type="auto"/>
            <w:gridSpan w:val="3"/>
            <w:shd w:val="clear" w:color="auto" w:fill="CCEEFF"/>
            <w:tcMar>
              <w:top w:w="40" w:type="dxa"/>
              <w:left w:w="20" w:type="dxa"/>
              <w:bottom w:w="40" w:type="dxa"/>
              <w:right w:w="20" w:type="dxa"/>
            </w:tcMar>
            <w:vAlign w:val="bottom"/>
          </w:tcPr>
          <w:p w14:paraId="4090DACE" w14:textId="77777777" w:rsidR="00833634" w:rsidRDefault="00E15D51">
            <w:pPr>
              <w:ind w:hanging="180"/>
              <w:textAlignment w:val="bottom"/>
            </w:pPr>
            <w:r>
              <w:rPr>
                <w:rFonts w:ascii="Arial" w:eastAsia="宋体" w:hAnsi="Arial" w:cs="Arial"/>
                <w:color w:val="000000"/>
                <w:sz w:val="20"/>
                <w:szCs w:val="20"/>
              </w:rPr>
              <w:t xml:space="preserve">Pension and postretirement cost related to our equity method investments, net of tax of $0, </w:t>
            </w:r>
            <w:r>
              <w:rPr>
                <w:rFonts w:ascii="sans-serif" w:eastAsia="sans-serif" w:hAnsi="sans-serif" w:cs="sans-serif"/>
                <w:color w:val="000000"/>
                <w:sz w:val="20"/>
                <w:szCs w:val="20"/>
              </w:rPr>
              <w:t>($5)</w:t>
            </w:r>
            <w:r>
              <w:rPr>
                <w:rFonts w:ascii="Arial" w:eastAsia="宋体" w:hAnsi="Arial" w:cs="Arial"/>
                <w:color w:val="000000"/>
                <w:sz w:val="20"/>
                <w:szCs w:val="20"/>
              </w:rPr>
              <w:t xml:space="preserve">, </w:t>
            </w:r>
            <w:r>
              <w:rPr>
                <w:rFonts w:ascii="sans-serif" w:eastAsia="sans-serif" w:hAnsi="sans-serif" w:cs="sans-serif"/>
                <w:color w:val="000000"/>
                <w:sz w:val="20"/>
                <w:szCs w:val="20"/>
              </w:rPr>
              <w:t>$0</w:t>
            </w:r>
            <w:r>
              <w:rPr>
                <w:rFonts w:ascii="Arial" w:eastAsia="宋体" w:hAnsi="Arial" w:cs="Arial"/>
                <w:color w:val="000000"/>
                <w:sz w:val="20"/>
                <w:szCs w:val="20"/>
              </w:rPr>
              <w:t xml:space="preserve">, and </w:t>
            </w:r>
            <w:r>
              <w:rPr>
                <w:rFonts w:ascii="sans-serif" w:eastAsia="sans-serif" w:hAnsi="sans-serif" w:cs="sans-serif"/>
                <w:color w:val="000000"/>
                <w:sz w:val="20"/>
                <w:szCs w:val="20"/>
              </w:rPr>
              <w:t>($3)</w:t>
            </w:r>
          </w:p>
        </w:tc>
        <w:tc>
          <w:tcPr>
            <w:tcW w:w="0" w:type="auto"/>
            <w:gridSpan w:val="3"/>
            <w:shd w:val="clear" w:color="auto" w:fill="CCEEFF"/>
            <w:tcMar>
              <w:top w:w="0" w:type="dxa"/>
              <w:left w:w="20" w:type="dxa"/>
              <w:bottom w:w="0" w:type="dxa"/>
              <w:right w:w="20" w:type="dxa"/>
            </w:tcMar>
          </w:tcPr>
          <w:p w14:paraId="4090DAC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AD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D1" w14:textId="77777777" w:rsidR="00833634" w:rsidRDefault="00E15D51">
            <w:pPr>
              <w:jc w:val="right"/>
              <w:textAlignment w:val="bottom"/>
            </w:pPr>
            <w:r>
              <w:rPr>
                <w:rFonts w:ascii="Arial" w:eastAsia="宋体" w:hAnsi="Arial" w:cs="Arial"/>
                <w:color w:val="000000"/>
                <w:sz w:val="20"/>
                <w:szCs w:val="20"/>
              </w:rPr>
              <w:t>17 </w:t>
            </w:r>
          </w:p>
        </w:tc>
        <w:tc>
          <w:tcPr>
            <w:tcW w:w="0" w:type="auto"/>
            <w:shd w:val="clear" w:color="auto" w:fill="CCEEFF"/>
            <w:tcMar>
              <w:top w:w="40" w:type="dxa"/>
              <w:left w:w="0" w:type="dxa"/>
              <w:bottom w:w="40" w:type="dxa"/>
              <w:right w:w="20" w:type="dxa"/>
            </w:tcMar>
            <w:vAlign w:val="bottom"/>
          </w:tcPr>
          <w:p w14:paraId="4090DAD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AD3"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AD4"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AD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AD6" w14:textId="77777777" w:rsidR="00833634" w:rsidRDefault="00E15D51">
            <w:pPr>
              <w:jc w:val="right"/>
              <w:textAlignment w:val="bottom"/>
            </w:pPr>
            <w:r>
              <w:rPr>
                <w:rFonts w:ascii="Arial" w:eastAsia="宋体" w:hAnsi="Arial" w:cs="Arial"/>
                <w:color w:val="000000"/>
                <w:sz w:val="20"/>
                <w:szCs w:val="20"/>
              </w:rPr>
              <w:t>9 </w:t>
            </w:r>
          </w:p>
        </w:tc>
        <w:tc>
          <w:tcPr>
            <w:tcW w:w="0" w:type="auto"/>
            <w:shd w:val="clear" w:color="auto" w:fill="CCEEFF"/>
            <w:tcMar>
              <w:top w:w="40" w:type="dxa"/>
              <w:left w:w="0" w:type="dxa"/>
              <w:bottom w:w="40" w:type="dxa"/>
              <w:right w:w="20" w:type="dxa"/>
            </w:tcMar>
            <w:vAlign w:val="bottom"/>
          </w:tcPr>
          <w:p w14:paraId="4090DAD7" w14:textId="77777777" w:rsidR="00833634" w:rsidRDefault="00833634">
            <w:pPr>
              <w:jc w:val="right"/>
              <w:rPr>
                <w:rFonts w:ascii="宋体"/>
              </w:rPr>
            </w:pPr>
          </w:p>
        </w:tc>
      </w:tr>
      <w:tr w:rsidR="00833634" w14:paraId="4090DAE5"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AD9" w14:textId="77777777" w:rsidR="00833634" w:rsidRDefault="00E15D51">
            <w:pPr>
              <w:ind w:hanging="180"/>
              <w:textAlignment w:val="bottom"/>
            </w:pPr>
            <w:r>
              <w:rPr>
                <w:rFonts w:ascii="Arial" w:eastAsia="宋体" w:hAnsi="Arial" w:cs="Arial"/>
                <w:color w:val="000000"/>
                <w:sz w:val="20"/>
                <w:szCs w:val="20"/>
              </w:rPr>
              <w:t>Total defined benefit pension plans and other postretirement benefits, net of tax</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DA" w14:textId="77777777" w:rsidR="00833634" w:rsidRDefault="00E15D51">
            <w:pPr>
              <w:jc w:val="right"/>
              <w:textAlignment w:val="bottom"/>
            </w:pPr>
            <w:r>
              <w:rPr>
                <w:rFonts w:ascii="Arial" w:eastAsia="宋体" w:hAnsi="Arial" w:cs="Arial"/>
                <w:b/>
                <w:bCs/>
                <w:color w:val="000000"/>
                <w:sz w:val="20"/>
                <w:szCs w:val="20"/>
              </w:rPr>
              <w:t>446</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DB"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DC"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DD" w14:textId="77777777" w:rsidR="00833634" w:rsidRDefault="00E15D51">
            <w:pPr>
              <w:jc w:val="right"/>
              <w:textAlignment w:val="bottom"/>
            </w:pPr>
            <w:r>
              <w:rPr>
                <w:rFonts w:ascii="Arial" w:eastAsia="宋体" w:hAnsi="Arial" w:cs="Arial"/>
                <w:color w:val="000000"/>
                <w:sz w:val="20"/>
                <w:szCs w:val="20"/>
              </w:rPr>
              <w:t>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DE"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DF"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E0" w14:textId="77777777" w:rsidR="00833634" w:rsidRDefault="00E15D51">
            <w:pPr>
              <w:jc w:val="right"/>
              <w:textAlignment w:val="bottom"/>
            </w:pPr>
            <w:r>
              <w:rPr>
                <w:rFonts w:ascii="Arial" w:eastAsia="宋体" w:hAnsi="Arial" w:cs="Arial"/>
                <w:b/>
                <w:bCs/>
                <w:color w:val="000000"/>
                <w:sz w:val="20"/>
                <w:szCs w:val="20"/>
              </w:rPr>
              <w:t>111</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E1"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E2"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E3" w14:textId="77777777" w:rsidR="00833634" w:rsidRDefault="00E15D51">
            <w:pPr>
              <w:jc w:val="right"/>
              <w:textAlignment w:val="bottom"/>
            </w:pPr>
            <w:r>
              <w:rPr>
                <w:rFonts w:ascii="Arial" w:eastAsia="宋体" w:hAnsi="Arial" w:cs="Arial"/>
                <w:color w:val="000000"/>
                <w:sz w:val="20"/>
                <w:szCs w:val="20"/>
              </w:rPr>
              <w:t>104 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E4" w14:textId="77777777" w:rsidR="00833634" w:rsidRDefault="00833634">
            <w:pPr>
              <w:jc w:val="right"/>
              <w:rPr>
                <w:rFonts w:ascii="宋体"/>
              </w:rPr>
            </w:pPr>
          </w:p>
        </w:tc>
      </w:tr>
      <w:tr w:rsidR="00833634" w14:paraId="4090DAF2"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AE6" w14:textId="77777777" w:rsidR="00833634" w:rsidRDefault="00E15D51">
            <w:pPr>
              <w:textAlignment w:val="bottom"/>
            </w:pPr>
            <w:r>
              <w:rPr>
                <w:rFonts w:ascii="Arial" w:eastAsia="宋体" w:hAnsi="Arial" w:cs="Arial"/>
                <w:b/>
                <w:bCs/>
                <w:color w:val="000000"/>
                <w:sz w:val="20"/>
                <w:szCs w:val="20"/>
              </w:rPr>
              <w:t>Other comprehensive income/(loss),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AE7" w14:textId="77777777" w:rsidR="00833634" w:rsidRDefault="00E15D51">
            <w:pPr>
              <w:jc w:val="right"/>
              <w:textAlignment w:val="bottom"/>
            </w:pPr>
            <w:r>
              <w:rPr>
                <w:rFonts w:ascii="Arial" w:eastAsia="宋体" w:hAnsi="Arial" w:cs="Arial"/>
                <w:b/>
                <w:bCs/>
                <w:color w:val="000000"/>
                <w:sz w:val="20"/>
                <w:szCs w:val="20"/>
              </w:rPr>
              <w:t>374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AE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E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AEA" w14:textId="77777777" w:rsidR="00833634" w:rsidRDefault="00E15D51">
            <w:pPr>
              <w:jc w:val="right"/>
              <w:textAlignment w:val="bottom"/>
            </w:pPr>
            <w:r>
              <w:rPr>
                <w:rFonts w:ascii="Arial" w:eastAsia="宋体" w:hAnsi="Arial" w:cs="Arial"/>
                <w:color w:val="000000"/>
                <w:sz w:val="20"/>
                <w:szCs w:val="20"/>
              </w:rPr>
              <w:t>156 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AE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E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AED" w14:textId="77777777" w:rsidR="00833634" w:rsidRDefault="00E15D51">
            <w:pPr>
              <w:jc w:val="right"/>
              <w:textAlignment w:val="bottom"/>
            </w:pPr>
            <w:r>
              <w:rPr>
                <w:rFonts w:ascii="Arial" w:eastAsia="宋体" w:hAnsi="Arial" w:cs="Arial"/>
                <w:b/>
                <w:bCs/>
                <w:color w:val="000000"/>
                <w:sz w:val="20"/>
                <w:szCs w:val="20"/>
              </w:rPr>
              <w:t>246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AE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AE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AF0" w14:textId="77777777" w:rsidR="00833634" w:rsidRDefault="00E15D51">
            <w:pPr>
              <w:jc w:val="right"/>
              <w:textAlignment w:val="bottom"/>
            </w:pPr>
            <w:r>
              <w:rPr>
                <w:rFonts w:ascii="Arial" w:eastAsia="宋体" w:hAnsi="Arial" w:cs="Arial"/>
                <w:color w:val="000000"/>
                <w:sz w:val="20"/>
                <w:szCs w:val="20"/>
              </w:rPr>
              <w:t>(19)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AF1" w14:textId="77777777" w:rsidR="00833634" w:rsidRDefault="00833634">
            <w:pPr>
              <w:jc w:val="right"/>
              <w:rPr>
                <w:rFonts w:ascii="宋体"/>
              </w:rPr>
            </w:pPr>
          </w:p>
        </w:tc>
      </w:tr>
      <w:tr w:rsidR="00833634" w14:paraId="4090DAFD"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AF3" w14:textId="77777777" w:rsidR="00833634" w:rsidRDefault="00E15D51">
            <w:pPr>
              <w:ind w:hanging="180"/>
              <w:textAlignment w:val="bottom"/>
            </w:pPr>
            <w:r>
              <w:rPr>
                <w:rFonts w:ascii="Arial" w:eastAsia="宋体" w:hAnsi="Arial" w:cs="Arial"/>
                <w:b/>
                <w:bCs/>
                <w:color w:val="000000"/>
                <w:sz w:val="20"/>
                <w:szCs w:val="20"/>
              </w:rPr>
              <w:t>Comprehensive loss related to noncontrolling interests</w:t>
            </w:r>
          </w:p>
        </w:tc>
        <w:tc>
          <w:tcPr>
            <w:tcW w:w="0" w:type="auto"/>
            <w:gridSpan w:val="3"/>
            <w:tcBorders>
              <w:top w:val="single" w:sz="8" w:space="0" w:color="000000"/>
            </w:tcBorders>
            <w:shd w:val="clear" w:color="auto" w:fill="FFFFFF"/>
            <w:tcMar>
              <w:top w:w="0" w:type="dxa"/>
              <w:left w:w="20" w:type="dxa"/>
              <w:bottom w:w="0" w:type="dxa"/>
              <w:right w:w="20" w:type="dxa"/>
            </w:tcMar>
          </w:tcPr>
          <w:p w14:paraId="4090DAF4"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F5"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F6" w14:textId="77777777" w:rsidR="00833634" w:rsidRDefault="00E15D51">
            <w:pPr>
              <w:jc w:val="right"/>
              <w:textAlignment w:val="bottom"/>
            </w:pPr>
            <w:r>
              <w:rPr>
                <w:rFonts w:ascii="Arial" w:eastAsia="宋体" w:hAnsi="Arial" w:cs="Arial"/>
                <w:color w:val="000000"/>
                <w:sz w:val="20"/>
                <w:szCs w:val="20"/>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F7"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F8"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F9"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AFA"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AFB" w14:textId="77777777" w:rsidR="00833634" w:rsidRDefault="00E15D51">
            <w:pPr>
              <w:jc w:val="right"/>
              <w:textAlignment w:val="bottom"/>
            </w:pPr>
            <w:r>
              <w:rPr>
                <w:rFonts w:ascii="Arial" w:eastAsia="宋体" w:hAnsi="Arial" w:cs="Arial"/>
                <w:color w:val="000000"/>
                <w:sz w:val="20"/>
                <w:szCs w:val="20"/>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AFC" w14:textId="77777777" w:rsidR="00833634" w:rsidRDefault="00833634">
            <w:pPr>
              <w:jc w:val="right"/>
              <w:rPr>
                <w:rFonts w:ascii="宋体"/>
              </w:rPr>
            </w:pPr>
          </w:p>
        </w:tc>
      </w:tr>
      <w:tr w:rsidR="00833634" w14:paraId="4090DB0A"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AFE" w14:textId="77777777" w:rsidR="00833634" w:rsidRDefault="00E15D51">
            <w:pPr>
              <w:textAlignment w:val="bottom"/>
            </w:pPr>
            <w:r>
              <w:rPr>
                <w:rFonts w:ascii="Arial" w:eastAsia="宋体" w:hAnsi="Arial" w:cs="Arial"/>
                <w:b/>
                <w:bCs/>
                <w:color w:val="000000"/>
                <w:sz w:val="20"/>
                <w:szCs w:val="20"/>
              </w:rPr>
              <w:t>Comprehensive (loss)/income,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AFF" w14:textId="77777777" w:rsidR="00833634" w:rsidRDefault="00E15D51">
            <w:pPr>
              <w:jc w:val="right"/>
              <w:textAlignment w:val="bottom"/>
            </w:pPr>
            <w:r>
              <w:rPr>
                <w:rFonts w:ascii="Arial" w:eastAsia="宋体" w:hAnsi="Arial" w:cs="Arial"/>
                <w:b/>
                <w:bCs/>
                <w:color w:val="000000"/>
                <w:sz w:val="20"/>
                <w:szCs w:val="20"/>
              </w:rPr>
              <w:t>(3,128)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0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B0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02" w14:textId="77777777" w:rsidR="00833634" w:rsidRDefault="00E15D51">
            <w:pPr>
              <w:jc w:val="right"/>
              <w:textAlignment w:val="bottom"/>
            </w:pPr>
            <w:r>
              <w:rPr>
                <w:rFonts w:ascii="Arial" w:eastAsia="宋体" w:hAnsi="Arial" w:cs="Arial"/>
                <w:color w:val="000000"/>
                <w:sz w:val="20"/>
                <w:szCs w:val="20"/>
              </w:rPr>
              <w:t>508 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0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B0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05" w14:textId="77777777" w:rsidR="00833634" w:rsidRDefault="00E15D51">
            <w:pPr>
              <w:jc w:val="right"/>
              <w:textAlignment w:val="bottom"/>
            </w:pPr>
            <w:r>
              <w:rPr>
                <w:rFonts w:ascii="Arial" w:eastAsia="宋体" w:hAnsi="Arial" w:cs="Arial"/>
                <w:b/>
                <w:bCs/>
                <w:color w:val="000000"/>
                <w:sz w:val="20"/>
                <w:szCs w:val="20"/>
              </w:rPr>
              <w:t>(220)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0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B0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08" w14:textId="77777777" w:rsidR="00833634" w:rsidRDefault="00E15D51">
            <w:pPr>
              <w:jc w:val="right"/>
              <w:textAlignment w:val="bottom"/>
            </w:pPr>
            <w:r>
              <w:rPr>
                <w:rFonts w:ascii="Arial" w:eastAsia="宋体" w:hAnsi="Arial" w:cs="Arial"/>
                <w:color w:val="000000"/>
                <w:sz w:val="20"/>
                <w:szCs w:val="20"/>
              </w:rPr>
              <w:t>1,133 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09" w14:textId="77777777" w:rsidR="00833634" w:rsidRDefault="00833634">
            <w:pPr>
              <w:jc w:val="right"/>
              <w:rPr>
                <w:rFonts w:ascii="宋体"/>
              </w:rPr>
            </w:pPr>
          </w:p>
        </w:tc>
      </w:tr>
      <w:tr w:rsidR="00833634" w14:paraId="4090DB17"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B0B" w14:textId="77777777" w:rsidR="00833634" w:rsidRDefault="00E15D51">
            <w:pPr>
              <w:textAlignment w:val="bottom"/>
            </w:pPr>
            <w:r>
              <w:rPr>
                <w:rFonts w:ascii="Arial" w:eastAsia="宋体" w:hAnsi="Arial" w:cs="Arial"/>
                <w:color w:val="000000"/>
                <w:sz w:val="20"/>
                <w:szCs w:val="20"/>
              </w:rPr>
              <w:t>Less: Comprehensive loss related to noncontrolling interest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B0C" w14:textId="77777777" w:rsidR="00833634" w:rsidRDefault="00E15D51">
            <w:pPr>
              <w:jc w:val="right"/>
              <w:textAlignment w:val="bottom"/>
            </w:pPr>
            <w:r>
              <w:rPr>
                <w:rFonts w:ascii="Arial" w:eastAsia="宋体" w:hAnsi="Arial" w:cs="Arial"/>
                <w:b/>
                <w:bCs/>
                <w:color w:val="000000"/>
                <w:sz w:val="20"/>
                <w:szCs w:val="20"/>
              </w:rPr>
              <w:t>(49)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B0D"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B0E"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B0F" w14:textId="77777777" w:rsidR="00833634" w:rsidRDefault="00E15D51">
            <w:pPr>
              <w:jc w:val="right"/>
              <w:textAlignment w:val="bottom"/>
            </w:pPr>
            <w:r>
              <w:rPr>
                <w:rFonts w:ascii="Arial" w:eastAsia="宋体" w:hAnsi="Arial" w:cs="Arial"/>
                <w:color w:val="000000"/>
                <w:sz w:val="20"/>
                <w:szCs w:val="20"/>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B10"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B11"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B12" w14:textId="77777777" w:rsidR="00833634" w:rsidRDefault="00E15D51">
            <w:pPr>
              <w:jc w:val="right"/>
              <w:textAlignment w:val="bottom"/>
            </w:pPr>
            <w:r>
              <w:rPr>
                <w:rFonts w:ascii="Arial" w:eastAsia="宋体" w:hAnsi="Arial" w:cs="Arial"/>
                <w:b/>
                <w:bCs/>
                <w:color w:val="000000"/>
                <w:sz w:val="20"/>
                <w:szCs w:val="20"/>
              </w:rPr>
              <w:t>(17)</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B13"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B14"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B15" w14:textId="77777777" w:rsidR="00833634" w:rsidRDefault="00E15D51">
            <w:pPr>
              <w:jc w:val="right"/>
              <w:textAlignment w:val="bottom"/>
            </w:pPr>
            <w:r>
              <w:rPr>
                <w:rFonts w:ascii="Arial" w:eastAsia="宋体" w:hAnsi="Arial" w:cs="Arial"/>
                <w:color w:val="000000"/>
                <w:sz w:val="20"/>
                <w:szCs w:val="20"/>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B16" w14:textId="77777777" w:rsidR="00833634" w:rsidRDefault="00833634">
            <w:pPr>
              <w:jc w:val="right"/>
              <w:rPr>
                <w:rFonts w:ascii="宋体"/>
              </w:rPr>
            </w:pPr>
          </w:p>
        </w:tc>
      </w:tr>
      <w:tr w:rsidR="00833634" w14:paraId="4090DB24" w14:textId="77777777">
        <w:trPr>
          <w:jc w:val="center"/>
        </w:trPr>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DB18" w14:textId="77777777" w:rsidR="00833634" w:rsidRDefault="00E15D51">
            <w:pPr>
              <w:textAlignment w:val="bottom"/>
            </w:pPr>
            <w:r>
              <w:rPr>
                <w:rFonts w:ascii="Arial" w:eastAsia="宋体" w:hAnsi="Arial" w:cs="Arial"/>
                <w:b/>
                <w:bCs/>
                <w:color w:val="000000"/>
                <w:sz w:val="20"/>
                <w:szCs w:val="20"/>
              </w:rPr>
              <w:t>Comprehensive (loss)/income attributable to Boeing Shareholders, net of tax</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DB19" w14:textId="77777777" w:rsidR="00833634" w:rsidRDefault="00E15D51">
            <w:pPr>
              <w:jc w:val="right"/>
              <w:textAlignment w:val="bottom"/>
            </w:pPr>
            <w:r>
              <w:rPr>
                <w:rFonts w:ascii="Arial" w:eastAsia="宋体" w:hAnsi="Arial" w:cs="Arial"/>
                <w:b/>
                <w:bCs/>
                <w:color w:val="000000"/>
                <w:sz w:val="20"/>
                <w:szCs w:val="20"/>
              </w:rPr>
              <w:t>($3,079)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DB1A"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DB1B"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DB1C" w14:textId="77777777" w:rsidR="00833634" w:rsidRDefault="00E15D51">
            <w:pPr>
              <w:jc w:val="right"/>
              <w:textAlignment w:val="bottom"/>
            </w:pPr>
            <w:r>
              <w:rPr>
                <w:rFonts w:ascii="Arial" w:eastAsia="宋体" w:hAnsi="Arial" w:cs="Arial"/>
                <w:color w:val="000000"/>
                <w:sz w:val="20"/>
                <w:szCs w:val="20"/>
              </w:rPr>
              <w:t>$530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DB1D"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DB1E"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DB1F" w14:textId="77777777" w:rsidR="00833634" w:rsidRDefault="00E15D51">
            <w:pPr>
              <w:jc w:val="right"/>
              <w:textAlignment w:val="bottom"/>
            </w:pPr>
            <w:r>
              <w:rPr>
                <w:rFonts w:ascii="Arial" w:eastAsia="宋体" w:hAnsi="Arial" w:cs="Arial"/>
                <w:b/>
                <w:bCs/>
                <w:color w:val="000000"/>
                <w:sz w:val="20"/>
                <w:szCs w:val="20"/>
              </w:rPr>
              <w:t>($203)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DB20"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DB21"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DB22" w14:textId="77777777" w:rsidR="00833634" w:rsidRDefault="00E15D51">
            <w:pPr>
              <w:jc w:val="right"/>
              <w:textAlignment w:val="bottom"/>
            </w:pPr>
            <w:r>
              <w:rPr>
                <w:rFonts w:ascii="Arial" w:eastAsia="宋体" w:hAnsi="Arial" w:cs="Arial"/>
                <w:color w:val="000000"/>
                <w:sz w:val="20"/>
                <w:szCs w:val="20"/>
              </w:rPr>
              <w:t>$1,148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DB23" w14:textId="77777777" w:rsidR="00833634" w:rsidRDefault="00833634">
            <w:pPr>
              <w:jc w:val="right"/>
              <w:rPr>
                <w:rFonts w:ascii="宋体"/>
              </w:rPr>
            </w:pPr>
          </w:p>
        </w:tc>
      </w:tr>
    </w:tbl>
    <w:p w14:paraId="4090DB25" w14:textId="77777777" w:rsidR="00833634" w:rsidRDefault="00E15D51">
      <w:pPr>
        <w:spacing w:after="180"/>
        <w:jc w:val="both"/>
      </w:pPr>
      <w:r>
        <w:rPr>
          <w:rFonts w:ascii="Arial" w:eastAsia="宋体" w:hAnsi="Arial" w:cs="Arial"/>
          <w:color w:val="000000"/>
          <w:sz w:val="20"/>
          <w:szCs w:val="20"/>
        </w:rPr>
        <w:t>See Notes to the Condensed Consolidated Financial Statemen</w:t>
      </w:r>
      <w:r>
        <w:rPr>
          <w:rFonts w:ascii="Arial" w:eastAsia="宋体" w:hAnsi="Arial" w:cs="Arial"/>
          <w:color w:val="000000"/>
          <w:sz w:val="20"/>
          <w:szCs w:val="20"/>
        </w:rPr>
        <w:t>ts.</w:t>
      </w:r>
    </w:p>
    <w:p w14:paraId="4090DB26" w14:textId="77777777" w:rsidR="00833634" w:rsidRDefault="00E15D51">
      <w:pPr>
        <w:spacing w:after="180"/>
        <w:jc w:val="center"/>
      </w:pPr>
      <w:r>
        <w:rPr>
          <w:rFonts w:ascii="Arial" w:eastAsia="宋体" w:hAnsi="Arial" w:cs="Arial"/>
          <w:color w:val="000000"/>
          <w:sz w:val="18"/>
          <w:szCs w:val="18"/>
        </w:rPr>
        <w:t>2</w:t>
      </w:r>
    </w:p>
    <w:p w14:paraId="4090DB27" w14:textId="77777777" w:rsidR="00833634" w:rsidRDefault="00E15D51">
      <w:r>
        <w:pict w14:anchorId="4090FE22">
          <v:rect id="_x0000_i1028" style="width:415.3pt;height:1.5pt" o:hralign="center" o:hrstd="t" o:hr="t" fillcolor="#a0a0a0" stroked="f"/>
        </w:pict>
      </w:r>
    </w:p>
    <w:p w14:paraId="4090DB28" w14:textId="77777777" w:rsidR="00833634" w:rsidRDefault="00E15D51">
      <w:pPr>
        <w:spacing w:after="180"/>
        <w:jc w:val="both"/>
      </w:pPr>
      <w:hyperlink r:id="rId105" w:anchor="i8d805bfb1e1c4815a1dcd5b6d1e0b117_10" w:history="1">
        <w:r>
          <w:rPr>
            <w:rStyle w:val="a5"/>
            <w:rFonts w:ascii="Arial" w:eastAsia="宋体" w:hAnsi="Arial" w:cs="Arial"/>
            <w:sz w:val="18"/>
            <w:szCs w:val="18"/>
          </w:rPr>
          <w:t>Table of Contents</w:t>
        </w:r>
      </w:hyperlink>
    </w:p>
    <w:p w14:paraId="4090DB29" w14:textId="77777777" w:rsidR="00833634" w:rsidRDefault="00E15D51">
      <w:pPr>
        <w:jc w:val="center"/>
      </w:pPr>
      <w:r>
        <w:rPr>
          <w:rFonts w:ascii="Arial" w:eastAsia="宋体" w:hAnsi="Arial" w:cs="Arial"/>
          <w:b/>
          <w:bCs/>
          <w:color w:val="000000"/>
          <w:sz w:val="20"/>
          <w:szCs w:val="20"/>
        </w:rPr>
        <w:t>The Boeing Company and Subsidiaries</w:t>
      </w:r>
    </w:p>
    <w:p w14:paraId="4090DB2A" w14:textId="77777777" w:rsidR="00833634" w:rsidRDefault="00E15D51">
      <w:pPr>
        <w:jc w:val="center"/>
      </w:pPr>
      <w:r>
        <w:rPr>
          <w:rFonts w:ascii="Arial" w:eastAsia="宋体" w:hAnsi="Arial" w:cs="Arial"/>
          <w:b/>
          <w:bCs/>
          <w:color w:val="000000"/>
          <w:sz w:val="20"/>
          <w:szCs w:val="20"/>
        </w:rPr>
        <w:t xml:space="preserve">Condensed Consolidated </w:t>
      </w:r>
      <w:r>
        <w:rPr>
          <w:rFonts w:ascii="Arial" w:eastAsia="宋体" w:hAnsi="Arial" w:cs="Arial"/>
          <w:b/>
          <w:bCs/>
          <w:color w:val="000000"/>
          <w:sz w:val="20"/>
          <w:szCs w:val="20"/>
        </w:rPr>
        <w:t>Statements of Financial Position</w:t>
      </w:r>
    </w:p>
    <w:p w14:paraId="4090DB2B" w14:textId="77777777" w:rsidR="00833634" w:rsidRDefault="00E15D51">
      <w:pPr>
        <w:spacing w:after="120"/>
        <w:jc w:val="center"/>
      </w:pPr>
      <w:r>
        <w:rPr>
          <w:rFonts w:ascii="Arial" w:eastAsia="宋体" w:hAnsi="Arial" w:cs="Arial"/>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62"/>
        <w:gridCol w:w="5486"/>
        <w:gridCol w:w="41"/>
        <w:gridCol w:w="68"/>
        <w:gridCol w:w="1218"/>
        <w:gridCol w:w="36"/>
        <w:gridCol w:w="36"/>
        <w:gridCol w:w="36"/>
        <w:gridCol w:w="36"/>
        <w:gridCol w:w="61"/>
        <w:gridCol w:w="1220"/>
        <w:gridCol w:w="36"/>
      </w:tblGrid>
      <w:tr w:rsidR="00833634" w14:paraId="4090DB38" w14:textId="77777777">
        <w:tc>
          <w:tcPr>
            <w:tcW w:w="50" w:type="pct"/>
            <w:shd w:val="clear" w:color="auto" w:fill="auto"/>
          </w:tcPr>
          <w:p w14:paraId="4090DB2C" w14:textId="77777777" w:rsidR="00833634" w:rsidRDefault="00833634">
            <w:pPr>
              <w:rPr>
                <w:rFonts w:ascii="宋体"/>
              </w:rPr>
            </w:pPr>
          </w:p>
        </w:tc>
        <w:tc>
          <w:tcPr>
            <w:tcW w:w="3302" w:type="pct"/>
            <w:shd w:val="clear" w:color="auto" w:fill="auto"/>
          </w:tcPr>
          <w:p w14:paraId="4090DB2D" w14:textId="77777777" w:rsidR="00833634" w:rsidRDefault="00833634">
            <w:pPr>
              <w:rPr>
                <w:rFonts w:ascii="宋体"/>
              </w:rPr>
            </w:pPr>
          </w:p>
        </w:tc>
        <w:tc>
          <w:tcPr>
            <w:tcW w:w="5" w:type="pct"/>
            <w:shd w:val="clear" w:color="auto" w:fill="auto"/>
          </w:tcPr>
          <w:p w14:paraId="4090DB2E" w14:textId="77777777" w:rsidR="00833634" w:rsidRDefault="00833634">
            <w:pPr>
              <w:rPr>
                <w:rFonts w:ascii="宋体"/>
              </w:rPr>
            </w:pPr>
          </w:p>
        </w:tc>
        <w:tc>
          <w:tcPr>
            <w:tcW w:w="50" w:type="pct"/>
            <w:shd w:val="clear" w:color="auto" w:fill="auto"/>
          </w:tcPr>
          <w:p w14:paraId="4090DB2F" w14:textId="77777777" w:rsidR="00833634" w:rsidRDefault="00833634">
            <w:pPr>
              <w:rPr>
                <w:rFonts w:ascii="宋体"/>
              </w:rPr>
            </w:pPr>
          </w:p>
        </w:tc>
        <w:tc>
          <w:tcPr>
            <w:tcW w:w="746" w:type="pct"/>
            <w:shd w:val="clear" w:color="auto" w:fill="auto"/>
          </w:tcPr>
          <w:p w14:paraId="4090DB30" w14:textId="77777777" w:rsidR="00833634" w:rsidRDefault="00833634">
            <w:pPr>
              <w:rPr>
                <w:rFonts w:ascii="宋体"/>
              </w:rPr>
            </w:pPr>
          </w:p>
        </w:tc>
        <w:tc>
          <w:tcPr>
            <w:tcW w:w="5" w:type="pct"/>
            <w:shd w:val="clear" w:color="auto" w:fill="auto"/>
          </w:tcPr>
          <w:p w14:paraId="4090DB31" w14:textId="77777777" w:rsidR="00833634" w:rsidRDefault="00833634">
            <w:pPr>
              <w:rPr>
                <w:rFonts w:ascii="宋体"/>
              </w:rPr>
            </w:pPr>
          </w:p>
        </w:tc>
        <w:tc>
          <w:tcPr>
            <w:tcW w:w="5" w:type="pct"/>
            <w:shd w:val="clear" w:color="auto" w:fill="auto"/>
          </w:tcPr>
          <w:p w14:paraId="4090DB32" w14:textId="77777777" w:rsidR="00833634" w:rsidRDefault="00833634">
            <w:pPr>
              <w:rPr>
                <w:rFonts w:ascii="宋体"/>
              </w:rPr>
            </w:pPr>
          </w:p>
        </w:tc>
        <w:tc>
          <w:tcPr>
            <w:tcW w:w="30" w:type="pct"/>
            <w:shd w:val="clear" w:color="auto" w:fill="auto"/>
          </w:tcPr>
          <w:p w14:paraId="4090DB33" w14:textId="77777777" w:rsidR="00833634" w:rsidRDefault="00833634">
            <w:pPr>
              <w:rPr>
                <w:rFonts w:ascii="宋体"/>
              </w:rPr>
            </w:pPr>
          </w:p>
        </w:tc>
        <w:tc>
          <w:tcPr>
            <w:tcW w:w="5" w:type="pct"/>
            <w:shd w:val="clear" w:color="auto" w:fill="auto"/>
          </w:tcPr>
          <w:p w14:paraId="4090DB34" w14:textId="77777777" w:rsidR="00833634" w:rsidRDefault="00833634">
            <w:pPr>
              <w:rPr>
                <w:rFonts w:ascii="宋体"/>
              </w:rPr>
            </w:pPr>
          </w:p>
        </w:tc>
        <w:tc>
          <w:tcPr>
            <w:tcW w:w="50" w:type="pct"/>
            <w:shd w:val="clear" w:color="auto" w:fill="auto"/>
          </w:tcPr>
          <w:p w14:paraId="4090DB35" w14:textId="77777777" w:rsidR="00833634" w:rsidRDefault="00833634">
            <w:pPr>
              <w:rPr>
                <w:rFonts w:ascii="宋体"/>
              </w:rPr>
            </w:pPr>
          </w:p>
        </w:tc>
        <w:tc>
          <w:tcPr>
            <w:tcW w:w="746" w:type="pct"/>
            <w:shd w:val="clear" w:color="auto" w:fill="auto"/>
          </w:tcPr>
          <w:p w14:paraId="4090DB36" w14:textId="77777777" w:rsidR="00833634" w:rsidRDefault="00833634">
            <w:pPr>
              <w:rPr>
                <w:rFonts w:ascii="宋体"/>
              </w:rPr>
            </w:pPr>
          </w:p>
        </w:tc>
        <w:tc>
          <w:tcPr>
            <w:tcW w:w="5" w:type="pct"/>
            <w:shd w:val="clear" w:color="auto" w:fill="auto"/>
          </w:tcPr>
          <w:p w14:paraId="4090DB37" w14:textId="77777777" w:rsidR="00833634" w:rsidRDefault="00833634">
            <w:pPr>
              <w:rPr>
                <w:rFonts w:ascii="宋体"/>
              </w:rPr>
            </w:pPr>
          </w:p>
        </w:tc>
      </w:tr>
      <w:tr w:rsidR="00833634" w14:paraId="4090DB3D" w14:textId="77777777">
        <w:tc>
          <w:tcPr>
            <w:tcW w:w="0" w:type="auto"/>
            <w:gridSpan w:val="3"/>
            <w:shd w:val="clear" w:color="auto" w:fill="auto"/>
            <w:tcMar>
              <w:top w:w="40" w:type="dxa"/>
              <w:left w:w="20" w:type="dxa"/>
              <w:bottom w:w="40" w:type="dxa"/>
              <w:right w:w="20" w:type="dxa"/>
            </w:tcMar>
            <w:vAlign w:val="bottom"/>
          </w:tcPr>
          <w:p w14:paraId="4090DB39" w14:textId="77777777" w:rsidR="00833634" w:rsidRDefault="00E15D51">
            <w:pPr>
              <w:textAlignment w:val="bottom"/>
            </w:pPr>
            <w:r>
              <w:rPr>
                <w:rFonts w:ascii="Arial" w:eastAsia="宋体" w:hAnsi="Arial" w:cs="Arial"/>
                <w:i/>
                <w:iCs/>
                <w:color w:val="000000"/>
                <w:sz w:val="20"/>
                <w:szCs w:val="20"/>
              </w:rPr>
              <w:t>(Dollars in millions, except per share data)</w:t>
            </w:r>
          </w:p>
        </w:tc>
        <w:tc>
          <w:tcPr>
            <w:tcW w:w="0" w:type="auto"/>
            <w:gridSpan w:val="3"/>
            <w:shd w:val="clear" w:color="auto" w:fill="auto"/>
            <w:tcMar>
              <w:top w:w="40" w:type="dxa"/>
              <w:left w:w="20" w:type="dxa"/>
              <w:bottom w:w="40" w:type="dxa"/>
              <w:right w:w="20" w:type="dxa"/>
            </w:tcMar>
            <w:vAlign w:val="bottom"/>
          </w:tcPr>
          <w:p w14:paraId="4090DB3A" w14:textId="77777777" w:rsidR="00833634" w:rsidRDefault="00E15D51">
            <w:pPr>
              <w:jc w:val="right"/>
              <w:textAlignment w:val="bottom"/>
            </w:pPr>
            <w:r>
              <w:rPr>
                <w:rFonts w:ascii="Arial" w:eastAsia="宋体" w:hAnsi="Arial" w:cs="Arial"/>
                <w:b/>
                <w:bCs/>
                <w:color w:val="000000"/>
                <w:sz w:val="20"/>
                <w:szCs w:val="20"/>
              </w:rPr>
              <w:t>September 30</w:t>
            </w:r>
            <w:r>
              <w:rPr>
                <w:rFonts w:ascii="Arial" w:eastAsia="宋体" w:hAnsi="Arial" w:cs="Arial"/>
                <w:b/>
                <w:bCs/>
                <w:color w:val="000000"/>
                <w:sz w:val="20"/>
                <w:szCs w:val="20"/>
              </w:rPr>
              <w:br/>
              <w:t>2020</w:t>
            </w:r>
          </w:p>
        </w:tc>
        <w:tc>
          <w:tcPr>
            <w:tcW w:w="0" w:type="auto"/>
            <w:gridSpan w:val="3"/>
            <w:shd w:val="clear" w:color="auto" w:fill="auto"/>
            <w:tcMar>
              <w:top w:w="0" w:type="dxa"/>
              <w:left w:w="20" w:type="dxa"/>
              <w:bottom w:w="0" w:type="dxa"/>
              <w:right w:w="20" w:type="dxa"/>
            </w:tcMar>
          </w:tcPr>
          <w:p w14:paraId="4090DB3B"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DB3C" w14:textId="77777777" w:rsidR="00833634" w:rsidRDefault="00E15D51">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2019</w:t>
            </w:r>
          </w:p>
        </w:tc>
      </w:tr>
      <w:tr w:rsidR="00833634" w14:paraId="4090DB42"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B3E" w14:textId="77777777" w:rsidR="00833634" w:rsidRDefault="00E15D51">
            <w:pPr>
              <w:textAlignment w:val="bottom"/>
            </w:pPr>
            <w:r>
              <w:rPr>
                <w:rFonts w:ascii="Arial" w:eastAsia="宋体"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4090DB3F"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B40"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B41" w14:textId="77777777" w:rsidR="00833634" w:rsidRDefault="00833634">
            <w:pPr>
              <w:rPr>
                <w:rFonts w:ascii="宋体"/>
              </w:rPr>
            </w:pPr>
          </w:p>
        </w:tc>
      </w:tr>
      <w:tr w:rsidR="00833634" w14:paraId="4090DB49" w14:textId="77777777">
        <w:tc>
          <w:tcPr>
            <w:tcW w:w="0" w:type="auto"/>
            <w:gridSpan w:val="3"/>
            <w:shd w:val="clear" w:color="auto" w:fill="FFFFFF"/>
            <w:tcMar>
              <w:top w:w="40" w:type="dxa"/>
              <w:left w:w="20" w:type="dxa"/>
              <w:bottom w:w="40" w:type="dxa"/>
              <w:right w:w="20" w:type="dxa"/>
            </w:tcMar>
            <w:vAlign w:val="bottom"/>
          </w:tcPr>
          <w:p w14:paraId="4090DB43" w14:textId="77777777" w:rsidR="00833634" w:rsidRDefault="00E15D51">
            <w:pPr>
              <w:textAlignment w:val="bottom"/>
            </w:pPr>
            <w:r>
              <w:rPr>
                <w:rFonts w:ascii="Arial" w:eastAsia="宋体" w:hAnsi="Arial" w:cs="Arial"/>
                <w:color w:val="000000"/>
                <w:sz w:val="20"/>
                <w:szCs w:val="20"/>
              </w:rPr>
              <w:t>Cash and cash equivalents</w:t>
            </w:r>
          </w:p>
        </w:tc>
        <w:tc>
          <w:tcPr>
            <w:tcW w:w="0" w:type="auto"/>
            <w:gridSpan w:val="2"/>
            <w:shd w:val="clear" w:color="auto" w:fill="FFFFFF"/>
            <w:tcMar>
              <w:top w:w="40" w:type="dxa"/>
              <w:left w:w="20" w:type="dxa"/>
              <w:bottom w:w="40" w:type="dxa"/>
              <w:right w:w="0" w:type="dxa"/>
            </w:tcMar>
            <w:vAlign w:val="bottom"/>
          </w:tcPr>
          <w:p w14:paraId="4090DB44" w14:textId="77777777" w:rsidR="00833634" w:rsidRDefault="00E15D51">
            <w:pPr>
              <w:jc w:val="right"/>
              <w:textAlignment w:val="bottom"/>
            </w:pPr>
            <w:r>
              <w:rPr>
                <w:rFonts w:ascii="Arial" w:eastAsia="宋体" w:hAnsi="Arial" w:cs="Arial"/>
                <w:b/>
                <w:bCs/>
                <w:color w:val="000000"/>
                <w:sz w:val="20"/>
                <w:szCs w:val="20"/>
              </w:rPr>
              <w:t>$10,564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4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4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47" w14:textId="77777777" w:rsidR="00833634" w:rsidRDefault="00E15D51">
            <w:pPr>
              <w:jc w:val="right"/>
              <w:textAlignment w:val="bottom"/>
            </w:pPr>
            <w:r>
              <w:rPr>
                <w:rFonts w:ascii="Arial" w:eastAsia="宋体" w:hAnsi="Arial" w:cs="Arial"/>
                <w:color w:val="000000"/>
                <w:sz w:val="20"/>
                <w:szCs w:val="20"/>
              </w:rPr>
              <w:t>$9,485 </w:t>
            </w:r>
          </w:p>
        </w:tc>
        <w:tc>
          <w:tcPr>
            <w:tcW w:w="0" w:type="auto"/>
            <w:shd w:val="clear" w:color="auto" w:fill="FFFFFF"/>
            <w:tcMar>
              <w:top w:w="40" w:type="dxa"/>
              <w:left w:w="0" w:type="dxa"/>
              <w:bottom w:w="40" w:type="dxa"/>
              <w:right w:w="20" w:type="dxa"/>
            </w:tcMar>
            <w:vAlign w:val="bottom"/>
          </w:tcPr>
          <w:p w14:paraId="4090DB48" w14:textId="77777777" w:rsidR="00833634" w:rsidRDefault="00833634">
            <w:pPr>
              <w:jc w:val="right"/>
              <w:rPr>
                <w:rFonts w:ascii="宋体"/>
              </w:rPr>
            </w:pPr>
          </w:p>
        </w:tc>
      </w:tr>
      <w:tr w:rsidR="00833634" w14:paraId="4090DB50" w14:textId="77777777">
        <w:tc>
          <w:tcPr>
            <w:tcW w:w="0" w:type="auto"/>
            <w:gridSpan w:val="3"/>
            <w:shd w:val="clear" w:color="auto" w:fill="CCEEFF"/>
            <w:tcMar>
              <w:top w:w="40" w:type="dxa"/>
              <w:left w:w="20" w:type="dxa"/>
              <w:bottom w:w="40" w:type="dxa"/>
              <w:right w:w="20" w:type="dxa"/>
            </w:tcMar>
            <w:vAlign w:val="bottom"/>
          </w:tcPr>
          <w:p w14:paraId="4090DB4A" w14:textId="77777777" w:rsidR="00833634" w:rsidRDefault="00E15D51">
            <w:pPr>
              <w:textAlignment w:val="bottom"/>
            </w:pPr>
            <w:r>
              <w:rPr>
                <w:rFonts w:ascii="Arial" w:eastAsia="宋体" w:hAnsi="Arial" w:cs="Arial"/>
                <w:color w:val="000000"/>
                <w:sz w:val="20"/>
                <w:szCs w:val="20"/>
              </w:rPr>
              <w:t>Short-term and other investments</w:t>
            </w:r>
          </w:p>
        </w:tc>
        <w:tc>
          <w:tcPr>
            <w:tcW w:w="0" w:type="auto"/>
            <w:gridSpan w:val="2"/>
            <w:shd w:val="clear" w:color="auto" w:fill="CCEEFF"/>
            <w:tcMar>
              <w:top w:w="40" w:type="dxa"/>
              <w:left w:w="20" w:type="dxa"/>
              <w:bottom w:w="40" w:type="dxa"/>
              <w:right w:w="0" w:type="dxa"/>
            </w:tcMar>
            <w:vAlign w:val="bottom"/>
          </w:tcPr>
          <w:p w14:paraId="4090DB4B" w14:textId="77777777" w:rsidR="00833634" w:rsidRDefault="00E15D51">
            <w:pPr>
              <w:jc w:val="right"/>
              <w:textAlignment w:val="bottom"/>
            </w:pPr>
            <w:r>
              <w:rPr>
                <w:rFonts w:ascii="Arial" w:eastAsia="宋体" w:hAnsi="Arial" w:cs="Arial"/>
                <w:b/>
                <w:bCs/>
                <w:color w:val="000000"/>
                <w:sz w:val="20"/>
                <w:szCs w:val="20"/>
              </w:rPr>
              <w:t>16,552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4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4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4E" w14:textId="77777777" w:rsidR="00833634" w:rsidRDefault="00E15D51">
            <w:pPr>
              <w:jc w:val="right"/>
              <w:textAlignment w:val="bottom"/>
            </w:pPr>
            <w:r>
              <w:rPr>
                <w:rFonts w:ascii="Arial" w:eastAsia="宋体" w:hAnsi="Arial" w:cs="Arial"/>
                <w:color w:val="000000"/>
                <w:sz w:val="20"/>
                <w:szCs w:val="20"/>
              </w:rPr>
              <w:t>545 </w:t>
            </w:r>
          </w:p>
        </w:tc>
        <w:tc>
          <w:tcPr>
            <w:tcW w:w="0" w:type="auto"/>
            <w:shd w:val="clear" w:color="auto" w:fill="CCEEFF"/>
            <w:tcMar>
              <w:top w:w="40" w:type="dxa"/>
              <w:left w:w="0" w:type="dxa"/>
              <w:bottom w:w="40" w:type="dxa"/>
              <w:right w:w="20" w:type="dxa"/>
            </w:tcMar>
            <w:vAlign w:val="bottom"/>
          </w:tcPr>
          <w:p w14:paraId="4090DB4F" w14:textId="77777777" w:rsidR="00833634" w:rsidRDefault="00833634">
            <w:pPr>
              <w:jc w:val="right"/>
              <w:rPr>
                <w:rFonts w:ascii="宋体"/>
              </w:rPr>
            </w:pPr>
          </w:p>
        </w:tc>
      </w:tr>
      <w:tr w:rsidR="00833634" w14:paraId="4090DB57" w14:textId="77777777">
        <w:tc>
          <w:tcPr>
            <w:tcW w:w="0" w:type="auto"/>
            <w:gridSpan w:val="3"/>
            <w:shd w:val="clear" w:color="auto" w:fill="FFFFFF"/>
            <w:tcMar>
              <w:top w:w="40" w:type="dxa"/>
              <w:left w:w="20" w:type="dxa"/>
              <w:bottom w:w="40" w:type="dxa"/>
              <w:right w:w="20" w:type="dxa"/>
            </w:tcMar>
            <w:vAlign w:val="bottom"/>
          </w:tcPr>
          <w:p w14:paraId="4090DB51" w14:textId="77777777" w:rsidR="00833634" w:rsidRDefault="00E15D51">
            <w:pPr>
              <w:textAlignment w:val="bottom"/>
            </w:pPr>
            <w:r>
              <w:rPr>
                <w:rFonts w:ascii="Arial" w:eastAsia="宋体" w:hAnsi="Arial" w:cs="Arial"/>
                <w:color w:val="000000"/>
                <w:sz w:val="20"/>
                <w:szCs w:val="20"/>
              </w:rPr>
              <w:t>Accounts receivable, net</w:t>
            </w:r>
          </w:p>
        </w:tc>
        <w:tc>
          <w:tcPr>
            <w:tcW w:w="0" w:type="auto"/>
            <w:gridSpan w:val="2"/>
            <w:shd w:val="clear" w:color="auto" w:fill="FFFFFF"/>
            <w:tcMar>
              <w:top w:w="40" w:type="dxa"/>
              <w:left w:w="20" w:type="dxa"/>
              <w:bottom w:w="40" w:type="dxa"/>
              <w:right w:w="0" w:type="dxa"/>
            </w:tcMar>
            <w:vAlign w:val="bottom"/>
          </w:tcPr>
          <w:p w14:paraId="4090DB52" w14:textId="77777777" w:rsidR="00833634" w:rsidRDefault="00E15D51">
            <w:pPr>
              <w:jc w:val="right"/>
              <w:textAlignment w:val="bottom"/>
            </w:pPr>
            <w:r>
              <w:rPr>
                <w:rFonts w:ascii="Arial" w:eastAsia="宋体" w:hAnsi="Arial" w:cs="Arial"/>
                <w:b/>
                <w:bCs/>
                <w:color w:val="000000"/>
                <w:sz w:val="20"/>
                <w:szCs w:val="20"/>
              </w:rPr>
              <w:t>2,762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5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5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55" w14:textId="77777777" w:rsidR="00833634" w:rsidRDefault="00E15D51">
            <w:pPr>
              <w:jc w:val="right"/>
              <w:textAlignment w:val="bottom"/>
            </w:pPr>
            <w:r>
              <w:rPr>
                <w:rFonts w:ascii="Arial" w:eastAsia="宋体" w:hAnsi="Arial" w:cs="Arial"/>
                <w:color w:val="000000"/>
                <w:sz w:val="20"/>
                <w:szCs w:val="20"/>
              </w:rPr>
              <w:t>3,266 </w:t>
            </w:r>
          </w:p>
        </w:tc>
        <w:tc>
          <w:tcPr>
            <w:tcW w:w="0" w:type="auto"/>
            <w:shd w:val="clear" w:color="auto" w:fill="FFFFFF"/>
            <w:tcMar>
              <w:top w:w="40" w:type="dxa"/>
              <w:left w:w="0" w:type="dxa"/>
              <w:bottom w:w="40" w:type="dxa"/>
              <w:right w:w="20" w:type="dxa"/>
            </w:tcMar>
            <w:vAlign w:val="bottom"/>
          </w:tcPr>
          <w:p w14:paraId="4090DB56" w14:textId="77777777" w:rsidR="00833634" w:rsidRDefault="00833634">
            <w:pPr>
              <w:jc w:val="right"/>
              <w:rPr>
                <w:rFonts w:ascii="宋体"/>
              </w:rPr>
            </w:pPr>
          </w:p>
        </w:tc>
      </w:tr>
      <w:tr w:rsidR="00833634" w14:paraId="4090DB5E" w14:textId="77777777">
        <w:tc>
          <w:tcPr>
            <w:tcW w:w="0" w:type="auto"/>
            <w:gridSpan w:val="3"/>
            <w:shd w:val="clear" w:color="auto" w:fill="CCEEFF"/>
            <w:tcMar>
              <w:top w:w="40" w:type="dxa"/>
              <w:left w:w="20" w:type="dxa"/>
              <w:bottom w:w="40" w:type="dxa"/>
              <w:right w:w="20" w:type="dxa"/>
            </w:tcMar>
            <w:vAlign w:val="bottom"/>
          </w:tcPr>
          <w:p w14:paraId="4090DB58" w14:textId="77777777" w:rsidR="00833634" w:rsidRDefault="00E15D51">
            <w:pPr>
              <w:textAlignment w:val="bottom"/>
            </w:pPr>
            <w:r>
              <w:rPr>
                <w:rFonts w:ascii="Arial" w:eastAsia="宋体" w:hAnsi="Arial" w:cs="Arial"/>
                <w:color w:val="000000"/>
                <w:sz w:val="20"/>
                <w:szCs w:val="20"/>
              </w:rPr>
              <w:t>Unbilled receivables, net</w:t>
            </w:r>
          </w:p>
        </w:tc>
        <w:tc>
          <w:tcPr>
            <w:tcW w:w="0" w:type="auto"/>
            <w:gridSpan w:val="2"/>
            <w:shd w:val="clear" w:color="auto" w:fill="CCEEFF"/>
            <w:tcMar>
              <w:top w:w="40" w:type="dxa"/>
              <w:left w:w="20" w:type="dxa"/>
              <w:bottom w:w="40" w:type="dxa"/>
              <w:right w:w="0" w:type="dxa"/>
            </w:tcMar>
            <w:vAlign w:val="bottom"/>
          </w:tcPr>
          <w:p w14:paraId="4090DB59" w14:textId="77777777" w:rsidR="00833634" w:rsidRDefault="00E15D51">
            <w:pPr>
              <w:jc w:val="right"/>
              <w:textAlignment w:val="bottom"/>
            </w:pPr>
            <w:r>
              <w:rPr>
                <w:rFonts w:ascii="Arial" w:eastAsia="宋体" w:hAnsi="Arial" w:cs="Arial"/>
                <w:b/>
                <w:bCs/>
                <w:color w:val="000000"/>
                <w:sz w:val="20"/>
                <w:szCs w:val="20"/>
              </w:rPr>
              <w:t>8,860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5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5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5C" w14:textId="77777777" w:rsidR="00833634" w:rsidRDefault="00E15D51">
            <w:pPr>
              <w:jc w:val="right"/>
              <w:textAlignment w:val="bottom"/>
            </w:pPr>
            <w:r>
              <w:rPr>
                <w:rFonts w:ascii="Arial" w:eastAsia="宋体" w:hAnsi="Arial" w:cs="Arial"/>
                <w:color w:val="000000"/>
                <w:sz w:val="20"/>
                <w:szCs w:val="20"/>
              </w:rPr>
              <w:t>9,043 </w:t>
            </w:r>
          </w:p>
        </w:tc>
        <w:tc>
          <w:tcPr>
            <w:tcW w:w="0" w:type="auto"/>
            <w:shd w:val="clear" w:color="auto" w:fill="CCEEFF"/>
            <w:tcMar>
              <w:top w:w="40" w:type="dxa"/>
              <w:left w:w="0" w:type="dxa"/>
              <w:bottom w:w="40" w:type="dxa"/>
              <w:right w:w="20" w:type="dxa"/>
            </w:tcMar>
            <w:vAlign w:val="bottom"/>
          </w:tcPr>
          <w:p w14:paraId="4090DB5D" w14:textId="77777777" w:rsidR="00833634" w:rsidRDefault="00833634">
            <w:pPr>
              <w:jc w:val="right"/>
              <w:rPr>
                <w:rFonts w:ascii="宋体"/>
              </w:rPr>
            </w:pPr>
          </w:p>
        </w:tc>
      </w:tr>
      <w:tr w:rsidR="00833634" w14:paraId="4090DB65" w14:textId="77777777">
        <w:tc>
          <w:tcPr>
            <w:tcW w:w="0" w:type="auto"/>
            <w:gridSpan w:val="3"/>
            <w:shd w:val="clear" w:color="auto" w:fill="FFFFFF"/>
            <w:tcMar>
              <w:top w:w="40" w:type="dxa"/>
              <w:left w:w="20" w:type="dxa"/>
              <w:bottom w:w="40" w:type="dxa"/>
              <w:right w:w="20" w:type="dxa"/>
            </w:tcMar>
            <w:vAlign w:val="bottom"/>
          </w:tcPr>
          <w:p w14:paraId="4090DB5F" w14:textId="77777777" w:rsidR="00833634" w:rsidRDefault="00E15D51">
            <w:pPr>
              <w:textAlignment w:val="bottom"/>
            </w:pPr>
            <w:r>
              <w:rPr>
                <w:rFonts w:ascii="Arial" w:eastAsia="宋体" w:hAnsi="Arial" w:cs="Arial"/>
                <w:color w:val="000000"/>
                <w:sz w:val="20"/>
                <w:szCs w:val="20"/>
              </w:rPr>
              <w:t>Current portion of customer financing, net</w:t>
            </w:r>
          </w:p>
        </w:tc>
        <w:tc>
          <w:tcPr>
            <w:tcW w:w="0" w:type="auto"/>
            <w:gridSpan w:val="2"/>
            <w:shd w:val="clear" w:color="auto" w:fill="FFFFFF"/>
            <w:tcMar>
              <w:top w:w="40" w:type="dxa"/>
              <w:left w:w="20" w:type="dxa"/>
              <w:bottom w:w="40" w:type="dxa"/>
              <w:right w:w="0" w:type="dxa"/>
            </w:tcMar>
            <w:vAlign w:val="bottom"/>
          </w:tcPr>
          <w:p w14:paraId="4090DB60" w14:textId="77777777" w:rsidR="00833634" w:rsidRDefault="00E15D51">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6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6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63" w14:textId="77777777" w:rsidR="00833634" w:rsidRDefault="00E15D51">
            <w:pPr>
              <w:jc w:val="right"/>
              <w:textAlignment w:val="bottom"/>
            </w:pPr>
            <w:r>
              <w:rPr>
                <w:rFonts w:ascii="Arial" w:eastAsia="宋体" w:hAnsi="Arial" w:cs="Arial"/>
                <w:color w:val="000000"/>
                <w:sz w:val="20"/>
                <w:szCs w:val="20"/>
              </w:rPr>
              <w:t>162 </w:t>
            </w:r>
          </w:p>
        </w:tc>
        <w:tc>
          <w:tcPr>
            <w:tcW w:w="0" w:type="auto"/>
            <w:shd w:val="clear" w:color="auto" w:fill="FFFFFF"/>
            <w:tcMar>
              <w:top w:w="40" w:type="dxa"/>
              <w:left w:w="0" w:type="dxa"/>
              <w:bottom w:w="40" w:type="dxa"/>
              <w:right w:w="20" w:type="dxa"/>
            </w:tcMar>
            <w:vAlign w:val="bottom"/>
          </w:tcPr>
          <w:p w14:paraId="4090DB64" w14:textId="77777777" w:rsidR="00833634" w:rsidRDefault="00833634">
            <w:pPr>
              <w:jc w:val="right"/>
              <w:rPr>
                <w:rFonts w:ascii="宋体"/>
              </w:rPr>
            </w:pPr>
          </w:p>
        </w:tc>
      </w:tr>
      <w:tr w:rsidR="00833634" w14:paraId="4090DB6C" w14:textId="77777777">
        <w:tc>
          <w:tcPr>
            <w:tcW w:w="0" w:type="auto"/>
            <w:gridSpan w:val="3"/>
            <w:shd w:val="clear" w:color="auto" w:fill="CCEEFF"/>
            <w:tcMar>
              <w:top w:w="40" w:type="dxa"/>
              <w:left w:w="20" w:type="dxa"/>
              <w:bottom w:w="40" w:type="dxa"/>
              <w:right w:w="20" w:type="dxa"/>
            </w:tcMar>
            <w:vAlign w:val="bottom"/>
          </w:tcPr>
          <w:p w14:paraId="4090DB66" w14:textId="77777777" w:rsidR="00833634" w:rsidRDefault="00E15D51">
            <w:pPr>
              <w:textAlignment w:val="bottom"/>
            </w:pPr>
            <w:r>
              <w:rPr>
                <w:rFonts w:ascii="Arial" w:eastAsia="宋体" w:hAnsi="Arial" w:cs="Arial"/>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4090DB67" w14:textId="77777777" w:rsidR="00833634" w:rsidRDefault="00E15D51">
            <w:pPr>
              <w:jc w:val="right"/>
              <w:textAlignment w:val="bottom"/>
            </w:pPr>
            <w:r>
              <w:rPr>
                <w:rFonts w:ascii="Arial" w:eastAsia="宋体" w:hAnsi="Arial" w:cs="Arial"/>
                <w:b/>
                <w:bCs/>
                <w:color w:val="000000"/>
                <w:sz w:val="20"/>
                <w:szCs w:val="20"/>
              </w:rPr>
              <w:t>86,961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6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6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6A" w14:textId="77777777" w:rsidR="00833634" w:rsidRDefault="00E15D51">
            <w:pPr>
              <w:jc w:val="right"/>
              <w:textAlignment w:val="bottom"/>
            </w:pPr>
            <w:r>
              <w:rPr>
                <w:rFonts w:ascii="Arial" w:eastAsia="宋体" w:hAnsi="Arial" w:cs="Arial"/>
                <w:color w:val="000000"/>
                <w:sz w:val="20"/>
                <w:szCs w:val="20"/>
              </w:rPr>
              <w:t>76,622 </w:t>
            </w:r>
          </w:p>
        </w:tc>
        <w:tc>
          <w:tcPr>
            <w:tcW w:w="0" w:type="auto"/>
            <w:shd w:val="clear" w:color="auto" w:fill="CCEEFF"/>
            <w:tcMar>
              <w:top w:w="40" w:type="dxa"/>
              <w:left w:w="0" w:type="dxa"/>
              <w:bottom w:w="40" w:type="dxa"/>
              <w:right w:w="20" w:type="dxa"/>
            </w:tcMar>
            <w:vAlign w:val="bottom"/>
          </w:tcPr>
          <w:p w14:paraId="4090DB6B" w14:textId="77777777" w:rsidR="00833634" w:rsidRDefault="00833634">
            <w:pPr>
              <w:jc w:val="right"/>
              <w:rPr>
                <w:rFonts w:ascii="宋体"/>
              </w:rPr>
            </w:pPr>
          </w:p>
        </w:tc>
      </w:tr>
      <w:tr w:rsidR="00833634" w14:paraId="4090DB73" w14:textId="77777777">
        <w:tc>
          <w:tcPr>
            <w:tcW w:w="0" w:type="auto"/>
            <w:gridSpan w:val="3"/>
            <w:shd w:val="clear" w:color="auto" w:fill="FFFFFF"/>
            <w:tcMar>
              <w:top w:w="40" w:type="dxa"/>
              <w:left w:w="20" w:type="dxa"/>
              <w:bottom w:w="40" w:type="dxa"/>
              <w:right w:w="20" w:type="dxa"/>
            </w:tcMar>
            <w:vAlign w:val="bottom"/>
          </w:tcPr>
          <w:p w14:paraId="4090DB6D" w14:textId="77777777" w:rsidR="00833634" w:rsidRDefault="00E15D51">
            <w:pPr>
              <w:textAlignment w:val="bottom"/>
            </w:pPr>
            <w:r>
              <w:rPr>
                <w:rFonts w:ascii="Arial" w:eastAsia="宋体" w:hAnsi="Arial" w:cs="Arial"/>
                <w:color w:val="000000"/>
                <w:sz w:val="20"/>
                <w:szCs w:val="20"/>
              </w:rPr>
              <w:t>Other current assets, net</w:t>
            </w:r>
          </w:p>
        </w:tc>
        <w:tc>
          <w:tcPr>
            <w:tcW w:w="0" w:type="auto"/>
            <w:gridSpan w:val="2"/>
            <w:shd w:val="clear" w:color="auto" w:fill="FFFFFF"/>
            <w:tcMar>
              <w:top w:w="40" w:type="dxa"/>
              <w:left w:w="20" w:type="dxa"/>
              <w:bottom w:w="40" w:type="dxa"/>
              <w:right w:w="0" w:type="dxa"/>
            </w:tcMar>
            <w:vAlign w:val="bottom"/>
          </w:tcPr>
          <w:p w14:paraId="4090DB6E" w14:textId="77777777" w:rsidR="00833634" w:rsidRDefault="00E15D51">
            <w:pPr>
              <w:jc w:val="right"/>
              <w:textAlignment w:val="bottom"/>
            </w:pPr>
            <w:r>
              <w:rPr>
                <w:rFonts w:ascii="Arial" w:eastAsia="宋体" w:hAnsi="Arial" w:cs="Arial"/>
                <w:b/>
                <w:bCs/>
                <w:color w:val="000000"/>
                <w:sz w:val="20"/>
                <w:szCs w:val="20"/>
              </w:rPr>
              <w:t>5,213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6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7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71" w14:textId="77777777" w:rsidR="00833634" w:rsidRDefault="00E15D51">
            <w:pPr>
              <w:jc w:val="right"/>
              <w:textAlignment w:val="bottom"/>
            </w:pPr>
            <w:r>
              <w:rPr>
                <w:rFonts w:ascii="Arial" w:eastAsia="宋体" w:hAnsi="Arial" w:cs="Arial"/>
                <w:color w:val="000000"/>
                <w:sz w:val="20"/>
                <w:szCs w:val="20"/>
              </w:rPr>
              <w:t>3,106 </w:t>
            </w:r>
          </w:p>
        </w:tc>
        <w:tc>
          <w:tcPr>
            <w:tcW w:w="0" w:type="auto"/>
            <w:shd w:val="clear" w:color="auto" w:fill="FFFFFF"/>
            <w:tcMar>
              <w:top w:w="40" w:type="dxa"/>
              <w:left w:w="0" w:type="dxa"/>
              <w:bottom w:w="40" w:type="dxa"/>
              <w:right w:w="20" w:type="dxa"/>
            </w:tcMar>
            <w:vAlign w:val="bottom"/>
          </w:tcPr>
          <w:p w14:paraId="4090DB72" w14:textId="77777777" w:rsidR="00833634" w:rsidRDefault="00833634">
            <w:pPr>
              <w:jc w:val="right"/>
              <w:rPr>
                <w:rFonts w:ascii="宋体"/>
              </w:rPr>
            </w:pPr>
          </w:p>
        </w:tc>
      </w:tr>
      <w:tr w:rsidR="00833634" w14:paraId="4090DB7A" w14:textId="77777777">
        <w:tc>
          <w:tcPr>
            <w:tcW w:w="0" w:type="auto"/>
            <w:gridSpan w:val="3"/>
            <w:tcBorders>
              <w:top w:val="single" w:sz="8" w:space="0" w:color="000000"/>
            </w:tcBorders>
            <w:shd w:val="clear" w:color="auto" w:fill="CCEEFF"/>
            <w:tcMar>
              <w:top w:w="40" w:type="dxa"/>
              <w:left w:w="495" w:type="dxa"/>
              <w:bottom w:w="40" w:type="dxa"/>
              <w:right w:w="20" w:type="dxa"/>
            </w:tcMar>
            <w:vAlign w:val="bottom"/>
          </w:tcPr>
          <w:p w14:paraId="4090DB74" w14:textId="77777777" w:rsidR="00833634" w:rsidRDefault="00E15D51">
            <w:pPr>
              <w:textAlignment w:val="bottom"/>
            </w:pPr>
            <w:r>
              <w:rPr>
                <w:rFonts w:ascii="Arial" w:eastAsia="宋体" w:hAnsi="Arial" w:cs="Arial"/>
                <w:b/>
                <w:bCs/>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75" w14:textId="77777777" w:rsidR="00833634" w:rsidRDefault="00E15D51">
            <w:pPr>
              <w:jc w:val="right"/>
              <w:textAlignment w:val="bottom"/>
            </w:pPr>
            <w:r>
              <w:rPr>
                <w:rFonts w:ascii="Arial" w:eastAsia="宋体" w:hAnsi="Arial" w:cs="Arial"/>
                <w:b/>
                <w:bCs/>
                <w:color w:val="000000"/>
                <w:sz w:val="20"/>
                <w:szCs w:val="20"/>
              </w:rPr>
              <w:t>131,012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7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B7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78" w14:textId="77777777" w:rsidR="00833634" w:rsidRDefault="00E15D51">
            <w:pPr>
              <w:jc w:val="right"/>
              <w:textAlignment w:val="bottom"/>
            </w:pPr>
            <w:r>
              <w:rPr>
                <w:rFonts w:ascii="Arial" w:eastAsia="宋体" w:hAnsi="Arial" w:cs="Arial"/>
                <w:color w:val="000000"/>
                <w:sz w:val="20"/>
                <w:szCs w:val="20"/>
              </w:rPr>
              <w:t>102,229 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79" w14:textId="77777777" w:rsidR="00833634" w:rsidRDefault="00833634">
            <w:pPr>
              <w:jc w:val="right"/>
              <w:rPr>
                <w:rFonts w:ascii="宋体"/>
              </w:rPr>
            </w:pPr>
          </w:p>
        </w:tc>
      </w:tr>
      <w:tr w:rsidR="00833634" w14:paraId="4090DB81" w14:textId="77777777">
        <w:tc>
          <w:tcPr>
            <w:tcW w:w="0" w:type="auto"/>
            <w:gridSpan w:val="3"/>
            <w:shd w:val="clear" w:color="auto" w:fill="FFFFFF"/>
            <w:tcMar>
              <w:top w:w="40" w:type="dxa"/>
              <w:left w:w="20" w:type="dxa"/>
              <w:bottom w:w="40" w:type="dxa"/>
              <w:right w:w="20" w:type="dxa"/>
            </w:tcMar>
            <w:vAlign w:val="bottom"/>
          </w:tcPr>
          <w:p w14:paraId="4090DB7B" w14:textId="77777777" w:rsidR="00833634" w:rsidRDefault="00E15D51">
            <w:pPr>
              <w:textAlignment w:val="bottom"/>
            </w:pPr>
            <w:r>
              <w:rPr>
                <w:rFonts w:ascii="Arial" w:eastAsia="宋体" w:hAnsi="Arial" w:cs="Arial"/>
                <w:color w:val="000000"/>
                <w:sz w:val="20"/>
                <w:szCs w:val="20"/>
              </w:rPr>
              <w:t>Customer financing, net</w:t>
            </w:r>
          </w:p>
        </w:tc>
        <w:tc>
          <w:tcPr>
            <w:tcW w:w="0" w:type="auto"/>
            <w:gridSpan w:val="2"/>
            <w:shd w:val="clear" w:color="auto" w:fill="FFFFFF"/>
            <w:tcMar>
              <w:top w:w="40" w:type="dxa"/>
              <w:left w:w="20" w:type="dxa"/>
              <w:bottom w:w="40" w:type="dxa"/>
              <w:right w:w="0" w:type="dxa"/>
            </w:tcMar>
            <w:vAlign w:val="bottom"/>
          </w:tcPr>
          <w:p w14:paraId="4090DB7C" w14:textId="77777777" w:rsidR="00833634" w:rsidRDefault="00E15D51">
            <w:pPr>
              <w:jc w:val="right"/>
              <w:textAlignment w:val="bottom"/>
            </w:pPr>
            <w:r>
              <w:rPr>
                <w:rFonts w:ascii="Arial" w:eastAsia="宋体" w:hAnsi="Arial" w:cs="Arial"/>
                <w:b/>
                <w:bCs/>
                <w:color w:val="000000"/>
                <w:sz w:val="20"/>
                <w:szCs w:val="20"/>
              </w:rPr>
              <w:t>2,010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7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7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7F" w14:textId="77777777" w:rsidR="00833634" w:rsidRDefault="00E15D51">
            <w:pPr>
              <w:jc w:val="right"/>
              <w:textAlignment w:val="bottom"/>
            </w:pPr>
            <w:r>
              <w:rPr>
                <w:rFonts w:ascii="Arial" w:eastAsia="宋体" w:hAnsi="Arial" w:cs="Arial"/>
                <w:color w:val="000000"/>
                <w:sz w:val="20"/>
                <w:szCs w:val="20"/>
              </w:rPr>
              <w:t>2,136 </w:t>
            </w:r>
          </w:p>
        </w:tc>
        <w:tc>
          <w:tcPr>
            <w:tcW w:w="0" w:type="auto"/>
            <w:shd w:val="clear" w:color="auto" w:fill="FFFFFF"/>
            <w:tcMar>
              <w:top w:w="40" w:type="dxa"/>
              <w:left w:w="0" w:type="dxa"/>
              <w:bottom w:w="40" w:type="dxa"/>
              <w:right w:w="20" w:type="dxa"/>
            </w:tcMar>
            <w:vAlign w:val="bottom"/>
          </w:tcPr>
          <w:p w14:paraId="4090DB80" w14:textId="77777777" w:rsidR="00833634" w:rsidRDefault="00833634">
            <w:pPr>
              <w:jc w:val="right"/>
              <w:rPr>
                <w:rFonts w:ascii="宋体"/>
              </w:rPr>
            </w:pPr>
          </w:p>
        </w:tc>
      </w:tr>
      <w:tr w:rsidR="00833634" w14:paraId="4090DB88" w14:textId="77777777">
        <w:tc>
          <w:tcPr>
            <w:tcW w:w="0" w:type="auto"/>
            <w:gridSpan w:val="3"/>
            <w:shd w:val="clear" w:color="auto" w:fill="CCEEFF"/>
            <w:tcMar>
              <w:top w:w="40" w:type="dxa"/>
              <w:left w:w="20" w:type="dxa"/>
              <w:bottom w:w="40" w:type="dxa"/>
              <w:right w:w="20" w:type="dxa"/>
            </w:tcMar>
            <w:vAlign w:val="bottom"/>
          </w:tcPr>
          <w:p w14:paraId="4090DB82" w14:textId="77777777" w:rsidR="00833634" w:rsidRDefault="00E15D51">
            <w:pPr>
              <w:ind w:hanging="180"/>
              <w:textAlignment w:val="bottom"/>
            </w:pPr>
            <w:r>
              <w:rPr>
                <w:rFonts w:ascii="Arial" w:eastAsia="宋体" w:hAnsi="Arial" w:cs="Arial"/>
                <w:color w:val="000000"/>
                <w:sz w:val="20"/>
                <w:szCs w:val="20"/>
              </w:rPr>
              <w:t>Property, plant and equipment, net of accumulated depreciation of $20,241 and $19,342</w:t>
            </w:r>
          </w:p>
        </w:tc>
        <w:tc>
          <w:tcPr>
            <w:tcW w:w="0" w:type="auto"/>
            <w:gridSpan w:val="2"/>
            <w:shd w:val="clear" w:color="auto" w:fill="CCEEFF"/>
            <w:tcMar>
              <w:top w:w="40" w:type="dxa"/>
              <w:left w:w="20" w:type="dxa"/>
              <w:bottom w:w="40" w:type="dxa"/>
              <w:right w:w="0" w:type="dxa"/>
            </w:tcMar>
            <w:vAlign w:val="bottom"/>
          </w:tcPr>
          <w:p w14:paraId="4090DB83" w14:textId="77777777" w:rsidR="00833634" w:rsidRDefault="00E15D51">
            <w:pPr>
              <w:jc w:val="right"/>
              <w:textAlignment w:val="bottom"/>
            </w:pPr>
            <w:r>
              <w:rPr>
                <w:rFonts w:ascii="Arial" w:eastAsia="宋体" w:hAnsi="Arial" w:cs="Arial"/>
                <w:b/>
                <w:bCs/>
                <w:color w:val="000000"/>
                <w:sz w:val="20"/>
                <w:szCs w:val="20"/>
              </w:rPr>
              <w:t>11,969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8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8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86" w14:textId="77777777" w:rsidR="00833634" w:rsidRDefault="00E15D51">
            <w:pPr>
              <w:jc w:val="right"/>
              <w:textAlignment w:val="bottom"/>
            </w:pPr>
            <w:r>
              <w:rPr>
                <w:rFonts w:ascii="Arial" w:eastAsia="宋体" w:hAnsi="Arial" w:cs="Arial"/>
                <w:color w:val="000000"/>
                <w:sz w:val="20"/>
                <w:szCs w:val="20"/>
              </w:rPr>
              <w:t>12,502 </w:t>
            </w:r>
          </w:p>
        </w:tc>
        <w:tc>
          <w:tcPr>
            <w:tcW w:w="0" w:type="auto"/>
            <w:shd w:val="clear" w:color="auto" w:fill="CCEEFF"/>
            <w:tcMar>
              <w:top w:w="40" w:type="dxa"/>
              <w:left w:w="0" w:type="dxa"/>
              <w:bottom w:w="40" w:type="dxa"/>
              <w:right w:w="20" w:type="dxa"/>
            </w:tcMar>
            <w:vAlign w:val="bottom"/>
          </w:tcPr>
          <w:p w14:paraId="4090DB87" w14:textId="77777777" w:rsidR="00833634" w:rsidRDefault="00833634">
            <w:pPr>
              <w:jc w:val="right"/>
              <w:rPr>
                <w:rFonts w:ascii="宋体"/>
              </w:rPr>
            </w:pPr>
          </w:p>
        </w:tc>
      </w:tr>
      <w:tr w:rsidR="00833634" w14:paraId="4090DB8F" w14:textId="77777777">
        <w:tc>
          <w:tcPr>
            <w:tcW w:w="0" w:type="auto"/>
            <w:gridSpan w:val="3"/>
            <w:shd w:val="clear" w:color="auto" w:fill="FFFFFF"/>
            <w:tcMar>
              <w:top w:w="40" w:type="dxa"/>
              <w:left w:w="20" w:type="dxa"/>
              <w:bottom w:w="40" w:type="dxa"/>
              <w:right w:w="20" w:type="dxa"/>
            </w:tcMar>
            <w:vAlign w:val="bottom"/>
          </w:tcPr>
          <w:p w14:paraId="4090DB89" w14:textId="77777777" w:rsidR="00833634" w:rsidRDefault="00E15D51">
            <w:pPr>
              <w:textAlignment w:val="bottom"/>
            </w:pPr>
            <w:r>
              <w:rPr>
                <w:rFonts w:ascii="Arial" w:eastAsia="宋体" w:hAnsi="Arial" w:cs="Arial"/>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4090DB8A" w14:textId="77777777" w:rsidR="00833634" w:rsidRDefault="00E15D51">
            <w:pPr>
              <w:jc w:val="right"/>
              <w:textAlignment w:val="bottom"/>
            </w:pPr>
            <w:r>
              <w:rPr>
                <w:rFonts w:ascii="Arial" w:eastAsia="宋体" w:hAnsi="Arial" w:cs="Arial"/>
                <w:b/>
                <w:bCs/>
                <w:color w:val="000000"/>
                <w:sz w:val="20"/>
                <w:szCs w:val="20"/>
              </w:rPr>
              <w:t>8,071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8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8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8D" w14:textId="77777777" w:rsidR="00833634" w:rsidRDefault="00E15D51">
            <w:pPr>
              <w:jc w:val="right"/>
              <w:textAlignment w:val="bottom"/>
            </w:pPr>
            <w:r>
              <w:rPr>
                <w:rFonts w:ascii="Arial" w:eastAsia="宋体" w:hAnsi="Arial" w:cs="Arial"/>
                <w:color w:val="000000"/>
                <w:sz w:val="20"/>
                <w:szCs w:val="20"/>
              </w:rPr>
              <w:t>8,060 </w:t>
            </w:r>
          </w:p>
        </w:tc>
        <w:tc>
          <w:tcPr>
            <w:tcW w:w="0" w:type="auto"/>
            <w:shd w:val="clear" w:color="auto" w:fill="FFFFFF"/>
            <w:tcMar>
              <w:top w:w="40" w:type="dxa"/>
              <w:left w:w="0" w:type="dxa"/>
              <w:bottom w:w="40" w:type="dxa"/>
              <w:right w:w="20" w:type="dxa"/>
            </w:tcMar>
            <w:vAlign w:val="bottom"/>
          </w:tcPr>
          <w:p w14:paraId="4090DB8E" w14:textId="77777777" w:rsidR="00833634" w:rsidRDefault="00833634">
            <w:pPr>
              <w:jc w:val="right"/>
              <w:rPr>
                <w:rFonts w:ascii="宋体"/>
              </w:rPr>
            </w:pPr>
          </w:p>
        </w:tc>
      </w:tr>
      <w:tr w:rsidR="00833634" w14:paraId="4090DB96" w14:textId="77777777">
        <w:tc>
          <w:tcPr>
            <w:tcW w:w="0" w:type="auto"/>
            <w:gridSpan w:val="3"/>
            <w:shd w:val="clear" w:color="auto" w:fill="CCEEFF"/>
            <w:tcMar>
              <w:top w:w="40" w:type="dxa"/>
              <w:left w:w="20" w:type="dxa"/>
              <w:bottom w:w="40" w:type="dxa"/>
              <w:right w:w="20" w:type="dxa"/>
            </w:tcMar>
            <w:vAlign w:val="bottom"/>
          </w:tcPr>
          <w:p w14:paraId="4090DB90" w14:textId="77777777" w:rsidR="00833634" w:rsidRDefault="00E15D51">
            <w:pPr>
              <w:textAlignment w:val="bottom"/>
            </w:pPr>
            <w:r>
              <w:rPr>
                <w:rFonts w:ascii="Arial" w:eastAsia="宋体" w:hAnsi="Arial" w:cs="Arial"/>
                <w:color w:val="000000"/>
                <w:sz w:val="20"/>
                <w:szCs w:val="20"/>
              </w:rPr>
              <w:t>Acquired intangible assets, net</w:t>
            </w:r>
          </w:p>
        </w:tc>
        <w:tc>
          <w:tcPr>
            <w:tcW w:w="0" w:type="auto"/>
            <w:gridSpan w:val="2"/>
            <w:shd w:val="clear" w:color="auto" w:fill="CCEEFF"/>
            <w:tcMar>
              <w:top w:w="40" w:type="dxa"/>
              <w:left w:w="20" w:type="dxa"/>
              <w:bottom w:w="40" w:type="dxa"/>
              <w:right w:w="0" w:type="dxa"/>
            </w:tcMar>
            <w:vAlign w:val="bottom"/>
          </w:tcPr>
          <w:p w14:paraId="4090DB91" w14:textId="77777777" w:rsidR="00833634" w:rsidRDefault="00E15D51">
            <w:pPr>
              <w:jc w:val="right"/>
              <w:textAlignment w:val="bottom"/>
            </w:pPr>
            <w:r>
              <w:rPr>
                <w:rFonts w:ascii="Arial" w:eastAsia="宋体" w:hAnsi="Arial" w:cs="Arial"/>
                <w:b/>
                <w:bCs/>
                <w:color w:val="000000"/>
                <w:sz w:val="20"/>
                <w:szCs w:val="20"/>
              </w:rPr>
              <w:t>2,941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9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9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94" w14:textId="77777777" w:rsidR="00833634" w:rsidRDefault="00E15D51">
            <w:pPr>
              <w:jc w:val="right"/>
              <w:textAlignment w:val="bottom"/>
            </w:pPr>
            <w:r>
              <w:rPr>
                <w:rFonts w:ascii="Arial" w:eastAsia="宋体" w:hAnsi="Arial" w:cs="Arial"/>
                <w:color w:val="000000"/>
                <w:sz w:val="20"/>
                <w:szCs w:val="20"/>
              </w:rPr>
              <w:t>3,338 </w:t>
            </w:r>
          </w:p>
        </w:tc>
        <w:tc>
          <w:tcPr>
            <w:tcW w:w="0" w:type="auto"/>
            <w:shd w:val="clear" w:color="auto" w:fill="CCEEFF"/>
            <w:tcMar>
              <w:top w:w="40" w:type="dxa"/>
              <w:left w:w="0" w:type="dxa"/>
              <w:bottom w:w="40" w:type="dxa"/>
              <w:right w:w="20" w:type="dxa"/>
            </w:tcMar>
            <w:vAlign w:val="bottom"/>
          </w:tcPr>
          <w:p w14:paraId="4090DB95" w14:textId="77777777" w:rsidR="00833634" w:rsidRDefault="00833634">
            <w:pPr>
              <w:jc w:val="right"/>
              <w:rPr>
                <w:rFonts w:ascii="宋体"/>
              </w:rPr>
            </w:pPr>
          </w:p>
        </w:tc>
      </w:tr>
      <w:tr w:rsidR="00833634" w14:paraId="4090DB9D" w14:textId="77777777">
        <w:tc>
          <w:tcPr>
            <w:tcW w:w="0" w:type="auto"/>
            <w:gridSpan w:val="3"/>
            <w:shd w:val="clear" w:color="auto" w:fill="FFFFFF"/>
            <w:tcMar>
              <w:top w:w="40" w:type="dxa"/>
              <w:left w:w="20" w:type="dxa"/>
              <w:bottom w:w="40" w:type="dxa"/>
              <w:right w:w="20" w:type="dxa"/>
            </w:tcMar>
            <w:vAlign w:val="bottom"/>
          </w:tcPr>
          <w:p w14:paraId="4090DB97" w14:textId="77777777" w:rsidR="00833634" w:rsidRDefault="00E15D51">
            <w:pPr>
              <w:textAlignment w:val="bottom"/>
            </w:pPr>
            <w:r>
              <w:rPr>
                <w:rFonts w:ascii="Arial" w:eastAsia="宋体" w:hAnsi="Arial" w:cs="Arial"/>
                <w:color w:val="000000"/>
                <w:sz w:val="20"/>
                <w:szCs w:val="20"/>
              </w:rPr>
              <w:t xml:space="preserve">Deferred </w:t>
            </w:r>
            <w:r>
              <w:rPr>
                <w:rFonts w:ascii="Arial" w:eastAsia="宋体" w:hAnsi="Arial" w:cs="Arial"/>
                <w:color w:val="000000"/>
                <w:sz w:val="20"/>
                <w:szCs w:val="20"/>
              </w:rPr>
              <w:t>income taxes</w:t>
            </w:r>
          </w:p>
        </w:tc>
        <w:tc>
          <w:tcPr>
            <w:tcW w:w="0" w:type="auto"/>
            <w:gridSpan w:val="2"/>
            <w:shd w:val="clear" w:color="auto" w:fill="FFFFFF"/>
            <w:tcMar>
              <w:top w:w="40" w:type="dxa"/>
              <w:left w:w="20" w:type="dxa"/>
              <w:bottom w:w="40" w:type="dxa"/>
              <w:right w:w="0" w:type="dxa"/>
            </w:tcMar>
            <w:vAlign w:val="bottom"/>
          </w:tcPr>
          <w:p w14:paraId="4090DB98" w14:textId="77777777" w:rsidR="00833634" w:rsidRDefault="00E15D51">
            <w:pPr>
              <w:jc w:val="right"/>
              <w:textAlignment w:val="bottom"/>
            </w:pPr>
            <w:r>
              <w:rPr>
                <w:rFonts w:ascii="Arial" w:eastAsia="宋体" w:hAnsi="Arial" w:cs="Arial"/>
                <w:b/>
                <w:bCs/>
                <w:color w:val="000000"/>
                <w:sz w:val="20"/>
                <w:szCs w:val="20"/>
              </w:rPr>
              <w:t>704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9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9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9B" w14:textId="77777777" w:rsidR="00833634" w:rsidRDefault="00E15D51">
            <w:pPr>
              <w:jc w:val="right"/>
              <w:textAlignment w:val="bottom"/>
            </w:pPr>
            <w:r>
              <w:rPr>
                <w:rFonts w:ascii="Arial" w:eastAsia="宋体" w:hAnsi="Arial" w:cs="Arial"/>
                <w:color w:val="000000"/>
                <w:sz w:val="20"/>
                <w:szCs w:val="20"/>
              </w:rPr>
              <w:t>683 </w:t>
            </w:r>
          </w:p>
        </w:tc>
        <w:tc>
          <w:tcPr>
            <w:tcW w:w="0" w:type="auto"/>
            <w:shd w:val="clear" w:color="auto" w:fill="FFFFFF"/>
            <w:tcMar>
              <w:top w:w="40" w:type="dxa"/>
              <w:left w:w="0" w:type="dxa"/>
              <w:bottom w:w="40" w:type="dxa"/>
              <w:right w:w="20" w:type="dxa"/>
            </w:tcMar>
            <w:vAlign w:val="bottom"/>
          </w:tcPr>
          <w:p w14:paraId="4090DB9C" w14:textId="77777777" w:rsidR="00833634" w:rsidRDefault="00833634">
            <w:pPr>
              <w:jc w:val="right"/>
              <w:rPr>
                <w:rFonts w:ascii="宋体"/>
              </w:rPr>
            </w:pPr>
          </w:p>
        </w:tc>
      </w:tr>
      <w:tr w:rsidR="00833634" w14:paraId="4090DBA4" w14:textId="77777777">
        <w:tc>
          <w:tcPr>
            <w:tcW w:w="0" w:type="auto"/>
            <w:gridSpan w:val="3"/>
            <w:shd w:val="clear" w:color="auto" w:fill="CCEEFF"/>
            <w:tcMar>
              <w:top w:w="40" w:type="dxa"/>
              <w:left w:w="20" w:type="dxa"/>
              <w:bottom w:w="40" w:type="dxa"/>
              <w:right w:w="20" w:type="dxa"/>
            </w:tcMar>
            <w:vAlign w:val="bottom"/>
          </w:tcPr>
          <w:p w14:paraId="4090DB9E" w14:textId="77777777" w:rsidR="00833634" w:rsidRDefault="00E15D51">
            <w:pPr>
              <w:textAlignment w:val="bottom"/>
            </w:pPr>
            <w:r>
              <w:rPr>
                <w:rFonts w:ascii="Arial" w:eastAsia="宋体" w:hAnsi="Arial" w:cs="Arial"/>
                <w:color w:val="000000"/>
                <w:sz w:val="20"/>
                <w:szCs w:val="20"/>
              </w:rPr>
              <w:t>Investments</w:t>
            </w:r>
          </w:p>
        </w:tc>
        <w:tc>
          <w:tcPr>
            <w:tcW w:w="0" w:type="auto"/>
            <w:gridSpan w:val="2"/>
            <w:shd w:val="clear" w:color="auto" w:fill="CCEEFF"/>
            <w:tcMar>
              <w:top w:w="40" w:type="dxa"/>
              <w:left w:w="20" w:type="dxa"/>
              <w:bottom w:w="40" w:type="dxa"/>
              <w:right w:w="0" w:type="dxa"/>
            </w:tcMar>
            <w:vAlign w:val="bottom"/>
          </w:tcPr>
          <w:p w14:paraId="4090DB9F" w14:textId="77777777" w:rsidR="00833634" w:rsidRDefault="00E15D51">
            <w:pPr>
              <w:jc w:val="right"/>
              <w:textAlignment w:val="bottom"/>
            </w:pPr>
            <w:r>
              <w:rPr>
                <w:rFonts w:ascii="Arial" w:eastAsia="宋体" w:hAnsi="Arial" w:cs="Arial"/>
                <w:b/>
                <w:bCs/>
                <w:color w:val="000000"/>
                <w:sz w:val="20"/>
                <w:szCs w:val="20"/>
              </w:rPr>
              <w:t>1,052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A0"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A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A2" w14:textId="77777777" w:rsidR="00833634" w:rsidRDefault="00E15D51">
            <w:pPr>
              <w:jc w:val="right"/>
              <w:textAlignment w:val="bottom"/>
            </w:pPr>
            <w:r>
              <w:rPr>
                <w:rFonts w:ascii="Arial" w:eastAsia="宋体" w:hAnsi="Arial" w:cs="Arial"/>
                <w:color w:val="000000"/>
                <w:sz w:val="20"/>
                <w:szCs w:val="20"/>
              </w:rPr>
              <w:t>1,092 </w:t>
            </w:r>
          </w:p>
        </w:tc>
        <w:tc>
          <w:tcPr>
            <w:tcW w:w="0" w:type="auto"/>
            <w:shd w:val="clear" w:color="auto" w:fill="CCEEFF"/>
            <w:tcMar>
              <w:top w:w="40" w:type="dxa"/>
              <w:left w:w="0" w:type="dxa"/>
              <w:bottom w:w="40" w:type="dxa"/>
              <w:right w:w="20" w:type="dxa"/>
            </w:tcMar>
            <w:vAlign w:val="bottom"/>
          </w:tcPr>
          <w:p w14:paraId="4090DBA3" w14:textId="77777777" w:rsidR="00833634" w:rsidRDefault="00833634">
            <w:pPr>
              <w:jc w:val="right"/>
              <w:rPr>
                <w:rFonts w:ascii="宋体"/>
              </w:rPr>
            </w:pPr>
          </w:p>
        </w:tc>
      </w:tr>
      <w:tr w:rsidR="00833634" w14:paraId="4090DBAB" w14:textId="77777777">
        <w:tc>
          <w:tcPr>
            <w:tcW w:w="0" w:type="auto"/>
            <w:gridSpan w:val="3"/>
            <w:shd w:val="clear" w:color="auto" w:fill="FFFFFF"/>
            <w:tcMar>
              <w:top w:w="40" w:type="dxa"/>
              <w:left w:w="20" w:type="dxa"/>
              <w:bottom w:w="40" w:type="dxa"/>
              <w:right w:w="20" w:type="dxa"/>
            </w:tcMar>
            <w:vAlign w:val="bottom"/>
          </w:tcPr>
          <w:p w14:paraId="4090DBA5" w14:textId="77777777" w:rsidR="00833634" w:rsidRDefault="00E15D51">
            <w:pPr>
              <w:textAlignment w:val="bottom"/>
            </w:pPr>
            <w:r>
              <w:rPr>
                <w:rFonts w:ascii="Arial" w:eastAsia="宋体" w:hAnsi="Arial" w:cs="Arial"/>
                <w:color w:val="000000"/>
                <w:sz w:val="20"/>
                <w:szCs w:val="20"/>
              </w:rPr>
              <w:t>Other assets, net of accumulated amortization of $671 and $580</w:t>
            </w:r>
          </w:p>
        </w:tc>
        <w:tc>
          <w:tcPr>
            <w:tcW w:w="0" w:type="auto"/>
            <w:gridSpan w:val="2"/>
            <w:shd w:val="clear" w:color="auto" w:fill="FFFFFF"/>
            <w:tcMar>
              <w:top w:w="40" w:type="dxa"/>
              <w:left w:w="20" w:type="dxa"/>
              <w:bottom w:w="40" w:type="dxa"/>
              <w:right w:w="0" w:type="dxa"/>
            </w:tcMar>
            <w:vAlign w:val="bottom"/>
          </w:tcPr>
          <w:p w14:paraId="4090DBA6" w14:textId="77777777" w:rsidR="00833634" w:rsidRDefault="00E15D51">
            <w:pPr>
              <w:jc w:val="right"/>
              <w:textAlignment w:val="bottom"/>
            </w:pPr>
            <w:r>
              <w:rPr>
                <w:rFonts w:ascii="Arial" w:eastAsia="宋体" w:hAnsi="Arial" w:cs="Arial"/>
                <w:b/>
                <w:bCs/>
                <w:color w:val="000000"/>
                <w:sz w:val="20"/>
                <w:szCs w:val="20"/>
              </w:rPr>
              <w:t>3,502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A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A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A9" w14:textId="77777777" w:rsidR="00833634" w:rsidRDefault="00E15D51">
            <w:pPr>
              <w:jc w:val="right"/>
              <w:textAlignment w:val="bottom"/>
            </w:pPr>
            <w:r>
              <w:rPr>
                <w:rFonts w:ascii="Arial" w:eastAsia="宋体" w:hAnsi="Arial" w:cs="Arial"/>
                <w:color w:val="000000"/>
                <w:sz w:val="20"/>
                <w:szCs w:val="20"/>
              </w:rPr>
              <w:t>3,585 </w:t>
            </w:r>
          </w:p>
        </w:tc>
        <w:tc>
          <w:tcPr>
            <w:tcW w:w="0" w:type="auto"/>
            <w:shd w:val="clear" w:color="auto" w:fill="FFFFFF"/>
            <w:tcMar>
              <w:top w:w="40" w:type="dxa"/>
              <w:left w:w="0" w:type="dxa"/>
              <w:bottom w:w="40" w:type="dxa"/>
              <w:right w:w="20" w:type="dxa"/>
            </w:tcMar>
            <w:vAlign w:val="bottom"/>
          </w:tcPr>
          <w:p w14:paraId="4090DBAA" w14:textId="77777777" w:rsidR="00833634" w:rsidRDefault="00833634">
            <w:pPr>
              <w:jc w:val="right"/>
              <w:rPr>
                <w:rFonts w:ascii="宋体"/>
              </w:rPr>
            </w:pPr>
          </w:p>
        </w:tc>
      </w:tr>
      <w:tr w:rsidR="00833634" w14:paraId="4090DBB2" w14:textId="77777777">
        <w:tc>
          <w:tcPr>
            <w:tcW w:w="0" w:type="auto"/>
            <w:gridSpan w:val="3"/>
            <w:tcBorders>
              <w:top w:val="single" w:sz="8" w:space="0" w:color="000000"/>
            </w:tcBorders>
            <w:shd w:val="clear" w:color="auto" w:fill="CCEEFF"/>
            <w:tcMar>
              <w:top w:w="40" w:type="dxa"/>
              <w:left w:w="495" w:type="dxa"/>
              <w:bottom w:w="40" w:type="dxa"/>
              <w:right w:w="20" w:type="dxa"/>
            </w:tcMar>
            <w:vAlign w:val="bottom"/>
          </w:tcPr>
          <w:p w14:paraId="4090DBAC" w14:textId="77777777" w:rsidR="00833634" w:rsidRDefault="00E15D51">
            <w:pPr>
              <w:textAlignment w:val="bottom"/>
            </w:pPr>
            <w:r>
              <w:rPr>
                <w:rFonts w:ascii="Arial" w:eastAsia="宋体" w:hAnsi="Arial" w:cs="Arial"/>
                <w:b/>
                <w:bCs/>
                <w:color w:val="000000"/>
                <w:sz w:val="20"/>
                <w:szCs w:val="20"/>
              </w:rPr>
              <w:t>Total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AD" w14:textId="77777777" w:rsidR="00833634" w:rsidRDefault="00E15D51">
            <w:pPr>
              <w:jc w:val="right"/>
              <w:textAlignment w:val="bottom"/>
            </w:pPr>
            <w:r>
              <w:rPr>
                <w:rFonts w:ascii="Arial" w:eastAsia="宋体" w:hAnsi="Arial" w:cs="Arial"/>
                <w:b/>
                <w:bCs/>
                <w:color w:val="000000"/>
                <w:sz w:val="20"/>
                <w:szCs w:val="20"/>
              </w:rPr>
              <w:t>$161,261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A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BA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B0" w14:textId="77777777" w:rsidR="00833634" w:rsidRDefault="00E15D51">
            <w:pPr>
              <w:jc w:val="right"/>
              <w:textAlignment w:val="bottom"/>
            </w:pPr>
            <w:r>
              <w:rPr>
                <w:rFonts w:ascii="Arial" w:eastAsia="宋体" w:hAnsi="Arial" w:cs="Arial"/>
                <w:color w:val="000000"/>
                <w:sz w:val="20"/>
                <w:szCs w:val="20"/>
              </w:rPr>
              <w:t>$133,625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B1" w14:textId="77777777" w:rsidR="00833634" w:rsidRDefault="00833634">
            <w:pPr>
              <w:jc w:val="right"/>
              <w:rPr>
                <w:rFonts w:ascii="宋体"/>
              </w:rPr>
            </w:pPr>
          </w:p>
        </w:tc>
      </w:tr>
      <w:tr w:rsidR="00833634" w14:paraId="4090DBB7" w14:textId="77777777">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4090DBB3" w14:textId="77777777" w:rsidR="00833634" w:rsidRDefault="00E15D51">
            <w:pPr>
              <w:textAlignment w:val="bottom"/>
            </w:pPr>
            <w:r>
              <w:rPr>
                <w:rFonts w:ascii="Arial" w:eastAsia="宋体" w:hAnsi="Arial" w:cs="Arial"/>
                <w:b/>
                <w:bCs/>
                <w:color w:val="000000"/>
                <w:sz w:val="20"/>
                <w:szCs w:val="20"/>
              </w:rPr>
              <w:t>Liabilities and equity</w:t>
            </w:r>
          </w:p>
        </w:tc>
        <w:tc>
          <w:tcPr>
            <w:tcW w:w="0" w:type="auto"/>
            <w:gridSpan w:val="3"/>
            <w:tcBorders>
              <w:top w:val="double" w:sz="6" w:space="0" w:color="000000"/>
            </w:tcBorders>
            <w:shd w:val="clear" w:color="auto" w:fill="FFFFFF"/>
            <w:tcMar>
              <w:top w:w="0" w:type="dxa"/>
              <w:left w:w="20" w:type="dxa"/>
              <w:bottom w:w="0" w:type="dxa"/>
              <w:right w:w="20" w:type="dxa"/>
            </w:tcMar>
          </w:tcPr>
          <w:p w14:paraId="4090DBB4"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BB5"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DBB6" w14:textId="77777777" w:rsidR="00833634" w:rsidRDefault="00833634">
            <w:pPr>
              <w:rPr>
                <w:rFonts w:ascii="宋体"/>
              </w:rPr>
            </w:pPr>
          </w:p>
        </w:tc>
      </w:tr>
      <w:tr w:rsidR="00833634" w14:paraId="4090DBBE" w14:textId="77777777">
        <w:tc>
          <w:tcPr>
            <w:tcW w:w="0" w:type="auto"/>
            <w:gridSpan w:val="3"/>
            <w:shd w:val="clear" w:color="auto" w:fill="CCEEFF"/>
            <w:tcMar>
              <w:top w:w="40" w:type="dxa"/>
              <w:left w:w="20" w:type="dxa"/>
              <w:bottom w:w="40" w:type="dxa"/>
              <w:right w:w="20" w:type="dxa"/>
            </w:tcMar>
            <w:vAlign w:val="bottom"/>
          </w:tcPr>
          <w:p w14:paraId="4090DBB8" w14:textId="77777777" w:rsidR="00833634" w:rsidRDefault="00E15D51">
            <w:pPr>
              <w:textAlignment w:val="bottom"/>
            </w:pPr>
            <w:r>
              <w:rPr>
                <w:rFonts w:ascii="Arial" w:eastAsia="宋体" w:hAnsi="Arial" w:cs="Arial"/>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4090DBB9" w14:textId="77777777" w:rsidR="00833634" w:rsidRDefault="00E15D51">
            <w:pPr>
              <w:jc w:val="right"/>
              <w:textAlignment w:val="bottom"/>
            </w:pPr>
            <w:r>
              <w:rPr>
                <w:rFonts w:ascii="Arial" w:eastAsia="宋体" w:hAnsi="Arial" w:cs="Arial"/>
                <w:b/>
                <w:bCs/>
                <w:color w:val="000000"/>
                <w:sz w:val="20"/>
                <w:szCs w:val="20"/>
              </w:rPr>
              <w:t>$14,479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B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B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BC" w14:textId="77777777" w:rsidR="00833634" w:rsidRDefault="00E15D51">
            <w:pPr>
              <w:jc w:val="right"/>
              <w:textAlignment w:val="bottom"/>
            </w:pPr>
            <w:r>
              <w:rPr>
                <w:rFonts w:ascii="Arial" w:eastAsia="宋体" w:hAnsi="Arial" w:cs="Arial"/>
                <w:color w:val="000000"/>
                <w:sz w:val="20"/>
                <w:szCs w:val="20"/>
              </w:rPr>
              <w:t>$15,553 </w:t>
            </w:r>
          </w:p>
        </w:tc>
        <w:tc>
          <w:tcPr>
            <w:tcW w:w="0" w:type="auto"/>
            <w:shd w:val="clear" w:color="auto" w:fill="CCEEFF"/>
            <w:tcMar>
              <w:top w:w="40" w:type="dxa"/>
              <w:left w:w="0" w:type="dxa"/>
              <w:bottom w:w="40" w:type="dxa"/>
              <w:right w:w="20" w:type="dxa"/>
            </w:tcMar>
            <w:vAlign w:val="bottom"/>
          </w:tcPr>
          <w:p w14:paraId="4090DBBD" w14:textId="77777777" w:rsidR="00833634" w:rsidRDefault="00833634">
            <w:pPr>
              <w:jc w:val="right"/>
              <w:rPr>
                <w:rFonts w:ascii="宋体"/>
              </w:rPr>
            </w:pPr>
          </w:p>
        </w:tc>
      </w:tr>
      <w:tr w:rsidR="00833634" w14:paraId="4090DBC5" w14:textId="77777777">
        <w:tc>
          <w:tcPr>
            <w:tcW w:w="0" w:type="auto"/>
            <w:gridSpan w:val="3"/>
            <w:shd w:val="clear" w:color="auto" w:fill="FFFFFF"/>
            <w:tcMar>
              <w:top w:w="40" w:type="dxa"/>
              <w:left w:w="20" w:type="dxa"/>
              <w:bottom w:w="40" w:type="dxa"/>
              <w:right w:w="20" w:type="dxa"/>
            </w:tcMar>
            <w:vAlign w:val="bottom"/>
          </w:tcPr>
          <w:p w14:paraId="4090DBBF" w14:textId="77777777" w:rsidR="00833634" w:rsidRDefault="00E15D51">
            <w:pPr>
              <w:textAlignment w:val="bottom"/>
            </w:pPr>
            <w:r>
              <w:rPr>
                <w:rFonts w:ascii="Arial" w:eastAsia="宋体" w:hAnsi="Arial" w:cs="Arial"/>
                <w:color w:val="000000"/>
                <w:sz w:val="20"/>
                <w:szCs w:val="20"/>
              </w:rPr>
              <w:t xml:space="preserve">Accrued </w:t>
            </w:r>
            <w:r>
              <w:rPr>
                <w:rFonts w:ascii="Arial" w:eastAsia="宋体" w:hAnsi="Arial" w:cs="Arial"/>
                <w:color w:val="000000"/>
                <w:sz w:val="20"/>
                <w:szCs w:val="20"/>
              </w:rPr>
              <w:t>liabilities</w:t>
            </w:r>
          </w:p>
        </w:tc>
        <w:tc>
          <w:tcPr>
            <w:tcW w:w="0" w:type="auto"/>
            <w:gridSpan w:val="2"/>
            <w:shd w:val="clear" w:color="auto" w:fill="FFFFFF"/>
            <w:tcMar>
              <w:top w:w="40" w:type="dxa"/>
              <w:left w:w="20" w:type="dxa"/>
              <w:bottom w:w="40" w:type="dxa"/>
              <w:right w:w="0" w:type="dxa"/>
            </w:tcMar>
            <w:vAlign w:val="bottom"/>
          </w:tcPr>
          <w:p w14:paraId="4090DBC0" w14:textId="77777777" w:rsidR="00833634" w:rsidRDefault="00E15D51">
            <w:pPr>
              <w:jc w:val="right"/>
              <w:textAlignment w:val="bottom"/>
            </w:pPr>
            <w:r>
              <w:rPr>
                <w:rFonts w:ascii="Arial" w:eastAsia="宋体" w:hAnsi="Arial" w:cs="Arial"/>
                <w:b/>
                <w:bCs/>
                <w:color w:val="000000"/>
                <w:sz w:val="20"/>
                <w:szCs w:val="20"/>
              </w:rPr>
              <w:t>22,220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C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C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C3" w14:textId="77777777" w:rsidR="00833634" w:rsidRDefault="00E15D51">
            <w:pPr>
              <w:jc w:val="right"/>
              <w:textAlignment w:val="bottom"/>
            </w:pPr>
            <w:r>
              <w:rPr>
                <w:rFonts w:ascii="Arial" w:eastAsia="宋体" w:hAnsi="Arial" w:cs="Arial"/>
                <w:color w:val="000000"/>
                <w:sz w:val="20"/>
                <w:szCs w:val="20"/>
              </w:rPr>
              <w:t>22,868 </w:t>
            </w:r>
          </w:p>
        </w:tc>
        <w:tc>
          <w:tcPr>
            <w:tcW w:w="0" w:type="auto"/>
            <w:shd w:val="clear" w:color="auto" w:fill="FFFFFF"/>
            <w:tcMar>
              <w:top w:w="40" w:type="dxa"/>
              <w:left w:w="0" w:type="dxa"/>
              <w:bottom w:w="40" w:type="dxa"/>
              <w:right w:w="20" w:type="dxa"/>
            </w:tcMar>
            <w:vAlign w:val="bottom"/>
          </w:tcPr>
          <w:p w14:paraId="4090DBC4" w14:textId="77777777" w:rsidR="00833634" w:rsidRDefault="00833634">
            <w:pPr>
              <w:jc w:val="right"/>
              <w:rPr>
                <w:rFonts w:ascii="宋体"/>
              </w:rPr>
            </w:pPr>
          </w:p>
        </w:tc>
      </w:tr>
      <w:tr w:rsidR="00833634" w14:paraId="4090DBCC" w14:textId="77777777">
        <w:tc>
          <w:tcPr>
            <w:tcW w:w="0" w:type="auto"/>
            <w:gridSpan w:val="3"/>
            <w:shd w:val="clear" w:color="auto" w:fill="CCEEFF"/>
            <w:tcMar>
              <w:top w:w="40" w:type="dxa"/>
              <w:left w:w="20" w:type="dxa"/>
              <w:bottom w:w="40" w:type="dxa"/>
              <w:right w:w="20" w:type="dxa"/>
            </w:tcMar>
            <w:vAlign w:val="bottom"/>
          </w:tcPr>
          <w:p w14:paraId="4090DBC6" w14:textId="77777777" w:rsidR="00833634" w:rsidRDefault="00E15D51">
            <w:pPr>
              <w:textAlignment w:val="bottom"/>
            </w:pPr>
            <w:r>
              <w:rPr>
                <w:rFonts w:ascii="Arial" w:eastAsia="宋体" w:hAnsi="Arial" w:cs="Arial"/>
                <w:color w:val="000000"/>
                <w:sz w:val="20"/>
                <w:szCs w:val="20"/>
              </w:rPr>
              <w:t>Advances and progress billings</w:t>
            </w:r>
          </w:p>
        </w:tc>
        <w:tc>
          <w:tcPr>
            <w:tcW w:w="0" w:type="auto"/>
            <w:gridSpan w:val="2"/>
            <w:shd w:val="clear" w:color="auto" w:fill="CCEEFF"/>
            <w:tcMar>
              <w:top w:w="40" w:type="dxa"/>
              <w:left w:w="20" w:type="dxa"/>
              <w:bottom w:w="40" w:type="dxa"/>
              <w:right w:w="0" w:type="dxa"/>
            </w:tcMar>
            <w:vAlign w:val="bottom"/>
          </w:tcPr>
          <w:p w14:paraId="4090DBC7" w14:textId="77777777" w:rsidR="00833634" w:rsidRDefault="00E15D51">
            <w:pPr>
              <w:jc w:val="right"/>
              <w:textAlignment w:val="bottom"/>
            </w:pPr>
            <w:r>
              <w:rPr>
                <w:rFonts w:ascii="Arial" w:eastAsia="宋体" w:hAnsi="Arial" w:cs="Arial"/>
                <w:b/>
                <w:bCs/>
                <w:color w:val="000000"/>
                <w:sz w:val="20"/>
                <w:szCs w:val="20"/>
              </w:rPr>
              <w:t>51,974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C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C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CA" w14:textId="77777777" w:rsidR="00833634" w:rsidRDefault="00E15D51">
            <w:pPr>
              <w:jc w:val="right"/>
              <w:textAlignment w:val="bottom"/>
            </w:pPr>
            <w:r>
              <w:rPr>
                <w:rFonts w:ascii="Arial" w:eastAsia="宋体" w:hAnsi="Arial" w:cs="Arial"/>
                <w:color w:val="000000"/>
                <w:sz w:val="20"/>
                <w:szCs w:val="20"/>
              </w:rPr>
              <w:t>51,551 </w:t>
            </w:r>
          </w:p>
        </w:tc>
        <w:tc>
          <w:tcPr>
            <w:tcW w:w="0" w:type="auto"/>
            <w:shd w:val="clear" w:color="auto" w:fill="CCEEFF"/>
            <w:tcMar>
              <w:top w:w="40" w:type="dxa"/>
              <w:left w:w="0" w:type="dxa"/>
              <w:bottom w:w="40" w:type="dxa"/>
              <w:right w:w="20" w:type="dxa"/>
            </w:tcMar>
            <w:vAlign w:val="bottom"/>
          </w:tcPr>
          <w:p w14:paraId="4090DBCB" w14:textId="77777777" w:rsidR="00833634" w:rsidRDefault="00833634">
            <w:pPr>
              <w:jc w:val="right"/>
              <w:rPr>
                <w:rFonts w:ascii="宋体"/>
              </w:rPr>
            </w:pPr>
          </w:p>
        </w:tc>
      </w:tr>
      <w:tr w:rsidR="00833634" w14:paraId="4090DBD3" w14:textId="77777777">
        <w:tc>
          <w:tcPr>
            <w:tcW w:w="0" w:type="auto"/>
            <w:gridSpan w:val="3"/>
            <w:shd w:val="clear" w:color="auto" w:fill="FFFFFF"/>
            <w:tcMar>
              <w:top w:w="40" w:type="dxa"/>
              <w:left w:w="20" w:type="dxa"/>
              <w:bottom w:w="40" w:type="dxa"/>
              <w:right w:w="20" w:type="dxa"/>
            </w:tcMar>
            <w:vAlign w:val="bottom"/>
          </w:tcPr>
          <w:p w14:paraId="4090DBCD" w14:textId="77777777" w:rsidR="00833634" w:rsidRDefault="00E15D51">
            <w:pPr>
              <w:textAlignment w:val="bottom"/>
            </w:pPr>
            <w:r>
              <w:rPr>
                <w:rFonts w:ascii="Arial" w:eastAsia="宋体" w:hAnsi="Arial" w:cs="Arial"/>
                <w:color w:val="000000"/>
                <w:sz w:val="20"/>
                <w:szCs w:val="20"/>
              </w:rPr>
              <w:t>Short-term debt and current portion of long-term debt</w:t>
            </w:r>
          </w:p>
        </w:tc>
        <w:tc>
          <w:tcPr>
            <w:tcW w:w="0" w:type="auto"/>
            <w:gridSpan w:val="2"/>
            <w:shd w:val="clear" w:color="auto" w:fill="FFFFFF"/>
            <w:tcMar>
              <w:top w:w="40" w:type="dxa"/>
              <w:left w:w="20" w:type="dxa"/>
              <w:bottom w:w="40" w:type="dxa"/>
              <w:right w:w="0" w:type="dxa"/>
            </w:tcMar>
            <w:vAlign w:val="bottom"/>
          </w:tcPr>
          <w:p w14:paraId="4090DBCE" w14:textId="77777777" w:rsidR="00833634" w:rsidRDefault="00E15D51">
            <w:pPr>
              <w:jc w:val="right"/>
              <w:textAlignment w:val="bottom"/>
            </w:pPr>
            <w:r>
              <w:rPr>
                <w:rFonts w:ascii="Arial" w:eastAsia="宋体" w:hAnsi="Arial" w:cs="Arial"/>
                <w:b/>
                <w:bCs/>
                <w:color w:val="000000"/>
                <w:sz w:val="20"/>
                <w:szCs w:val="20"/>
              </w:rPr>
              <w:t>3,634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C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D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D1" w14:textId="77777777" w:rsidR="00833634" w:rsidRDefault="00E15D51">
            <w:pPr>
              <w:jc w:val="right"/>
              <w:textAlignment w:val="bottom"/>
            </w:pPr>
            <w:r>
              <w:rPr>
                <w:rFonts w:ascii="Arial" w:eastAsia="宋体" w:hAnsi="Arial" w:cs="Arial"/>
                <w:color w:val="000000"/>
                <w:sz w:val="20"/>
                <w:szCs w:val="20"/>
              </w:rPr>
              <w:t>7,340 </w:t>
            </w:r>
          </w:p>
        </w:tc>
        <w:tc>
          <w:tcPr>
            <w:tcW w:w="0" w:type="auto"/>
            <w:shd w:val="clear" w:color="auto" w:fill="FFFFFF"/>
            <w:tcMar>
              <w:top w:w="40" w:type="dxa"/>
              <w:left w:w="0" w:type="dxa"/>
              <w:bottom w:w="40" w:type="dxa"/>
              <w:right w:w="20" w:type="dxa"/>
            </w:tcMar>
            <w:vAlign w:val="bottom"/>
          </w:tcPr>
          <w:p w14:paraId="4090DBD2" w14:textId="77777777" w:rsidR="00833634" w:rsidRDefault="00833634">
            <w:pPr>
              <w:jc w:val="right"/>
              <w:rPr>
                <w:rFonts w:ascii="宋体"/>
              </w:rPr>
            </w:pPr>
          </w:p>
        </w:tc>
      </w:tr>
      <w:tr w:rsidR="00833634" w14:paraId="4090DBDA" w14:textId="77777777">
        <w:tc>
          <w:tcPr>
            <w:tcW w:w="0" w:type="auto"/>
            <w:gridSpan w:val="3"/>
            <w:tcBorders>
              <w:top w:val="single" w:sz="8" w:space="0" w:color="000000"/>
            </w:tcBorders>
            <w:shd w:val="clear" w:color="auto" w:fill="CCEEFF"/>
            <w:tcMar>
              <w:top w:w="40" w:type="dxa"/>
              <w:left w:w="495" w:type="dxa"/>
              <w:bottom w:w="40" w:type="dxa"/>
              <w:right w:w="20" w:type="dxa"/>
            </w:tcMar>
            <w:vAlign w:val="bottom"/>
          </w:tcPr>
          <w:p w14:paraId="4090DBD4" w14:textId="77777777" w:rsidR="00833634" w:rsidRDefault="00E15D51">
            <w:pPr>
              <w:textAlignment w:val="bottom"/>
            </w:pPr>
            <w:r>
              <w:rPr>
                <w:rFonts w:ascii="Arial" w:eastAsia="宋体" w:hAnsi="Arial" w:cs="Arial"/>
                <w:b/>
                <w:bCs/>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D5" w14:textId="77777777" w:rsidR="00833634" w:rsidRDefault="00E15D51">
            <w:pPr>
              <w:jc w:val="right"/>
              <w:textAlignment w:val="bottom"/>
            </w:pPr>
            <w:r>
              <w:rPr>
                <w:rFonts w:ascii="Arial" w:eastAsia="宋体" w:hAnsi="Arial" w:cs="Arial"/>
                <w:b/>
                <w:bCs/>
                <w:color w:val="000000"/>
                <w:sz w:val="20"/>
                <w:szCs w:val="20"/>
              </w:rPr>
              <w:t>92,307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D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BD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D8" w14:textId="77777777" w:rsidR="00833634" w:rsidRDefault="00E15D51">
            <w:pPr>
              <w:jc w:val="right"/>
              <w:textAlignment w:val="bottom"/>
            </w:pPr>
            <w:r>
              <w:rPr>
                <w:rFonts w:ascii="Arial" w:eastAsia="宋体" w:hAnsi="Arial" w:cs="Arial"/>
                <w:color w:val="000000"/>
                <w:sz w:val="20"/>
                <w:szCs w:val="20"/>
              </w:rPr>
              <w:t>97,312 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BD9" w14:textId="77777777" w:rsidR="00833634" w:rsidRDefault="00833634">
            <w:pPr>
              <w:jc w:val="right"/>
              <w:rPr>
                <w:rFonts w:ascii="宋体"/>
              </w:rPr>
            </w:pPr>
          </w:p>
        </w:tc>
      </w:tr>
      <w:tr w:rsidR="00833634" w14:paraId="4090DBE1" w14:textId="77777777">
        <w:tc>
          <w:tcPr>
            <w:tcW w:w="0" w:type="auto"/>
            <w:gridSpan w:val="3"/>
            <w:shd w:val="clear" w:color="auto" w:fill="FFFFFF"/>
            <w:tcMar>
              <w:top w:w="40" w:type="dxa"/>
              <w:left w:w="20" w:type="dxa"/>
              <w:bottom w:w="40" w:type="dxa"/>
              <w:right w:w="20" w:type="dxa"/>
            </w:tcMar>
            <w:vAlign w:val="bottom"/>
          </w:tcPr>
          <w:p w14:paraId="4090DBDB" w14:textId="77777777" w:rsidR="00833634" w:rsidRDefault="00E15D51">
            <w:pPr>
              <w:textAlignment w:val="bottom"/>
            </w:pPr>
            <w:r>
              <w:rPr>
                <w:rFonts w:ascii="Arial" w:eastAsia="宋体" w:hAnsi="Arial" w:cs="Arial"/>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4090DBDC" w14:textId="77777777" w:rsidR="00833634" w:rsidRDefault="00E15D51">
            <w:pPr>
              <w:jc w:val="right"/>
              <w:textAlignment w:val="bottom"/>
            </w:pPr>
            <w:r>
              <w:rPr>
                <w:rFonts w:ascii="Arial" w:eastAsia="宋体" w:hAnsi="Arial" w:cs="Arial"/>
                <w:b/>
                <w:bCs/>
                <w:color w:val="000000"/>
                <w:sz w:val="20"/>
                <w:szCs w:val="20"/>
              </w:rPr>
              <w:t>503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D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D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DF" w14:textId="77777777" w:rsidR="00833634" w:rsidRDefault="00E15D51">
            <w:pPr>
              <w:jc w:val="right"/>
              <w:textAlignment w:val="bottom"/>
            </w:pPr>
            <w:r>
              <w:rPr>
                <w:rFonts w:ascii="Arial" w:eastAsia="宋体" w:hAnsi="Arial" w:cs="Arial"/>
                <w:color w:val="000000"/>
                <w:sz w:val="20"/>
                <w:szCs w:val="20"/>
              </w:rPr>
              <w:t>413 </w:t>
            </w:r>
          </w:p>
        </w:tc>
        <w:tc>
          <w:tcPr>
            <w:tcW w:w="0" w:type="auto"/>
            <w:shd w:val="clear" w:color="auto" w:fill="FFFFFF"/>
            <w:tcMar>
              <w:top w:w="40" w:type="dxa"/>
              <w:left w:w="0" w:type="dxa"/>
              <w:bottom w:w="40" w:type="dxa"/>
              <w:right w:w="20" w:type="dxa"/>
            </w:tcMar>
            <w:vAlign w:val="bottom"/>
          </w:tcPr>
          <w:p w14:paraId="4090DBE0" w14:textId="77777777" w:rsidR="00833634" w:rsidRDefault="00833634">
            <w:pPr>
              <w:jc w:val="right"/>
              <w:rPr>
                <w:rFonts w:ascii="宋体"/>
              </w:rPr>
            </w:pPr>
          </w:p>
        </w:tc>
      </w:tr>
      <w:tr w:rsidR="00833634" w14:paraId="4090DBE8" w14:textId="77777777">
        <w:tc>
          <w:tcPr>
            <w:tcW w:w="0" w:type="auto"/>
            <w:gridSpan w:val="3"/>
            <w:shd w:val="clear" w:color="auto" w:fill="CCEEFF"/>
            <w:tcMar>
              <w:top w:w="40" w:type="dxa"/>
              <w:left w:w="20" w:type="dxa"/>
              <w:bottom w:w="40" w:type="dxa"/>
              <w:right w:w="20" w:type="dxa"/>
            </w:tcMar>
            <w:vAlign w:val="bottom"/>
          </w:tcPr>
          <w:p w14:paraId="4090DBE2" w14:textId="77777777" w:rsidR="00833634" w:rsidRDefault="00E15D51">
            <w:pPr>
              <w:textAlignment w:val="bottom"/>
            </w:pPr>
            <w:r>
              <w:rPr>
                <w:rFonts w:ascii="Arial" w:eastAsia="宋体" w:hAnsi="Arial" w:cs="Arial"/>
                <w:color w:val="000000"/>
                <w:sz w:val="20"/>
                <w:szCs w:val="20"/>
              </w:rPr>
              <w:t xml:space="preserve">Accrued </w:t>
            </w:r>
            <w:r>
              <w:rPr>
                <w:rFonts w:ascii="Arial" w:eastAsia="宋体" w:hAnsi="Arial" w:cs="Arial"/>
                <w:color w:val="000000"/>
                <w:sz w:val="20"/>
                <w:szCs w:val="20"/>
              </w:rPr>
              <w:t>retiree health care</w:t>
            </w:r>
          </w:p>
        </w:tc>
        <w:tc>
          <w:tcPr>
            <w:tcW w:w="0" w:type="auto"/>
            <w:gridSpan w:val="2"/>
            <w:shd w:val="clear" w:color="auto" w:fill="CCEEFF"/>
            <w:tcMar>
              <w:top w:w="40" w:type="dxa"/>
              <w:left w:w="20" w:type="dxa"/>
              <w:bottom w:w="40" w:type="dxa"/>
              <w:right w:w="0" w:type="dxa"/>
            </w:tcMar>
            <w:vAlign w:val="bottom"/>
          </w:tcPr>
          <w:p w14:paraId="4090DBE3" w14:textId="77777777" w:rsidR="00833634" w:rsidRDefault="00E15D51">
            <w:pPr>
              <w:jc w:val="right"/>
              <w:textAlignment w:val="bottom"/>
            </w:pPr>
            <w:r>
              <w:rPr>
                <w:rFonts w:ascii="Arial" w:eastAsia="宋体" w:hAnsi="Arial" w:cs="Arial"/>
                <w:b/>
                <w:bCs/>
                <w:color w:val="000000"/>
                <w:sz w:val="20"/>
                <w:szCs w:val="20"/>
              </w:rPr>
              <w:t>4,429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E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E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E6" w14:textId="77777777" w:rsidR="00833634" w:rsidRDefault="00E15D51">
            <w:pPr>
              <w:jc w:val="right"/>
              <w:textAlignment w:val="bottom"/>
            </w:pPr>
            <w:r>
              <w:rPr>
                <w:rFonts w:ascii="Arial" w:eastAsia="宋体" w:hAnsi="Arial" w:cs="Arial"/>
                <w:color w:val="000000"/>
                <w:sz w:val="20"/>
                <w:szCs w:val="20"/>
              </w:rPr>
              <w:t>4,540 </w:t>
            </w:r>
          </w:p>
        </w:tc>
        <w:tc>
          <w:tcPr>
            <w:tcW w:w="0" w:type="auto"/>
            <w:shd w:val="clear" w:color="auto" w:fill="CCEEFF"/>
            <w:tcMar>
              <w:top w:w="40" w:type="dxa"/>
              <w:left w:w="0" w:type="dxa"/>
              <w:bottom w:w="40" w:type="dxa"/>
              <w:right w:w="20" w:type="dxa"/>
            </w:tcMar>
            <w:vAlign w:val="bottom"/>
          </w:tcPr>
          <w:p w14:paraId="4090DBE7" w14:textId="77777777" w:rsidR="00833634" w:rsidRDefault="00833634">
            <w:pPr>
              <w:jc w:val="right"/>
              <w:rPr>
                <w:rFonts w:ascii="宋体"/>
              </w:rPr>
            </w:pPr>
          </w:p>
        </w:tc>
      </w:tr>
      <w:tr w:rsidR="00833634" w14:paraId="4090DBEF" w14:textId="77777777">
        <w:tc>
          <w:tcPr>
            <w:tcW w:w="0" w:type="auto"/>
            <w:gridSpan w:val="3"/>
            <w:shd w:val="clear" w:color="auto" w:fill="FFFFFF"/>
            <w:tcMar>
              <w:top w:w="40" w:type="dxa"/>
              <w:left w:w="20" w:type="dxa"/>
              <w:bottom w:w="40" w:type="dxa"/>
              <w:right w:w="20" w:type="dxa"/>
            </w:tcMar>
            <w:vAlign w:val="bottom"/>
          </w:tcPr>
          <w:p w14:paraId="4090DBE9" w14:textId="77777777" w:rsidR="00833634" w:rsidRDefault="00E15D51">
            <w:pPr>
              <w:textAlignment w:val="bottom"/>
            </w:pPr>
            <w:r>
              <w:rPr>
                <w:rFonts w:ascii="Arial" w:eastAsia="宋体" w:hAnsi="Arial" w:cs="Arial"/>
                <w:color w:val="000000"/>
                <w:sz w:val="20"/>
                <w:szCs w:val="20"/>
              </w:rPr>
              <w:t>Accrued pension plan liability, net</w:t>
            </w:r>
          </w:p>
        </w:tc>
        <w:tc>
          <w:tcPr>
            <w:tcW w:w="0" w:type="auto"/>
            <w:gridSpan w:val="2"/>
            <w:shd w:val="clear" w:color="auto" w:fill="FFFFFF"/>
            <w:tcMar>
              <w:top w:w="40" w:type="dxa"/>
              <w:left w:w="20" w:type="dxa"/>
              <w:bottom w:w="40" w:type="dxa"/>
              <w:right w:w="0" w:type="dxa"/>
            </w:tcMar>
            <w:vAlign w:val="bottom"/>
          </w:tcPr>
          <w:p w14:paraId="4090DBEA" w14:textId="77777777" w:rsidR="00833634" w:rsidRDefault="00E15D51">
            <w:pPr>
              <w:jc w:val="right"/>
              <w:textAlignment w:val="bottom"/>
            </w:pPr>
            <w:r>
              <w:rPr>
                <w:rFonts w:ascii="Arial" w:eastAsia="宋体" w:hAnsi="Arial" w:cs="Arial"/>
                <w:b/>
                <w:bCs/>
                <w:color w:val="000000"/>
                <w:sz w:val="20"/>
                <w:szCs w:val="20"/>
              </w:rPr>
              <w:t>15,343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E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E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ED" w14:textId="77777777" w:rsidR="00833634" w:rsidRDefault="00E15D51">
            <w:pPr>
              <w:jc w:val="right"/>
              <w:textAlignment w:val="bottom"/>
            </w:pPr>
            <w:r>
              <w:rPr>
                <w:rFonts w:ascii="Arial" w:eastAsia="宋体" w:hAnsi="Arial" w:cs="Arial"/>
                <w:color w:val="000000"/>
                <w:sz w:val="20"/>
                <w:szCs w:val="20"/>
              </w:rPr>
              <w:t>16,276 </w:t>
            </w:r>
          </w:p>
        </w:tc>
        <w:tc>
          <w:tcPr>
            <w:tcW w:w="0" w:type="auto"/>
            <w:shd w:val="clear" w:color="auto" w:fill="FFFFFF"/>
            <w:tcMar>
              <w:top w:w="40" w:type="dxa"/>
              <w:left w:w="0" w:type="dxa"/>
              <w:bottom w:w="40" w:type="dxa"/>
              <w:right w:w="20" w:type="dxa"/>
            </w:tcMar>
            <w:vAlign w:val="bottom"/>
          </w:tcPr>
          <w:p w14:paraId="4090DBEE" w14:textId="77777777" w:rsidR="00833634" w:rsidRDefault="00833634">
            <w:pPr>
              <w:jc w:val="right"/>
              <w:rPr>
                <w:rFonts w:ascii="宋体"/>
              </w:rPr>
            </w:pPr>
          </w:p>
        </w:tc>
      </w:tr>
      <w:tr w:rsidR="00833634" w14:paraId="4090DBF6" w14:textId="77777777">
        <w:tc>
          <w:tcPr>
            <w:tcW w:w="0" w:type="auto"/>
            <w:gridSpan w:val="3"/>
            <w:shd w:val="clear" w:color="auto" w:fill="CCEEFF"/>
            <w:tcMar>
              <w:top w:w="40" w:type="dxa"/>
              <w:left w:w="20" w:type="dxa"/>
              <w:bottom w:w="40" w:type="dxa"/>
              <w:right w:w="20" w:type="dxa"/>
            </w:tcMar>
            <w:vAlign w:val="bottom"/>
          </w:tcPr>
          <w:p w14:paraId="4090DBF0" w14:textId="77777777" w:rsidR="00833634" w:rsidRDefault="00E15D51">
            <w:pPr>
              <w:textAlignment w:val="bottom"/>
            </w:pPr>
            <w:r>
              <w:rPr>
                <w:rFonts w:ascii="Arial" w:eastAsia="宋体" w:hAnsi="Arial" w:cs="Arial"/>
                <w:color w:val="000000"/>
                <w:sz w:val="20"/>
                <w:szCs w:val="20"/>
              </w:rPr>
              <w:t>Other long-term liabilities</w:t>
            </w:r>
          </w:p>
        </w:tc>
        <w:tc>
          <w:tcPr>
            <w:tcW w:w="0" w:type="auto"/>
            <w:gridSpan w:val="2"/>
            <w:shd w:val="clear" w:color="auto" w:fill="CCEEFF"/>
            <w:tcMar>
              <w:top w:w="40" w:type="dxa"/>
              <w:left w:w="20" w:type="dxa"/>
              <w:bottom w:w="40" w:type="dxa"/>
              <w:right w:w="0" w:type="dxa"/>
            </w:tcMar>
            <w:vAlign w:val="bottom"/>
          </w:tcPr>
          <w:p w14:paraId="4090DBF1" w14:textId="77777777" w:rsidR="00833634" w:rsidRDefault="00E15D51">
            <w:pPr>
              <w:jc w:val="right"/>
              <w:textAlignment w:val="bottom"/>
            </w:pPr>
            <w:r>
              <w:rPr>
                <w:rFonts w:ascii="Arial" w:eastAsia="宋体" w:hAnsi="Arial" w:cs="Arial"/>
                <w:b/>
                <w:bCs/>
                <w:color w:val="000000"/>
                <w:sz w:val="20"/>
                <w:szCs w:val="20"/>
              </w:rPr>
              <w:t>2,907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BF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BF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BF4" w14:textId="77777777" w:rsidR="00833634" w:rsidRDefault="00E15D51">
            <w:pPr>
              <w:jc w:val="right"/>
              <w:textAlignment w:val="bottom"/>
            </w:pPr>
            <w:r>
              <w:rPr>
                <w:rFonts w:ascii="Arial" w:eastAsia="宋体" w:hAnsi="Arial" w:cs="Arial"/>
                <w:color w:val="000000"/>
                <w:sz w:val="20"/>
                <w:szCs w:val="20"/>
              </w:rPr>
              <w:t>3,422 </w:t>
            </w:r>
          </w:p>
        </w:tc>
        <w:tc>
          <w:tcPr>
            <w:tcW w:w="0" w:type="auto"/>
            <w:shd w:val="clear" w:color="auto" w:fill="CCEEFF"/>
            <w:tcMar>
              <w:top w:w="40" w:type="dxa"/>
              <w:left w:w="0" w:type="dxa"/>
              <w:bottom w:w="40" w:type="dxa"/>
              <w:right w:w="20" w:type="dxa"/>
            </w:tcMar>
            <w:vAlign w:val="bottom"/>
          </w:tcPr>
          <w:p w14:paraId="4090DBF5" w14:textId="77777777" w:rsidR="00833634" w:rsidRDefault="00833634">
            <w:pPr>
              <w:jc w:val="right"/>
              <w:rPr>
                <w:rFonts w:ascii="宋体"/>
              </w:rPr>
            </w:pPr>
          </w:p>
        </w:tc>
      </w:tr>
      <w:tr w:rsidR="00833634" w14:paraId="4090DBFD" w14:textId="77777777">
        <w:tc>
          <w:tcPr>
            <w:tcW w:w="0" w:type="auto"/>
            <w:gridSpan w:val="3"/>
            <w:shd w:val="clear" w:color="auto" w:fill="FFFFFF"/>
            <w:tcMar>
              <w:top w:w="40" w:type="dxa"/>
              <w:left w:w="20" w:type="dxa"/>
              <w:bottom w:w="40" w:type="dxa"/>
              <w:right w:w="20" w:type="dxa"/>
            </w:tcMar>
            <w:vAlign w:val="bottom"/>
          </w:tcPr>
          <w:p w14:paraId="4090DBF7" w14:textId="77777777" w:rsidR="00833634" w:rsidRDefault="00E15D51">
            <w:pPr>
              <w:textAlignment w:val="bottom"/>
            </w:pPr>
            <w:r>
              <w:rPr>
                <w:rFonts w:ascii="Arial" w:eastAsia="宋体" w:hAnsi="Arial" w:cs="Arial"/>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4090DBF8" w14:textId="77777777" w:rsidR="00833634" w:rsidRDefault="00E15D51">
            <w:pPr>
              <w:jc w:val="right"/>
              <w:textAlignment w:val="bottom"/>
            </w:pPr>
            <w:r>
              <w:rPr>
                <w:rFonts w:ascii="Arial" w:eastAsia="宋体" w:hAnsi="Arial" w:cs="Arial"/>
                <w:b/>
                <w:bCs/>
                <w:color w:val="000000"/>
                <w:sz w:val="20"/>
                <w:szCs w:val="20"/>
              </w:rPr>
              <w:t>57,325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BF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BF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BFB" w14:textId="77777777" w:rsidR="00833634" w:rsidRDefault="00E15D51">
            <w:pPr>
              <w:jc w:val="right"/>
              <w:textAlignment w:val="bottom"/>
            </w:pPr>
            <w:r>
              <w:rPr>
                <w:rFonts w:ascii="Arial" w:eastAsia="宋体" w:hAnsi="Arial" w:cs="Arial"/>
                <w:color w:val="000000"/>
                <w:sz w:val="20"/>
                <w:szCs w:val="20"/>
              </w:rPr>
              <w:t>19,962 </w:t>
            </w:r>
          </w:p>
        </w:tc>
        <w:tc>
          <w:tcPr>
            <w:tcW w:w="0" w:type="auto"/>
            <w:shd w:val="clear" w:color="auto" w:fill="FFFFFF"/>
            <w:tcMar>
              <w:top w:w="40" w:type="dxa"/>
              <w:left w:w="0" w:type="dxa"/>
              <w:bottom w:w="40" w:type="dxa"/>
              <w:right w:w="20" w:type="dxa"/>
            </w:tcMar>
            <w:vAlign w:val="bottom"/>
          </w:tcPr>
          <w:p w14:paraId="4090DBFC" w14:textId="77777777" w:rsidR="00833634" w:rsidRDefault="00833634">
            <w:pPr>
              <w:jc w:val="right"/>
              <w:rPr>
                <w:rFonts w:ascii="宋体"/>
              </w:rPr>
            </w:pPr>
          </w:p>
        </w:tc>
      </w:tr>
      <w:tr w:rsidR="00833634" w14:paraId="4090DC04" w14:textId="77777777">
        <w:tc>
          <w:tcPr>
            <w:tcW w:w="0" w:type="auto"/>
            <w:gridSpan w:val="3"/>
            <w:tcBorders>
              <w:top w:val="single" w:sz="8" w:space="0" w:color="000000"/>
            </w:tcBorders>
            <w:shd w:val="clear" w:color="auto" w:fill="CCEEFF"/>
            <w:tcMar>
              <w:top w:w="40" w:type="dxa"/>
              <w:left w:w="495" w:type="dxa"/>
              <w:bottom w:w="40" w:type="dxa"/>
              <w:right w:w="20" w:type="dxa"/>
            </w:tcMar>
            <w:vAlign w:val="bottom"/>
          </w:tcPr>
          <w:p w14:paraId="4090DBFE" w14:textId="77777777" w:rsidR="00833634" w:rsidRDefault="00E15D51">
            <w:pPr>
              <w:textAlignment w:val="bottom"/>
            </w:pPr>
            <w:r>
              <w:rPr>
                <w:rFonts w:ascii="Arial" w:eastAsia="宋体" w:hAnsi="Arial" w:cs="Arial"/>
                <w:b/>
                <w:bCs/>
                <w:color w:val="000000"/>
                <w:sz w:val="20"/>
                <w:szCs w:val="20"/>
              </w:rPr>
              <w:t>Total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BFF" w14:textId="77777777" w:rsidR="00833634" w:rsidRDefault="00E15D51">
            <w:pPr>
              <w:jc w:val="right"/>
              <w:textAlignment w:val="bottom"/>
            </w:pPr>
            <w:r>
              <w:rPr>
                <w:rFonts w:ascii="Arial" w:eastAsia="宋体" w:hAnsi="Arial" w:cs="Arial"/>
                <w:b/>
                <w:bCs/>
                <w:color w:val="000000"/>
                <w:sz w:val="20"/>
                <w:szCs w:val="20"/>
              </w:rPr>
              <w:t>172,814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C0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C0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C02" w14:textId="77777777" w:rsidR="00833634" w:rsidRDefault="00E15D51">
            <w:pPr>
              <w:jc w:val="right"/>
              <w:textAlignment w:val="bottom"/>
            </w:pPr>
            <w:r>
              <w:rPr>
                <w:rFonts w:ascii="Arial" w:eastAsia="宋体" w:hAnsi="Arial" w:cs="Arial"/>
                <w:color w:val="000000"/>
                <w:sz w:val="20"/>
                <w:szCs w:val="20"/>
              </w:rPr>
              <w:t>141,925 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C03" w14:textId="77777777" w:rsidR="00833634" w:rsidRDefault="00833634">
            <w:pPr>
              <w:jc w:val="right"/>
              <w:rPr>
                <w:rFonts w:ascii="宋体"/>
              </w:rPr>
            </w:pPr>
          </w:p>
        </w:tc>
      </w:tr>
      <w:tr w:rsidR="00833634" w14:paraId="4090DC09" w14:textId="77777777">
        <w:tc>
          <w:tcPr>
            <w:tcW w:w="0" w:type="auto"/>
            <w:gridSpan w:val="3"/>
            <w:shd w:val="clear" w:color="auto" w:fill="FFFFFF"/>
            <w:tcMar>
              <w:top w:w="40" w:type="dxa"/>
              <w:left w:w="20" w:type="dxa"/>
              <w:bottom w:w="40" w:type="dxa"/>
              <w:right w:w="20" w:type="dxa"/>
            </w:tcMar>
            <w:vAlign w:val="bottom"/>
          </w:tcPr>
          <w:p w14:paraId="4090DC05" w14:textId="77777777" w:rsidR="00833634" w:rsidRDefault="00E15D51">
            <w:pPr>
              <w:textAlignment w:val="bottom"/>
            </w:pPr>
            <w:r>
              <w:rPr>
                <w:rFonts w:ascii="Arial" w:eastAsia="宋体" w:hAnsi="Arial" w:cs="Arial"/>
                <w:color w:val="000000"/>
                <w:sz w:val="20"/>
                <w:szCs w:val="20"/>
              </w:rPr>
              <w:t>Shareholders’ equity:</w:t>
            </w:r>
          </w:p>
        </w:tc>
        <w:tc>
          <w:tcPr>
            <w:tcW w:w="0" w:type="auto"/>
            <w:gridSpan w:val="3"/>
            <w:shd w:val="clear" w:color="auto" w:fill="FFFFFF"/>
            <w:tcMar>
              <w:top w:w="0" w:type="dxa"/>
              <w:left w:w="20" w:type="dxa"/>
              <w:bottom w:w="0" w:type="dxa"/>
              <w:right w:w="20" w:type="dxa"/>
            </w:tcMar>
          </w:tcPr>
          <w:p w14:paraId="4090DC0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C0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C08" w14:textId="77777777" w:rsidR="00833634" w:rsidRDefault="00833634">
            <w:pPr>
              <w:rPr>
                <w:rFonts w:ascii="宋体"/>
              </w:rPr>
            </w:pPr>
          </w:p>
        </w:tc>
      </w:tr>
      <w:tr w:rsidR="00833634" w14:paraId="4090DC10" w14:textId="77777777">
        <w:tc>
          <w:tcPr>
            <w:tcW w:w="0" w:type="auto"/>
            <w:gridSpan w:val="3"/>
            <w:shd w:val="clear" w:color="auto" w:fill="CCEEFF"/>
            <w:tcMar>
              <w:top w:w="40" w:type="dxa"/>
              <w:left w:w="20" w:type="dxa"/>
              <w:bottom w:w="40" w:type="dxa"/>
              <w:right w:w="20" w:type="dxa"/>
            </w:tcMar>
            <w:vAlign w:val="bottom"/>
          </w:tcPr>
          <w:p w14:paraId="4090DC0A" w14:textId="77777777" w:rsidR="00833634" w:rsidRDefault="00E15D51">
            <w:pPr>
              <w:textAlignment w:val="bottom"/>
            </w:pPr>
            <w:r>
              <w:rPr>
                <w:rFonts w:ascii="Arial" w:eastAsia="宋体" w:hAnsi="Arial" w:cs="Arial"/>
                <w:color w:val="000000"/>
                <w:sz w:val="20"/>
                <w:szCs w:val="20"/>
              </w:rPr>
              <w:t xml:space="preserve">Common </w:t>
            </w:r>
            <w:r>
              <w:rPr>
                <w:rFonts w:ascii="Arial" w:eastAsia="宋体" w:hAnsi="Arial" w:cs="Arial"/>
                <w:color w:val="000000"/>
                <w:sz w:val="20"/>
                <w:szCs w:val="20"/>
              </w:rPr>
              <w:t>stock, par value $5.00 — 1,200,000,000 shares authorized; 1,012,261,159 shares issued</w:t>
            </w:r>
          </w:p>
        </w:tc>
        <w:tc>
          <w:tcPr>
            <w:tcW w:w="0" w:type="auto"/>
            <w:gridSpan w:val="2"/>
            <w:shd w:val="clear" w:color="auto" w:fill="CCEEFF"/>
            <w:tcMar>
              <w:top w:w="40" w:type="dxa"/>
              <w:left w:w="20" w:type="dxa"/>
              <w:bottom w:w="40" w:type="dxa"/>
              <w:right w:w="0" w:type="dxa"/>
            </w:tcMar>
            <w:vAlign w:val="bottom"/>
          </w:tcPr>
          <w:p w14:paraId="4090DC0B" w14:textId="77777777" w:rsidR="00833634" w:rsidRDefault="00E15D51">
            <w:pPr>
              <w:jc w:val="right"/>
              <w:textAlignment w:val="bottom"/>
            </w:pPr>
            <w:r>
              <w:rPr>
                <w:rFonts w:ascii="Arial" w:eastAsia="宋体" w:hAnsi="Arial" w:cs="Arial"/>
                <w:b/>
                <w:bCs/>
                <w:color w:val="000000"/>
                <w:sz w:val="20"/>
                <w:szCs w:val="20"/>
              </w:rPr>
              <w:t>5,061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C0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0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0E" w14:textId="77777777" w:rsidR="00833634" w:rsidRDefault="00E15D51">
            <w:pPr>
              <w:jc w:val="right"/>
              <w:textAlignment w:val="bottom"/>
            </w:pPr>
            <w:r>
              <w:rPr>
                <w:rFonts w:ascii="Arial" w:eastAsia="宋体" w:hAnsi="Arial" w:cs="Arial"/>
                <w:color w:val="000000"/>
                <w:sz w:val="20"/>
                <w:szCs w:val="20"/>
              </w:rPr>
              <w:t>5,061 </w:t>
            </w:r>
          </w:p>
        </w:tc>
        <w:tc>
          <w:tcPr>
            <w:tcW w:w="0" w:type="auto"/>
            <w:shd w:val="clear" w:color="auto" w:fill="CCEEFF"/>
            <w:tcMar>
              <w:top w:w="40" w:type="dxa"/>
              <w:left w:w="0" w:type="dxa"/>
              <w:bottom w:w="40" w:type="dxa"/>
              <w:right w:w="20" w:type="dxa"/>
            </w:tcMar>
            <w:vAlign w:val="bottom"/>
          </w:tcPr>
          <w:p w14:paraId="4090DC0F" w14:textId="77777777" w:rsidR="00833634" w:rsidRDefault="00833634">
            <w:pPr>
              <w:jc w:val="right"/>
              <w:rPr>
                <w:rFonts w:ascii="宋体"/>
              </w:rPr>
            </w:pPr>
          </w:p>
        </w:tc>
      </w:tr>
      <w:tr w:rsidR="00833634" w14:paraId="4090DC17" w14:textId="77777777">
        <w:tc>
          <w:tcPr>
            <w:tcW w:w="0" w:type="auto"/>
            <w:gridSpan w:val="3"/>
            <w:shd w:val="clear" w:color="auto" w:fill="FFFFFF"/>
            <w:tcMar>
              <w:top w:w="40" w:type="dxa"/>
              <w:left w:w="135" w:type="dxa"/>
              <w:bottom w:w="40" w:type="dxa"/>
              <w:right w:w="20" w:type="dxa"/>
            </w:tcMar>
            <w:vAlign w:val="bottom"/>
          </w:tcPr>
          <w:p w14:paraId="4090DC11" w14:textId="77777777" w:rsidR="00833634" w:rsidRDefault="00E15D51">
            <w:pPr>
              <w:textAlignment w:val="bottom"/>
            </w:pPr>
            <w:r>
              <w:rPr>
                <w:rFonts w:ascii="Arial" w:eastAsia="宋体" w:hAnsi="Arial" w:cs="Arial"/>
                <w:color w:val="000000"/>
                <w:sz w:val="20"/>
                <w:szCs w:val="20"/>
              </w:rPr>
              <w:t>Additional paid-in capital</w:t>
            </w:r>
          </w:p>
        </w:tc>
        <w:tc>
          <w:tcPr>
            <w:tcW w:w="0" w:type="auto"/>
            <w:gridSpan w:val="2"/>
            <w:shd w:val="clear" w:color="auto" w:fill="FFFFFF"/>
            <w:tcMar>
              <w:top w:w="40" w:type="dxa"/>
              <w:left w:w="20" w:type="dxa"/>
              <w:bottom w:w="40" w:type="dxa"/>
              <w:right w:w="0" w:type="dxa"/>
            </w:tcMar>
            <w:vAlign w:val="bottom"/>
          </w:tcPr>
          <w:p w14:paraId="4090DC12" w14:textId="77777777" w:rsidR="00833634" w:rsidRDefault="00E15D51">
            <w:pPr>
              <w:jc w:val="right"/>
              <w:textAlignment w:val="bottom"/>
            </w:pPr>
            <w:r>
              <w:rPr>
                <w:rFonts w:ascii="Arial" w:eastAsia="宋体" w:hAnsi="Arial" w:cs="Arial"/>
                <w:b/>
                <w:bCs/>
                <w:color w:val="000000"/>
                <w:sz w:val="20"/>
                <w:szCs w:val="20"/>
              </w:rPr>
              <w:t>6,687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C1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1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15" w14:textId="77777777" w:rsidR="00833634" w:rsidRDefault="00E15D51">
            <w:pPr>
              <w:jc w:val="right"/>
              <w:textAlignment w:val="bottom"/>
            </w:pPr>
            <w:r>
              <w:rPr>
                <w:rFonts w:ascii="Arial" w:eastAsia="宋体" w:hAnsi="Arial" w:cs="Arial"/>
                <w:color w:val="000000"/>
                <w:sz w:val="20"/>
                <w:szCs w:val="20"/>
              </w:rPr>
              <w:t>6,745 </w:t>
            </w:r>
          </w:p>
        </w:tc>
        <w:tc>
          <w:tcPr>
            <w:tcW w:w="0" w:type="auto"/>
            <w:shd w:val="clear" w:color="auto" w:fill="FFFFFF"/>
            <w:tcMar>
              <w:top w:w="40" w:type="dxa"/>
              <w:left w:w="0" w:type="dxa"/>
              <w:bottom w:w="40" w:type="dxa"/>
              <w:right w:w="20" w:type="dxa"/>
            </w:tcMar>
            <w:vAlign w:val="bottom"/>
          </w:tcPr>
          <w:p w14:paraId="4090DC16" w14:textId="77777777" w:rsidR="00833634" w:rsidRDefault="00833634">
            <w:pPr>
              <w:jc w:val="right"/>
              <w:rPr>
                <w:rFonts w:ascii="宋体"/>
              </w:rPr>
            </w:pPr>
          </w:p>
        </w:tc>
      </w:tr>
      <w:tr w:rsidR="00833634" w14:paraId="4090DC1E" w14:textId="77777777">
        <w:tc>
          <w:tcPr>
            <w:tcW w:w="0" w:type="auto"/>
            <w:gridSpan w:val="3"/>
            <w:shd w:val="clear" w:color="auto" w:fill="CCEEFF"/>
            <w:tcMar>
              <w:top w:w="40" w:type="dxa"/>
              <w:left w:w="20" w:type="dxa"/>
              <w:bottom w:w="40" w:type="dxa"/>
              <w:right w:w="20" w:type="dxa"/>
            </w:tcMar>
            <w:vAlign w:val="bottom"/>
          </w:tcPr>
          <w:p w14:paraId="4090DC18" w14:textId="77777777" w:rsidR="00833634" w:rsidRDefault="00E15D51">
            <w:pPr>
              <w:textAlignment w:val="bottom"/>
            </w:pPr>
            <w:r>
              <w:rPr>
                <w:rFonts w:ascii="Arial" w:eastAsia="宋体" w:hAnsi="Arial" w:cs="Arial"/>
                <w:color w:val="000000"/>
                <w:sz w:val="20"/>
                <w:szCs w:val="20"/>
              </w:rPr>
              <w:t>Treasury stock, at cost - 447,744,896 and 449,352,405 shares</w:t>
            </w:r>
          </w:p>
        </w:tc>
        <w:tc>
          <w:tcPr>
            <w:tcW w:w="0" w:type="auto"/>
            <w:gridSpan w:val="2"/>
            <w:shd w:val="clear" w:color="auto" w:fill="CCEEFF"/>
            <w:tcMar>
              <w:top w:w="40" w:type="dxa"/>
              <w:left w:w="20" w:type="dxa"/>
              <w:bottom w:w="40" w:type="dxa"/>
              <w:right w:w="0" w:type="dxa"/>
            </w:tcMar>
            <w:vAlign w:val="bottom"/>
          </w:tcPr>
          <w:p w14:paraId="4090DC19" w14:textId="77777777" w:rsidR="00833634" w:rsidRDefault="00E15D51">
            <w:pPr>
              <w:jc w:val="right"/>
              <w:textAlignment w:val="bottom"/>
            </w:pPr>
            <w:r>
              <w:rPr>
                <w:rFonts w:ascii="Arial" w:eastAsia="宋体" w:hAnsi="Arial" w:cs="Arial"/>
                <w:b/>
                <w:bCs/>
                <w:color w:val="000000"/>
                <w:sz w:val="20"/>
                <w:szCs w:val="20"/>
              </w:rPr>
              <w:t>(54,819)</w:t>
            </w:r>
          </w:p>
        </w:tc>
        <w:tc>
          <w:tcPr>
            <w:tcW w:w="0" w:type="auto"/>
            <w:shd w:val="clear" w:color="auto" w:fill="CCEEFF"/>
            <w:tcMar>
              <w:top w:w="40" w:type="dxa"/>
              <w:left w:w="0" w:type="dxa"/>
              <w:bottom w:w="40" w:type="dxa"/>
              <w:right w:w="20" w:type="dxa"/>
            </w:tcMar>
            <w:vAlign w:val="bottom"/>
          </w:tcPr>
          <w:p w14:paraId="4090DC1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1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1C" w14:textId="77777777" w:rsidR="00833634" w:rsidRDefault="00E15D51">
            <w:pPr>
              <w:jc w:val="right"/>
              <w:textAlignment w:val="bottom"/>
            </w:pPr>
            <w:r>
              <w:rPr>
                <w:rFonts w:ascii="Arial" w:eastAsia="宋体" w:hAnsi="Arial" w:cs="Arial"/>
                <w:color w:val="000000"/>
                <w:sz w:val="20"/>
                <w:szCs w:val="20"/>
              </w:rPr>
              <w:t>(54,914)</w:t>
            </w:r>
          </w:p>
        </w:tc>
        <w:tc>
          <w:tcPr>
            <w:tcW w:w="0" w:type="auto"/>
            <w:shd w:val="clear" w:color="auto" w:fill="CCEEFF"/>
            <w:tcMar>
              <w:top w:w="40" w:type="dxa"/>
              <w:left w:w="0" w:type="dxa"/>
              <w:bottom w:w="40" w:type="dxa"/>
              <w:right w:w="20" w:type="dxa"/>
            </w:tcMar>
            <w:vAlign w:val="bottom"/>
          </w:tcPr>
          <w:p w14:paraId="4090DC1D" w14:textId="77777777" w:rsidR="00833634" w:rsidRDefault="00833634">
            <w:pPr>
              <w:jc w:val="right"/>
              <w:rPr>
                <w:rFonts w:ascii="宋体"/>
              </w:rPr>
            </w:pPr>
          </w:p>
        </w:tc>
      </w:tr>
      <w:tr w:rsidR="00833634" w14:paraId="4090DC25" w14:textId="77777777">
        <w:tc>
          <w:tcPr>
            <w:tcW w:w="0" w:type="auto"/>
            <w:gridSpan w:val="3"/>
            <w:shd w:val="clear" w:color="auto" w:fill="FFFFFF"/>
            <w:tcMar>
              <w:top w:w="40" w:type="dxa"/>
              <w:left w:w="135" w:type="dxa"/>
              <w:bottom w:w="40" w:type="dxa"/>
              <w:right w:w="20" w:type="dxa"/>
            </w:tcMar>
            <w:vAlign w:val="bottom"/>
          </w:tcPr>
          <w:p w14:paraId="4090DC1F" w14:textId="77777777" w:rsidR="00833634" w:rsidRDefault="00E15D51">
            <w:pPr>
              <w:textAlignment w:val="bottom"/>
            </w:pPr>
            <w:r>
              <w:rPr>
                <w:rFonts w:ascii="Arial" w:eastAsia="宋体" w:hAnsi="Arial" w:cs="Arial"/>
                <w:color w:val="000000"/>
                <w:sz w:val="20"/>
                <w:szCs w:val="20"/>
              </w:rPr>
              <w:t xml:space="preserve">Retained </w:t>
            </w:r>
            <w:r>
              <w:rPr>
                <w:rFonts w:ascii="Arial" w:eastAsia="宋体" w:hAnsi="Arial" w:cs="Arial"/>
                <w:color w:val="000000"/>
                <w:sz w:val="20"/>
                <w:szCs w:val="20"/>
              </w:rPr>
              <w:t>earnings</w:t>
            </w:r>
          </w:p>
        </w:tc>
        <w:tc>
          <w:tcPr>
            <w:tcW w:w="0" w:type="auto"/>
            <w:gridSpan w:val="2"/>
            <w:shd w:val="clear" w:color="auto" w:fill="FFFFFF"/>
            <w:tcMar>
              <w:top w:w="40" w:type="dxa"/>
              <w:left w:w="20" w:type="dxa"/>
              <w:bottom w:w="40" w:type="dxa"/>
              <w:right w:w="0" w:type="dxa"/>
            </w:tcMar>
            <w:vAlign w:val="bottom"/>
          </w:tcPr>
          <w:p w14:paraId="4090DC20" w14:textId="77777777" w:rsidR="00833634" w:rsidRDefault="00E15D51">
            <w:pPr>
              <w:jc w:val="right"/>
              <w:textAlignment w:val="bottom"/>
            </w:pPr>
            <w:r>
              <w:rPr>
                <w:rFonts w:ascii="Arial" w:eastAsia="宋体" w:hAnsi="Arial" w:cs="Arial"/>
                <w:b/>
                <w:bCs/>
                <w:color w:val="000000"/>
                <w:sz w:val="20"/>
                <w:szCs w:val="20"/>
              </w:rPr>
              <w:t>47,029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DC2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2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23" w14:textId="77777777" w:rsidR="00833634" w:rsidRDefault="00E15D51">
            <w:pPr>
              <w:jc w:val="right"/>
              <w:textAlignment w:val="bottom"/>
            </w:pPr>
            <w:r>
              <w:rPr>
                <w:rFonts w:ascii="Arial" w:eastAsia="宋体" w:hAnsi="Arial" w:cs="Arial"/>
                <w:color w:val="000000"/>
                <w:sz w:val="20"/>
                <w:szCs w:val="20"/>
              </w:rPr>
              <w:t>50,644 </w:t>
            </w:r>
          </w:p>
        </w:tc>
        <w:tc>
          <w:tcPr>
            <w:tcW w:w="0" w:type="auto"/>
            <w:shd w:val="clear" w:color="auto" w:fill="FFFFFF"/>
            <w:tcMar>
              <w:top w:w="40" w:type="dxa"/>
              <w:left w:w="0" w:type="dxa"/>
              <w:bottom w:w="40" w:type="dxa"/>
              <w:right w:w="20" w:type="dxa"/>
            </w:tcMar>
            <w:vAlign w:val="bottom"/>
          </w:tcPr>
          <w:p w14:paraId="4090DC24" w14:textId="77777777" w:rsidR="00833634" w:rsidRDefault="00833634">
            <w:pPr>
              <w:jc w:val="right"/>
              <w:rPr>
                <w:rFonts w:ascii="宋体"/>
              </w:rPr>
            </w:pPr>
          </w:p>
        </w:tc>
      </w:tr>
      <w:tr w:rsidR="00833634" w14:paraId="4090DC2C" w14:textId="77777777">
        <w:tc>
          <w:tcPr>
            <w:tcW w:w="0" w:type="auto"/>
            <w:gridSpan w:val="3"/>
            <w:shd w:val="clear" w:color="auto" w:fill="CCEEFF"/>
            <w:tcMar>
              <w:top w:w="40" w:type="dxa"/>
              <w:left w:w="135" w:type="dxa"/>
              <w:bottom w:w="40" w:type="dxa"/>
              <w:right w:w="20" w:type="dxa"/>
            </w:tcMar>
            <w:vAlign w:val="bottom"/>
          </w:tcPr>
          <w:p w14:paraId="4090DC26" w14:textId="77777777" w:rsidR="00833634" w:rsidRDefault="00E15D51">
            <w:pPr>
              <w:textAlignment w:val="bottom"/>
            </w:pPr>
            <w:r>
              <w:rPr>
                <w:rFonts w:ascii="Arial" w:eastAsia="宋体" w:hAnsi="Arial" w:cs="Arial"/>
                <w:color w:val="000000"/>
                <w:sz w:val="20"/>
                <w:szCs w:val="20"/>
              </w:rPr>
              <w:t>Accumulated other comprehensive loss</w:t>
            </w:r>
          </w:p>
        </w:tc>
        <w:tc>
          <w:tcPr>
            <w:tcW w:w="0" w:type="auto"/>
            <w:gridSpan w:val="2"/>
            <w:shd w:val="clear" w:color="auto" w:fill="CCEEFF"/>
            <w:tcMar>
              <w:top w:w="40" w:type="dxa"/>
              <w:left w:w="20" w:type="dxa"/>
              <w:bottom w:w="40" w:type="dxa"/>
              <w:right w:w="0" w:type="dxa"/>
            </w:tcMar>
            <w:vAlign w:val="bottom"/>
          </w:tcPr>
          <w:p w14:paraId="4090DC27" w14:textId="77777777" w:rsidR="00833634" w:rsidRDefault="00E15D51">
            <w:pPr>
              <w:jc w:val="right"/>
              <w:textAlignment w:val="bottom"/>
            </w:pPr>
            <w:r>
              <w:rPr>
                <w:rFonts w:ascii="Arial" w:eastAsia="宋体" w:hAnsi="Arial" w:cs="Arial"/>
                <w:b/>
                <w:bCs/>
                <w:color w:val="000000"/>
                <w:sz w:val="20"/>
                <w:szCs w:val="20"/>
              </w:rPr>
              <w:t>(15,779)</w:t>
            </w:r>
          </w:p>
        </w:tc>
        <w:tc>
          <w:tcPr>
            <w:tcW w:w="0" w:type="auto"/>
            <w:shd w:val="clear" w:color="auto" w:fill="CCEEFF"/>
            <w:tcMar>
              <w:top w:w="40" w:type="dxa"/>
              <w:left w:w="0" w:type="dxa"/>
              <w:bottom w:w="40" w:type="dxa"/>
              <w:right w:w="20" w:type="dxa"/>
            </w:tcMar>
            <w:vAlign w:val="bottom"/>
          </w:tcPr>
          <w:p w14:paraId="4090DC2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2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2A" w14:textId="77777777" w:rsidR="00833634" w:rsidRDefault="00E15D51">
            <w:pPr>
              <w:jc w:val="right"/>
              <w:textAlignment w:val="bottom"/>
            </w:pPr>
            <w:r>
              <w:rPr>
                <w:rFonts w:ascii="Arial" w:eastAsia="宋体" w:hAnsi="Arial" w:cs="Arial"/>
                <w:color w:val="000000"/>
                <w:sz w:val="20"/>
                <w:szCs w:val="20"/>
              </w:rPr>
              <w:t>(16,153)</w:t>
            </w:r>
          </w:p>
        </w:tc>
        <w:tc>
          <w:tcPr>
            <w:tcW w:w="0" w:type="auto"/>
            <w:shd w:val="clear" w:color="auto" w:fill="CCEEFF"/>
            <w:tcMar>
              <w:top w:w="40" w:type="dxa"/>
              <w:left w:w="0" w:type="dxa"/>
              <w:bottom w:w="40" w:type="dxa"/>
              <w:right w:w="20" w:type="dxa"/>
            </w:tcMar>
            <w:vAlign w:val="bottom"/>
          </w:tcPr>
          <w:p w14:paraId="4090DC2B" w14:textId="77777777" w:rsidR="00833634" w:rsidRDefault="00833634">
            <w:pPr>
              <w:jc w:val="right"/>
              <w:rPr>
                <w:rFonts w:ascii="宋体"/>
              </w:rPr>
            </w:pPr>
          </w:p>
        </w:tc>
      </w:tr>
      <w:tr w:rsidR="00833634" w14:paraId="4090DC33" w14:textId="77777777">
        <w:tc>
          <w:tcPr>
            <w:tcW w:w="0" w:type="auto"/>
            <w:gridSpan w:val="3"/>
            <w:tcBorders>
              <w:top w:val="single" w:sz="8" w:space="0" w:color="000000"/>
            </w:tcBorders>
            <w:shd w:val="clear" w:color="auto" w:fill="FFFFFF"/>
            <w:tcMar>
              <w:top w:w="40" w:type="dxa"/>
              <w:left w:w="495" w:type="dxa"/>
              <w:bottom w:w="40" w:type="dxa"/>
              <w:right w:w="20" w:type="dxa"/>
            </w:tcMar>
            <w:vAlign w:val="bottom"/>
          </w:tcPr>
          <w:p w14:paraId="4090DC2D" w14:textId="77777777" w:rsidR="00833634" w:rsidRDefault="00E15D51">
            <w:pPr>
              <w:textAlignment w:val="bottom"/>
            </w:pPr>
            <w:r>
              <w:rPr>
                <w:rFonts w:ascii="Arial" w:eastAsia="宋体" w:hAnsi="Arial" w:cs="Arial"/>
                <w:b/>
                <w:bCs/>
                <w:color w:val="000000"/>
                <w:sz w:val="20"/>
                <w:szCs w:val="20"/>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C2E" w14:textId="77777777" w:rsidR="00833634" w:rsidRDefault="00E15D51">
            <w:pPr>
              <w:jc w:val="right"/>
              <w:textAlignment w:val="bottom"/>
            </w:pPr>
            <w:r>
              <w:rPr>
                <w:rFonts w:ascii="Arial" w:eastAsia="宋体" w:hAnsi="Arial" w:cs="Arial"/>
                <w:b/>
                <w:bCs/>
                <w:color w:val="000000"/>
                <w:sz w:val="20"/>
                <w:szCs w:val="20"/>
              </w:rPr>
              <w:t>(11,821)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C2F"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C30"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C31" w14:textId="77777777" w:rsidR="00833634" w:rsidRDefault="00E15D51">
            <w:pPr>
              <w:jc w:val="right"/>
              <w:textAlignment w:val="bottom"/>
            </w:pPr>
            <w:r>
              <w:rPr>
                <w:rFonts w:ascii="Arial" w:eastAsia="宋体" w:hAnsi="Arial" w:cs="Arial"/>
                <w:color w:val="000000"/>
                <w:sz w:val="20"/>
                <w:szCs w:val="20"/>
              </w:rPr>
              <w:t>(8,617)</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C32" w14:textId="77777777" w:rsidR="00833634" w:rsidRDefault="00833634">
            <w:pPr>
              <w:jc w:val="right"/>
              <w:rPr>
                <w:rFonts w:ascii="宋体"/>
              </w:rPr>
            </w:pPr>
          </w:p>
        </w:tc>
      </w:tr>
      <w:tr w:rsidR="00833634" w14:paraId="4090DC3A" w14:textId="77777777">
        <w:tc>
          <w:tcPr>
            <w:tcW w:w="0" w:type="auto"/>
            <w:gridSpan w:val="3"/>
            <w:shd w:val="clear" w:color="auto" w:fill="CCEEFF"/>
            <w:tcMar>
              <w:top w:w="40" w:type="dxa"/>
              <w:left w:w="20" w:type="dxa"/>
              <w:bottom w:w="40" w:type="dxa"/>
              <w:right w:w="20" w:type="dxa"/>
            </w:tcMar>
            <w:vAlign w:val="bottom"/>
          </w:tcPr>
          <w:p w14:paraId="4090DC34" w14:textId="77777777" w:rsidR="00833634" w:rsidRDefault="00E15D51">
            <w:pPr>
              <w:textAlignment w:val="bottom"/>
            </w:pPr>
            <w:r>
              <w:rPr>
                <w:rFonts w:ascii="Arial" w:eastAsia="宋体" w:hAnsi="Arial" w:cs="Arial"/>
                <w:color w:val="000000"/>
                <w:sz w:val="20"/>
                <w:szCs w:val="20"/>
              </w:rPr>
              <w:t>Noncontrolling interests</w:t>
            </w:r>
          </w:p>
        </w:tc>
        <w:tc>
          <w:tcPr>
            <w:tcW w:w="0" w:type="auto"/>
            <w:gridSpan w:val="2"/>
            <w:shd w:val="clear" w:color="auto" w:fill="CCEEFF"/>
            <w:tcMar>
              <w:top w:w="40" w:type="dxa"/>
              <w:left w:w="20" w:type="dxa"/>
              <w:bottom w:w="40" w:type="dxa"/>
              <w:right w:w="0" w:type="dxa"/>
            </w:tcMar>
            <w:vAlign w:val="bottom"/>
          </w:tcPr>
          <w:p w14:paraId="4090DC35" w14:textId="77777777" w:rsidR="00833634" w:rsidRDefault="00E15D51">
            <w:pPr>
              <w:jc w:val="right"/>
              <w:textAlignment w:val="bottom"/>
            </w:pPr>
            <w:r>
              <w:rPr>
                <w:rFonts w:ascii="Arial" w:eastAsia="宋体" w:hAnsi="Arial" w:cs="Arial"/>
                <w:b/>
                <w:bCs/>
                <w:color w:val="000000"/>
                <w:sz w:val="20"/>
                <w:szCs w:val="20"/>
              </w:rPr>
              <w:t>268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DC3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3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38" w14:textId="77777777" w:rsidR="00833634" w:rsidRDefault="00E15D51">
            <w:pPr>
              <w:jc w:val="right"/>
              <w:textAlignment w:val="bottom"/>
            </w:pPr>
            <w:r>
              <w:rPr>
                <w:rFonts w:ascii="Arial" w:eastAsia="宋体" w:hAnsi="Arial" w:cs="Arial"/>
                <w:color w:val="000000"/>
                <w:sz w:val="20"/>
                <w:szCs w:val="20"/>
              </w:rPr>
              <w:t>317 </w:t>
            </w:r>
          </w:p>
        </w:tc>
        <w:tc>
          <w:tcPr>
            <w:tcW w:w="0" w:type="auto"/>
            <w:shd w:val="clear" w:color="auto" w:fill="CCEEFF"/>
            <w:tcMar>
              <w:top w:w="40" w:type="dxa"/>
              <w:left w:w="0" w:type="dxa"/>
              <w:bottom w:w="40" w:type="dxa"/>
              <w:right w:w="20" w:type="dxa"/>
            </w:tcMar>
            <w:vAlign w:val="bottom"/>
          </w:tcPr>
          <w:p w14:paraId="4090DC39" w14:textId="77777777" w:rsidR="00833634" w:rsidRDefault="00833634">
            <w:pPr>
              <w:jc w:val="right"/>
              <w:rPr>
                <w:rFonts w:ascii="宋体"/>
              </w:rPr>
            </w:pPr>
          </w:p>
        </w:tc>
      </w:tr>
      <w:tr w:rsidR="00833634" w14:paraId="4090DC41" w14:textId="77777777">
        <w:tc>
          <w:tcPr>
            <w:tcW w:w="0" w:type="auto"/>
            <w:gridSpan w:val="3"/>
            <w:tcBorders>
              <w:top w:val="single" w:sz="8" w:space="0" w:color="000000"/>
            </w:tcBorders>
            <w:shd w:val="clear" w:color="auto" w:fill="FFFFFF"/>
            <w:tcMar>
              <w:top w:w="40" w:type="dxa"/>
              <w:left w:w="495" w:type="dxa"/>
              <w:bottom w:w="40" w:type="dxa"/>
              <w:right w:w="20" w:type="dxa"/>
            </w:tcMar>
            <w:vAlign w:val="bottom"/>
          </w:tcPr>
          <w:p w14:paraId="4090DC3B" w14:textId="77777777" w:rsidR="00833634" w:rsidRDefault="00E15D51">
            <w:pPr>
              <w:textAlignment w:val="bottom"/>
            </w:pPr>
            <w:r>
              <w:rPr>
                <w:rFonts w:ascii="Arial" w:eastAsia="宋体" w:hAnsi="Arial" w:cs="Arial"/>
                <w:b/>
                <w:bCs/>
                <w:color w:val="000000"/>
                <w:sz w:val="20"/>
                <w:szCs w:val="20"/>
              </w:rPr>
              <w:t>Total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C3C" w14:textId="77777777" w:rsidR="00833634" w:rsidRDefault="00E15D51">
            <w:pPr>
              <w:jc w:val="right"/>
              <w:textAlignment w:val="bottom"/>
            </w:pPr>
            <w:r>
              <w:rPr>
                <w:rFonts w:ascii="Arial" w:eastAsia="宋体" w:hAnsi="Arial" w:cs="Arial"/>
                <w:b/>
                <w:bCs/>
                <w:color w:val="000000"/>
                <w:sz w:val="20"/>
                <w:szCs w:val="20"/>
              </w:rPr>
              <w:t>(11,553)</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C3D"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C3E"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C3F" w14:textId="77777777" w:rsidR="00833634" w:rsidRDefault="00E15D51">
            <w:pPr>
              <w:jc w:val="right"/>
              <w:textAlignment w:val="bottom"/>
            </w:pPr>
            <w:r>
              <w:rPr>
                <w:rFonts w:ascii="Arial" w:eastAsia="宋体" w:hAnsi="Arial" w:cs="Arial"/>
                <w:color w:val="000000"/>
                <w:sz w:val="20"/>
                <w:szCs w:val="20"/>
              </w:rPr>
              <w:t>(8,300)</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C40" w14:textId="77777777" w:rsidR="00833634" w:rsidRDefault="00833634">
            <w:pPr>
              <w:jc w:val="right"/>
              <w:rPr>
                <w:rFonts w:ascii="宋体"/>
              </w:rPr>
            </w:pPr>
          </w:p>
        </w:tc>
      </w:tr>
      <w:tr w:rsidR="00833634" w14:paraId="4090DC48" w14:textId="77777777">
        <w:tc>
          <w:tcPr>
            <w:tcW w:w="0" w:type="auto"/>
            <w:gridSpan w:val="3"/>
            <w:tcBorders>
              <w:top w:val="single" w:sz="8" w:space="0" w:color="000000"/>
              <w:bottom w:val="double" w:sz="6" w:space="0" w:color="000000"/>
            </w:tcBorders>
            <w:shd w:val="clear" w:color="auto" w:fill="CCEEFF"/>
            <w:tcMar>
              <w:top w:w="40" w:type="dxa"/>
              <w:left w:w="495" w:type="dxa"/>
              <w:bottom w:w="40" w:type="dxa"/>
              <w:right w:w="20" w:type="dxa"/>
            </w:tcMar>
            <w:vAlign w:val="bottom"/>
          </w:tcPr>
          <w:p w14:paraId="4090DC42" w14:textId="77777777" w:rsidR="00833634" w:rsidRDefault="00E15D51">
            <w:pPr>
              <w:textAlignment w:val="bottom"/>
            </w:pPr>
            <w:r>
              <w:rPr>
                <w:rFonts w:ascii="Arial" w:eastAsia="宋体" w:hAnsi="Arial" w:cs="Arial"/>
                <w:b/>
                <w:bCs/>
                <w:color w:val="000000"/>
                <w:sz w:val="20"/>
                <w:szCs w:val="20"/>
              </w:rPr>
              <w:t>Total liabilities and equity</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DC43" w14:textId="77777777" w:rsidR="00833634" w:rsidRDefault="00E15D51">
            <w:pPr>
              <w:jc w:val="right"/>
              <w:textAlignment w:val="bottom"/>
            </w:pPr>
            <w:r>
              <w:rPr>
                <w:rFonts w:ascii="Arial" w:eastAsia="宋体" w:hAnsi="Arial" w:cs="Arial"/>
                <w:b/>
                <w:bCs/>
                <w:color w:val="000000"/>
                <w:sz w:val="20"/>
                <w:szCs w:val="20"/>
              </w:rPr>
              <w:t>$161,261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DC44"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DC45"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DC46" w14:textId="77777777" w:rsidR="00833634" w:rsidRDefault="00E15D51">
            <w:pPr>
              <w:jc w:val="right"/>
              <w:textAlignment w:val="bottom"/>
            </w:pPr>
            <w:r>
              <w:rPr>
                <w:rFonts w:ascii="Arial" w:eastAsia="宋体" w:hAnsi="Arial" w:cs="Arial"/>
                <w:color w:val="000000"/>
                <w:sz w:val="20"/>
                <w:szCs w:val="20"/>
              </w:rPr>
              <w:t>$133,625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DC47" w14:textId="77777777" w:rsidR="00833634" w:rsidRDefault="00833634">
            <w:pPr>
              <w:jc w:val="right"/>
              <w:rPr>
                <w:rFonts w:ascii="宋体"/>
              </w:rPr>
            </w:pPr>
          </w:p>
        </w:tc>
      </w:tr>
    </w:tbl>
    <w:p w14:paraId="4090DC49" w14:textId="77777777" w:rsidR="00833634" w:rsidRDefault="00E15D51">
      <w:pPr>
        <w:spacing w:after="180"/>
        <w:jc w:val="both"/>
      </w:pPr>
      <w:r>
        <w:rPr>
          <w:rFonts w:ascii="Arial" w:eastAsia="宋体" w:hAnsi="Arial" w:cs="Arial"/>
          <w:color w:val="000000"/>
          <w:sz w:val="20"/>
          <w:szCs w:val="20"/>
        </w:rPr>
        <w:t>See Notes to the Condensed Consolidated Financial Statements.</w:t>
      </w:r>
    </w:p>
    <w:p w14:paraId="4090DC4A" w14:textId="77777777" w:rsidR="00833634" w:rsidRDefault="00E15D51">
      <w:pPr>
        <w:spacing w:after="180"/>
        <w:jc w:val="center"/>
      </w:pPr>
      <w:r>
        <w:rPr>
          <w:rFonts w:ascii="Arial" w:eastAsia="宋体" w:hAnsi="Arial" w:cs="Arial"/>
          <w:color w:val="000000"/>
          <w:sz w:val="18"/>
          <w:szCs w:val="18"/>
        </w:rPr>
        <w:t>3</w:t>
      </w:r>
    </w:p>
    <w:p w14:paraId="4090DC4B" w14:textId="77777777" w:rsidR="00833634" w:rsidRDefault="00E15D51">
      <w:r>
        <w:pict w14:anchorId="4090FE23">
          <v:rect id="_x0000_i1029" style="width:415.3pt;height:1.5pt" o:hralign="center" o:hrstd="t" o:hr="t" fillcolor="#a0a0a0" stroked="f"/>
        </w:pict>
      </w:r>
    </w:p>
    <w:p w14:paraId="4090DC4C" w14:textId="77777777" w:rsidR="00833634" w:rsidRDefault="00E15D51">
      <w:pPr>
        <w:spacing w:after="180"/>
        <w:jc w:val="both"/>
      </w:pPr>
      <w:hyperlink r:id="rId106" w:anchor="i8d805bfb1e1c4815a1dcd5b6d1e0b117_10" w:history="1">
        <w:r>
          <w:rPr>
            <w:rStyle w:val="a5"/>
            <w:rFonts w:ascii="Arial" w:eastAsia="宋体" w:hAnsi="Arial" w:cs="Arial"/>
            <w:sz w:val="18"/>
            <w:szCs w:val="18"/>
          </w:rPr>
          <w:t>Table of Contents</w:t>
        </w:r>
      </w:hyperlink>
    </w:p>
    <w:p w14:paraId="4090DC4D" w14:textId="77777777" w:rsidR="00833634" w:rsidRDefault="00E15D51">
      <w:pPr>
        <w:jc w:val="center"/>
      </w:pPr>
      <w:r>
        <w:rPr>
          <w:rFonts w:ascii="Arial" w:eastAsia="宋体" w:hAnsi="Arial" w:cs="Arial"/>
          <w:b/>
          <w:bCs/>
          <w:color w:val="000000"/>
          <w:sz w:val="20"/>
          <w:szCs w:val="20"/>
        </w:rPr>
        <w:t>The Boeing Company and Subsidiaries</w:t>
      </w:r>
    </w:p>
    <w:p w14:paraId="4090DC4E" w14:textId="77777777" w:rsidR="00833634" w:rsidRDefault="00E15D51">
      <w:pPr>
        <w:jc w:val="center"/>
      </w:pPr>
      <w:r>
        <w:rPr>
          <w:rFonts w:ascii="Arial" w:eastAsia="宋体" w:hAnsi="Arial" w:cs="Arial"/>
          <w:b/>
          <w:bCs/>
          <w:color w:val="000000"/>
          <w:sz w:val="20"/>
          <w:szCs w:val="20"/>
        </w:rPr>
        <w:t xml:space="preserve">Condensed Consolidated Statements of Cash </w:t>
      </w:r>
      <w:r>
        <w:rPr>
          <w:rFonts w:ascii="Arial" w:eastAsia="宋体" w:hAnsi="Arial" w:cs="Arial"/>
          <w:b/>
          <w:bCs/>
          <w:color w:val="000000"/>
          <w:sz w:val="20"/>
          <w:szCs w:val="20"/>
        </w:rPr>
        <w:t>Flows</w:t>
      </w:r>
    </w:p>
    <w:p w14:paraId="4090DC4F" w14:textId="77777777" w:rsidR="00833634" w:rsidRDefault="00E15D51">
      <w:pPr>
        <w:spacing w:after="120"/>
        <w:jc w:val="center"/>
      </w:pPr>
      <w:r>
        <w:rPr>
          <w:rFonts w:ascii="Arial" w:eastAsia="宋体" w:hAnsi="Arial" w:cs="Arial"/>
          <w:color w:val="000000"/>
          <w:sz w:val="20"/>
          <w:szCs w:val="20"/>
        </w:rPr>
        <w:t>(Unaudited)</w:t>
      </w:r>
    </w:p>
    <w:tbl>
      <w:tblPr>
        <w:tblW w:w="4944" w:type="pct"/>
        <w:jc w:val="center"/>
        <w:tblCellMar>
          <w:top w:w="15" w:type="dxa"/>
          <w:left w:w="15" w:type="dxa"/>
          <w:bottom w:w="15" w:type="dxa"/>
          <w:right w:w="15" w:type="dxa"/>
        </w:tblCellMar>
        <w:tblLook w:val="04A0" w:firstRow="1" w:lastRow="0" w:firstColumn="1" w:lastColumn="0" w:noHBand="0" w:noVBand="1"/>
      </w:tblPr>
      <w:tblGrid>
        <w:gridCol w:w="61"/>
        <w:gridCol w:w="5927"/>
        <w:gridCol w:w="39"/>
        <w:gridCol w:w="62"/>
        <w:gridCol w:w="958"/>
        <w:gridCol w:w="37"/>
        <w:gridCol w:w="37"/>
        <w:gridCol w:w="37"/>
        <w:gridCol w:w="37"/>
        <w:gridCol w:w="54"/>
        <w:gridCol w:w="958"/>
        <w:gridCol w:w="36"/>
      </w:tblGrid>
      <w:tr w:rsidR="00833634" w14:paraId="4090DC5C" w14:textId="77777777">
        <w:trPr>
          <w:jc w:val="center"/>
        </w:trPr>
        <w:tc>
          <w:tcPr>
            <w:tcW w:w="50" w:type="pct"/>
            <w:shd w:val="clear" w:color="auto" w:fill="auto"/>
          </w:tcPr>
          <w:p w14:paraId="4090DC50" w14:textId="77777777" w:rsidR="00833634" w:rsidRDefault="00833634">
            <w:pPr>
              <w:rPr>
                <w:rFonts w:ascii="宋体"/>
              </w:rPr>
            </w:pPr>
          </w:p>
        </w:tc>
        <w:tc>
          <w:tcPr>
            <w:tcW w:w="3607" w:type="pct"/>
            <w:shd w:val="clear" w:color="auto" w:fill="auto"/>
          </w:tcPr>
          <w:p w14:paraId="4090DC51" w14:textId="77777777" w:rsidR="00833634" w:rsidRDefault="00833634">
            <w:pPr>
              <w:rPr>
                <w:rFonts w:ascii="宋体"/>
              </w:rPr>
            </w:pPr>
          </w:p>
        </w:tc>
        <w:tc>
          <w:tcPr>
            <w:tcW w:w="5" w:type="pct"/>
            <w:shd w:val="clear" w:color="auto" w:fill="auto"/>
          </w:tcPr>
          <w:p w14:paraId="4090DC52" w14:textId="77777777" w:rsidR="00833634" w:rsidRDefault="00833634">
            <w:pPr>
              <w:rPr>
                <w:rFonts w:ascii="宋体"/>
              </w:rPr>
            </w:pPr>
          </w:p>
        </w:tc>
        <w:tc>
          <w:tcPr>
            <w:tcW w:w="50" w:type="pct"/>
            <w:shd w:val="clear" w:color="auto" w:fill="auto"/>
          </w:tcPr>
          <w:p w14:paraId="4090DC53" w14:textId="77777777" w:rsidR="00833634" w:rsidRDefault="00833634">
            <w:pPr>
              <w:rPr>
                <w:rFonts w:ascii="宋体"/>
              </w:rPr>
            </w:pPr>
          </w:p>
        </w:tc>
        <w:tc>
          <w:tcPr>
            <w:tcW w:w="593" w:type="pct"/>
            <w:shd w:val="clear" w:color="auto" w:fill="auto"/>
          </w:tcPr>
          <w:p w14:paraId="4090DC54" w14:textId="77777777" w:rsidR="00833634" w:rsidRDefault="00833634">
            <w:pPr>
              <w:rPr>
                <w:rFonts w:ascii="宋体"/>
              </w:rPr>
            </w:pPr>
          </w:p>
        </w:tc>
        <w:tc>
          <w:tcPr>
            <w:tcW w:w="5" w:type="pct"/>
            <w:shd w:val="clear" w:color="auto" w:fill="auto"/>
          </w:tcPr>
          <w:p w14:paraId="4090DC55" w14:textId="77777777" w:rsidR="00833634" w:rsidRDefault="00833634">
            <w:pPr>
              <w:rPr>
                <w:rFonts w:ascii="宋体"/>
              </w:rPr>
            </w:pPr>
          </w:p>
        </w:tc>
        <w:tc>
          <w:tcPr>
            <w:tcW w:w="5" w:type="pct"/>
            <w:shd w:val="clear" w:color="auto" w:fill="auto"/>
          </w:tcPr>
          <w:p w14:paraId="4090DC56" w14:textId="77777777" w:rsidR="00833634" w:rsidRDefault="00833634">
            <w:pPr>
              <w:rPr>
                <w:rFonts w:ascii="宋体"/>
              </w:rPr>
            </w:pPr>
          </w:p>
        </w:tc>
        <w:tc>
          <w:tcPr>
            <w:tcW w:w="30" w:type="pct"/>
            <w:shd w:val="clear" w:color="auto" w:fill="auto"/>
          </w:tcPr>
          <w:p w14:paraId="4090DC57" w14:textId="77777777" w:rsidR="00833634" w:rsidRDefault="00833634">
            <w:pPr>
              <w:rPr>
                <w:rFonts w:ascii="宋体"/>
              </w:rPr>
            </w:pPr>
          </w:p>
        </w:tc>
        <w:tc>
          <w:tcPr>
            <w:tcW w:w="5" w:type="pct"/>
            <w:shd w:val="clear" w:color="auto" w:fill="auto"/>
          </w:tcPr>
          <w:p w14:paraId="4090DC58" w14:textId="77777777" w:rsidR="00833634" w:rsidRDefault="00833634">
            <w:pPr>
              <w:rPr>
                <w:rFonts w:ascii="宋体"/>
              </w:rPr>
            </w:pPr>
          </w:p>
        </w:tc>
        <w:tc>
          <w:tcPr>
            <w:tcW w:w="50" w:type="pct"/>
            <w:shd w:val="clear" w:color="auto" w:fill="auto"/>
          </w:tcPr>
          <w:p w14:paraId="4090DC59" w14:textId="77777777" w:rsidR="00833634" w:rsidRDefault="00833634">
            <w:pPr>
              <w:rPr>
                <w:rFonts w:ascii="宋体"/>
              </w:rPr>
            </w:pPr>
          </w:p>
        </w:tc>
        <w:tc>
          <w:tcPr>
            <w:tcW w:w="593" w:type="pct"/>
            <w:shd w:val="clear" w:color="auto" w:fill="auto"/>
          </w:tcPr>
          <w:p w14:paraId="4090DC5A" w14:textId="77777777" w:rsidR="00833634" w:rsidRDefault="00833634">
            <w:pPr>
              <w:rPr>
                <w:rFonts w:ascii="宋体"/>
              </w:rPr>
            </w:pPr>
          </w:p>
        </w:tc>
        <w:tc>
          <w:tcPr>
            <w:tcW w:w="5" w:type="pct"/>
            <w:shd w:val="clear" w:color="auto" w:fill="auto"/>
          </w:tcPr>
          <w:p w14:paraId="4090DC5B" w14:textId="77777777" w:rsidR="00833634" w:rsidRDefault="00833634">
            <w:pPr>
              <w:rPr>
                <w:rFonts w:ascii="宋体"/>
              </w:rPr>
            </w:pPr>
          </w:p>
        </w:tc>
      </w:tr>
      <w:tr w:rsidR="00833634" w14:paraId="4090DC5F" w14:textId="77777777">
        <w:trPr>
          <w:jc w:val="center"/>
        </w:trPr>
        <w:tc>
          <w:tcPr>
            <w:tcW w:w="0" w:type="auto"/>
            <w:gridSpan w:val="3"/>
            <w:shd w:val="clear" w:color="auto" w:fill="auto"/>
            <w:tcMar>
              <w:top w:w="40" w:type="dxa"/>
              <w:left w:w="20" w:type="dxa"/>
              <w:bottom w:w="40" w:type="dxa"/>
              <w:right w:w="20" w:type="dxa"/>
            </w:tcMar>
            <w:vAlign w:val="bottom"/>
          </w:tcPr>
          <w:p w14:paraId="4090DC5D" w14:textId="77777777" w:rsidR="00833634" w:rsidRDefault="00E15D51">
            <w:pPr>
              <w:textAlignment w:val="bottom"/>
            </w:pPr>
            <w:r>
              <w:rPr>
                <w:rFonts w:ascii="Arial" w:eastAsia="宋体" w:hAnsi="Arial" w:cs="Arial"/>
                <w:i/>
                <w:iCs/>
                <w:color w:val="000000"/>
                <w:sz w:val="18"/>
                <w:szCs w:val="18"/>
              </w:rPr>
              <w:t>(Dollars in millions)</w:t>
            </w:r>
          </w:p>
        </w:tc>
        <w:tc>
          <w:tcPr>
            <w:tcW w:w="0" w:type="auto"/>
            <w:gridSpan w:val="9"/>
            <w:shd w:val="clear" w:color="auto" w:fill="auto"/>
            <w:tcMar>
              <w:top w:w="40" w:type="dxa"/>
              <w:left w:w="20" w:type="dxa"/>
              <w:bottom w:w="40" w:type="dxa"/>
              <w:right w:w="20" w:type="dxa"/>
            </w:tcMar>
            <w:vAlign w:val="bottom"/>
          </w:tcPr>
          <w:p w14:paraId="4090DC5E" w14:textId="77777777" w:rsidR="00833634" w:rsidRDefault="00E15D51">
            <w:pPr>
              <w:jc w:val="center"/>
              <w:textAlignment w:val="bottom"/>
            </w:pPr>
            <w:r>
              <w:rPr>
                <w:rFonts w:ascii="Arial" w:eastAsia="宋体" w:hAnsi="Arial" w:cs="Arial"/>
                <w:b/>
                <w:bCs/>
                <w:color w:val="000000"/>
                <w:sz w:val="18"/>
                <w:szCs w:val="18"/>
              </w:rPr>
              <w:t>Nine months ended September 30</w:t>
            </w:r>
          </w:p>
        </w:tc>
      </w:tr>
      <w:tr w:rsidR="00833634" w14:paraId="4090DC64"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tcPr>
          <w:p w14:paraId="4090DC6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C61" w14:textId="77777777" w:rsidR="00833634" w:rsidRDefault="00E15D51">
            <w:pPr>
              <w:jc w:val="right"/>
              <w:textAlignment w:val="bottom"/>
            </w:pPr>
            <w:r>
              <w:rPr>
                <w:rFonts w:ascii="Arial" w:eastAsia="宋体" w:hAnsi="Arial" w:cs="Arial"/>
                <w:b/>
                <w:bCs/>
                <w:color w:val="000000"/>
                <w:sz w:val="18"/>
                <w:szCs w:val="18"/>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DC6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DC63" w14:textId="77777777" w:rsidR="00833634" w:rsidRDefault="00E15D51">
            <w:pPr>
              <w:jc w:val="right"/>
              <w:textAlignment w:val="bottom"/>
            </w:pPr>
            <w:r>
              <w:rPr>
                <w:rFonts w:ascii="Arial" w:eastAsia="宋体" w:hAnsi="Arial" w:cs="Arial"/>
                <w:color w:val="000000"/>
                <w:sz w:val="18"/>
                <w:szCs w:val="18"/>
              </w:rPr>
              <w:t>2019</w:t>
            </w:r>
          </w:p>
        </w:tc>
      </w:tr>
      <w:tr w:rsidR="00833634" w14:paraId="4090DC69"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C65" w14:textId="77777777" w:rsidR="00833634" w:rsidRDefault="00E15D51">
            <w:pPr>
              <w:textAlignment w:val="bottom"/>
            </w:pPr>
            <w:r>
              <w:rPr>
                <w:rFonts w:ascii="Arial" w:eastAsia="宋体" w:hAnsi="Arial" w:cs="Arial"/>
                <w:b/>
                <w:bCs/>
                <w:color w:val="000000"/>
                <w:sz w:val="18"/>
                <w:szCs w:val="18"/>
              </w:rPr>
              <w:t>Cash flows – operating activities:</w:t>
            </w:r>
          </w:p>
        </w:tc>
        <w:tc>
          <w:tcPr>
            <w:tcW w:w="0" w:type="auto"/>
            <w:gridSpan w:val="3"/>
            <w:tcBorders>
              <w:top w:val="single" w:sz="8" w:space="0" w:color="000000"/>
            </w:tcBorders>
            <w:shd w:val="clear" w:color="auto" w:fill="CCEEFF"/>
            <w:tcMar>
              <w:top w:w="0" w:type="dxa"/>
              <w:left w:w="20" w:type="dxa"/>
              <w:bottom w:w="0" w:type="dxa"/>
              <w:right w:w="20" w:type="dxa"/>
            </w:tcMar>
          </w:tcPr>
          <w:p w14:paraId="4090DC66"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C67"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C68" w14:textId="77777777" w:rsidR="00833634" w:rsidRDefault="00833634">
            <w:pPr>
              <w:rPr>
                <w:rFonts w:ascii="宋体"/>
              </w:rPr>
            </w:pPr>
          </w:p>
        </w:tc>
      </w:tr>
      <w:tr w:rsidR="00833634" w14:paraId="4090DC70" w14:textId="77777777">
        <w:trPr>
          <w:jc w:val="center"/>
        </w:trPr>
        <w:tc>
          <w:tcPr>
            <w:tcW w:w="0" w:type="auto"/>
            <w:gridSpan w:val="3"/>
            <w:shd w:val="clear" w:color="auto" w:fill="FFFFFF"/>
            <w:tcMar>
              <w:top w:w="40" w:type="dxa"/>
              <w:left w:w="135" w:type="dxa"/>
              <w:bottom w:w="40" w:type="dxa"/>
              <w:right w:w="20" w:type="dxa"/>
            </w:tcMar>
            <w:vAlign w:val="bottom"/>
          </w:tcPr>
          <w:p w14:paraId="4090DC6A" w14:textId="77777777" w:rsidR="00833634" w:rsidRDefault="00E15D51">
            <w:pPr>
              <w:textAlignment w:val="bottom"/>
            </w:pPr>
            <w:r>
              <w:rPr>
                <w:rFonts w:ascii="Arial" w:eastAsia="宋体" w:hAnsi="Arial" w:cs="Arial"/>
                <w:color w:val="000000"/>
                <w:sz w:val="18"/>
                <w:szCs w:val="18"/>
              </w:rPr>
              <w:t>Net (loss)/earnings</w:t>
            </w:r>
          </w:p>
        </w:tc>
        <w:tc>
          <w:tcPr>
            <w:tcW w:w="0" w:type="auto"/>
            <w:gridSpan w:val="2"/>
            <w:shd w:val="clear" w:color="auto" w:fill="FFFFFF"/>
            <w:tcMar>
              <w:top w:w="40" w:type="dxa"/>
              <w:left w:w="20" w:type="dxa"/>
              <w:bottom w:w="40" w:type="dxa"/>
              <w:right w:w="0" w:type="dxa"/>
            </w:tcMar>
            <w:vAlign w:val="bottom"/>
          </w:tcPr>
          <w:p w14:paraId="4090DC6B" w14:textId="77777777" w:rsidR="00833634" w:rsidRDefault="00E15D51">
            <w:pPr>
              <w:jc w:val="right"/>
              <w:textAlignment w:val="bottom"/>
            </w:pPr>
            <w:r>
              <w:rPr>
                <w:rFonts w:ascii="Arial" w:eastAsia="宋体" w:hAnsi="Arial" w:cs="Arial"/>
                <w:b/>
                <w:bCs/>
                <w:color w:val="000000"/>
                <w:sz w:val="18"/>
                <w:szCs w:val="18"/>
              </w:rPr>
              <w:t>($3,502)</w:t>
            </w:r>
          </w:p>
        </w:tc>
        <w:tc>
          <w:tcPr>
            <w:tcW w:w="0" w:type="auto"/>
            <w:shd w:val="clear" w:color="auto" w:fill="FFFFFF"/>
            <w:tcMar>
              <w:top w:w="40" w:type="dxa"/>
              <w:left w:w="0" w:type="dxa"/>
              <w:bottom w:w="40" w:type="dxa"/>
              <w:right w:w="20" w:type="dxa"/>
            </w:tcMar>
            <w:vAlign w:val="bottom"/>
          </w:tcPr>
          <w:p w14:paraId="4090DC6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6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6E" w14:textId="77777777" w:rsidR="00833634" w:rsidRDefault="00E15D51">
            <w:pPr>
              <w:jc w:val="right"/>
              <w:textAlignment w:val="bottom"/>
            </w:pPr>
            <w:r>
              <w:rPr>
                <w:rFonts w:ascii="Arial" w:eastAsia="宋体" w:hAnsi="Arial" w:cs="Arial"/>
                <w:color w:val="000000"/>
                <w:sz w:val="18"/>
                <w:szCs w:val="18"/>
              </w:rPr>
              <w:t>$374 </w:t>
            </w:r>
          </w:p>
        </w:tc>
        <w:tc>
          <w:tcPr>
            <w:tcW w:w="0" w:type="auto"/>
            <w:shd w:val="clear" w:color="auto" w:fill="FFFFFF"/>
            <w:tcMar>
              <w:top w:w="40" w:type="dxa"/>
              <w:left w:w="0" w:type="dxa"/>
              <w:bottom w:w="40" w:type="dxa"/>
              <w:right w:w="20" w:type="dxa"/>
            </w:tcMar>
            <w:vAlign w:val="bottom"/>
          </w:tcPr>
          <w:p w14:paraId="4090DC6F" w14:textId="77777777" w:rsidR="00833634" w:rsidRDefault="00833634">
            <w:pPr>
              <w:jc w:val="right"/>
              <w:rPr>
                <w:rFonts w:ascii="宋体"/>
              </w:rPr>
            </w:pPr>
          </w:p>
        </w:tc>
      </w:tr>
      <w:tr w:rsidR="00833634" w14:paraId="4090DC75" w14:textId="77777777">
        <w:trPr>
          <w:jc w:val="center"/>
        </w:trPr>
        <w:tc>
          <w:tcPr>
            <w:tcW w:w="0" w:type="auto"/>
            <w:gridSpan w:val="3"/>
            <w:shd w:val="clear" w:color="auto" w:fill="CCEEFF"/>
            <w:tcMar>
              <w:top w:w="40" w:type="dxa"/>
              <w:left w:w="20" w:type="dxa"/>
              <w:bottom w:w="40" w:type="dxa"/>
              <w:right w:w="20" w:type="dxa"/>
            </w:tcMar>
            <w:vAlign w:val="bottom"/>
          </w:tcPr>
          <w:p w14:paraId="4090DC71" w14:textId="77777777" w:rsidR="00833634" w:rsidRDefault="00E15D51">
            <w:pPr>
              <w:ind w:hanging="90"/>
              <w:textAlignment w:val="bottom"/>
            </w:pPr>
            <w:r>
              <w:rPr>
                <w:rFonts w:ascii="Arial" w:eastAsia="宋体" w:hAnsi="Arial" w:cs="Arial"/>
                <w:color w:val="000000"/>
                <w:sz w:val="18"/>
                <w:szCs w:val="18"/>
              </w:rPr>
              <w:t xml:space="preserve">Adjustments to reconcile net loss to net cash (used)/provided by </w:t>
            </w:r>
            <w:r>
              <w:rPr>
                <w:rFonts w:ascii="Arial" w:eastAsia="宋体" w:hAnsi="Arial" w:cs="Arial"/>
                <w:color w:val="000000"/>
                <w:sz w:val="18"/>
                <w:szCs w:val="18"/>
              </w:rPr>
              <w:t>operating activities:</w:t>
            </w:r>
          </w:p>
        </w:tc>
        <w:tc>
          <w:tcPr>
            <w:tcW w:w="0" w:type="auto"/>
            <w:gridSpan w:val="3"/>
            <w:shd w:val="clear" w:color="auto" w:fill="CCEEFF"/>
            <w:tcMar>
              <w:top w:w="0" w:type="dxa"/>
              <w:left w:w="20" w:type="dxa"/>
              <w:bottom w:w="0" w:type="dxa"/>
              <w:right w:w="20" w:type="dxa"/>
            </w:tcMar>
          </w:tcPr>
          <w:p w14:paraId="4090DC72"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C73"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C74" w14:textId="77777777" w:rsidR="00833634" w:rsidRDefault="00833634">
            <w:pPr>
              <w:rPr>
                <w:rFonts w:ascii="宋体"/>
              </w:rPr>
            </w:pPr>
          </w:p>
        </w:tc>
      </w:tr>
      <w:tr w:rsidR="00833634" w14:paraId="4090DC7A" w14:textId="77777777">
        <w:trPr>
          <w:jc w:val="center"/>
        </w:trPr>
        <w:tc>
          <w:tcPr>
            <w:tcW w:w="0" w:type="auto"/>
            <w:gridSpan w:val="3"/>
            <w:shd w:val="clear" w:color="auto" w:fill="FFFFFF"/>
            <w:tcMar>
              <w:top w:w="40" w:type="dxa"/>
              <w:left w:w="360" w:type="dxa"/>
              <w:bottom w:w="40" w:type="dxa"/>
              <w:right w:w="20" w:type="dxa"/>
            </w:tcMar>
            <w:vAlign w:val="bottom"/>
          </w:tcPr>
          <w:p w14:paraId="4090DC76" w14:textId="77777777" w:rsidR="00833634" w:rsidRDefault="00E15D51">
            <w:pPr>
              <w:textAlignment w:val="bottom"/>
            </w:pPr>
            <w:r>
              <w:rPr>
                <w:rFonts w:ascii="Arial" w:eastAsia="宋体" w:hAnsi="Arial" w:cs="Arial"/>
                <w:color w:val="000000"/>
                <w:sz w:val="18"/>
                <w:szCs w:val="18"/>
              </w:rPr>
              <w:t>Non-cash items – </w:t>
            </w:r>
          </w:p>
        </w:tc>
        <w:tc>
          <w:tcPr>
            <w:tcW w:w="0" w:type="auto"/>
            <w:gridSpan w:val="3"/>
            <w:shd w:val="clear" w:color="auto" w:fill="FFFFFF"/>
            <w:tcMar>
              <w:top w:w="0" w:type="dxa"/>
              <w:left w:w="20" w:type="dxa"/>
              <w:bottom w:w="0" w:type="dxa"/>
              <w:right w:w="20" w:type="dxa"/>
            </w:tcMar>
          </w:tcPr>
          <w:p w14:paraId="4090DC7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C7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C79" w14:textId="77777777" w:rsidR="00833634" w:rsidRDefault="00833634">
            <w:pPr>
              <w:rPr>
                <w:rFonts w:ascii="宋体"/>
              </w:rPr>
            </w:pPr>
          </w:p>
        </w:tc>
      </w:tr>
      <w:tr w:rsidR="00833634" w14:paraId="4090DC81" w14:textId="77777777">
        <w:trPr>
          <w:jc w:val="center"/>
        </w:trPr>
        <w:tc>
          <w:tcPr>
            <w:tcW w:w="0" w:type="auto"/>
            <w:gridSpan w:val="3"/>
            <w:shd w:val="clear" w:color="auto" w:fill="CCEEFF"/>
            <w:tcMar>
              <w:top w:w="40" w:type="dxa"/>
              <w:left w:w="585" w:type="dxa"/>
              <w:bottom w:w="40" w:type="dxa"/>
              <w:right w:w="20" w:type="dxa"/>
            </w:tcMar>
            <w:vAlign w:val="bottom"/>
          </w:tcPr>
          <w:p w14:paraId="4090DC7B" w14:textId="77777777" w:rsidR="00833634" w:rsidRDefault="00E15D51">
            <w:pPr>
              <w:textAlignment w:val="bottom"/>
            </w:pPr>
            <w:r>
              <w:rPr>
                <w:rFonts w:ascii="Arial" w:eastAsia="宋体" w:hAnsi="Arial" w:cs="Arial"/>
                <w:color w:val="000000"/>
                <w:sz w:val="18"/>
                <w:szCs w:val="18"/>
              </w:rPr>
              <w:t>Share-based plans expense</w:t>
            </w:r>
          </w:p>
        </w:tc>
        <w:tc>
          <w:tcPr>
            <w:tcW w:w="0" w:type="auto"/>
            <w:gridSpan w:val="2"/>
            <w:shd w:val="clear" w:color="auto" w:fill="CCEEFF"/>
            <w:tcMar>
              <w:top w:w="40" w:type="dxa"/>
              <w:left w:w="20" w:type="dxa"/>
              <w:bottom w:w="40" w:type="dxa"/>
              <w:right w:w="0" w:type="dxa"/>
            </w:tcMar>
            <w:vAlign w:val="bottom"/>
          </w:tcPr>
          <w:p w14:paraId="4090DC7C" w14:textId="77777777" w:rsidR="00833634" w:rsidRDefault="00E15D51">
            <w:pPr>
              <w:jc w:val="right"/>
              <w:textAlignment w:val="bottom"/>
            </w:pPr>
            <w:r>
              <w:rPr>
                <w:rFonts w:ascii="Arial" w:eastAsia="宋体" w:hAnsi="Arial" w:cs="Arial"/>
                <w:b/>
                <w:bCs/>
                <w:color w:val="000000"/>
                <w:sz w:val="18"/>
                <w:szCs w:val="18"/>
              </w:rPr>
              <w:t>165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090DC7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7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7F" w14:textId="77777777" w:rsidR="00833634" w:rsidRDefault="00E15D51">
            <w:pPr>
              <w:jc w:val="right"/>
              <w:textAlignment w:val="bottom"/>
            </w:pPr>
            <w:r>
              <w:rPr>
                <w:rFonts w:ascii="Arial" w:eastAsia="宋体" w:hAnsi="Arial" w:cs="Arial"/>
                <w:color w:val="000000"/>
                <w:sz w:val="18"/>
                <w:szCs w:val="18"/>
              </w:rPr>
              <w:t>160 </w:t>
            </w:r>
          </w:p>
        </w:tc>
        <w:tc>
          <w:tcPr>
            <w:tcW w:w="0" w:type="auto"/>
            <w:shd w:val="clear" w:color="auto" w:fill="CCEEFF"/>
            <w:tcMar>
              <w:top w:w="40" w:type="dxa"/>
              <w:left w:w="0" w:type="dxa"/>
              <w:bottom w:w="40" w:type="dxa"/>
              <w:right w:w="20" w:type="dxa"/>
            </w:tcMar>
            <w:vAlign w:val="bottom"/>
          </w:tcPr>
          <w:p w14:paraId="4090DC80" w14:textId="77777777" w:rsidR="00833634" w:rsidRDefault="00833634">
            <w:pPr>
              <w:jc w:val="right"/>
              <w:rPr>
                <w:rFonts w:ascii="宋体"/>
              </w:rPr>
            </w:pPr>
          </w:p>
        </w:tc>
      </w:tr>
      <w:tr w:rsidR="00833634" w14:paraId="4090DC88" w14:textId="77777777">
        <w:trPr>
          <w:jc w:val="center"/>
        </w:trPr>
        <w:tc>
          <w:tcPr>
            <w:tcW w:w="0" w:type="auto"/>
            <w:gridSpan w:val="3"/>
            <w:shd w:val="clear" w:color="auto" w:fill="FFFFFF"/>
            <w:tcMar>
              <w:top w:w="40" w:type="dxa"/>
              <w:left w:w="585" w:type="dxa"/>
              <w:bottom w:w="40" w:type="dxa"/>
              <w:right w:w="20" w:type="dxa"/>
            </w:tcMar>
            <w:vAlign w:val="bottom"/>
          </w:tcPr>
          <w:p w14:paraId="4090DC82" w14:textId="77777777" w:rsidR="00833634" w:rsidRDefault="00E15D51">
            <w:pPr>
              <w:textAlignment w:val="bottom"/>
            </w:pPr>
            <w:r>
              <w:rPr>
                <w:rFonts w:ascii="Arial" w:eastAsia="宋体" w:hAnsi="Arial" w:cs="Arial"/>
                <w:color w:val="000000"/>
                <w:sz w:val="18"/>
                <w:szCs w:val="18"/>
              </w:rPr>
              <w:t>Depreciation and amortization</w:t>
            </w:r>
          </w:p>
        </w:tc>
        <w:tc>
          <w:tcPr>
            <w:tcW w:w="0" w:type="auto"/>
            <w:gridSpan w:val="2"/>
            <w:shd w:val="clear" w:color="auto" w:fill="FFFFFF"/>
            <w:tcMar>
              <w:top w:w="40" w:type="dxa"/>
              <w:left w:w="20" w:type="dxa"/>
              <w:bottom w:w="40" w:type="dxa"/>
              <w:right w:w="0" w:type="dxa"/>
            </w:tcMar>
            <w:vAlign w:val="bottom"/>
          </w:tcPr>
          <w:p w14:paraId="4090DC83" w14:textId="77777777" w:rsidR="00833634" w:rsidRDefault="00E15D51">
            <w:pPr>
              <w:jc w:val="right"/>
              <w:textAlignment w:val="bottom"/>
            </w:pPr>
            <w:r>
              <w:rPr>
                <w:rFonts w:ascii="Arial" w:eastAsia="宋体" w:hAnsi="Arial" w:cs="Arial"/>
                <w:b/>
                <w:bCs/>
                <w:color w:val="000000"/>
                <w:sz w:val="18"/>
                <w:szCs w:val="18"/>
              </w:rPr>
              <w:t>1,668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C8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8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86" w14:textId="77777777" w:rsidR="00833634" w:rsidRDefault="00E15D51">
            <w:pPr>
              <w:jc w:val="right"/>
              <w:textAlignment w:val="bottom"/>
            </w:pPr>
            <w:r>
              <w:rPr>
                <w:rFonts w:ascii="Arial" w:eastAsia="宋体" w:hAnsi="Arial" w:cs="Arial"/>
                <w:color w:val="000000"/>
                <w:sz w:val="18"/>
                <w:szCs w:val="18"/>
              </w:rPr>
              <w:t>1,643 </w:t>
            </w:r>
          </w:p>
        </w:tc>
        <w:tc>
          <w:tcPr>
            <w:tcW w:w="0" w:type="auto"/>
            <w:shd w:val="clear" w:color="auto" w:fill="FFFFFF"/>
            <w:tcMar>
              <w:top w:w="40" w:type="dxa"/>
              <w:left w:w="0" w:type="dxa"/>
              <w:bottom w:w="40" w:type="dxa"/>
              <w:right w:w="20" w:type="dxa"/>
            </w:tcMar>
            <w:vAlign w:val="bottom"/>
          </w:tcPr>
          <w:p w14:paraId="4090DC87" w14:textId="77777777" w:rsidR="00833634" w:rsidRDefault="00833634">
            <w:pPr>
              <w:jc w:val="right"/>
              <w:rPr>
                <w:rFonts w:ascii="宋体"/>
              </w:rPr>
            </w:pPr>
          </w:p>
        </w:tc>
      </w:tr>
      <w:tr w:rsidR="00833634" w14:paraId="4090DC8F" w14:textId="77777777">
        <w:trPr>
          <w:jc w:val="center"/>
        </w:trPr>
        <w:tc>
          <w:tcPr>
            <w:tcW w:w="0" w:type="auto"/>
            <w:gridSpan w:val="3"/>
            <w:shd w:val="clear" w:color="auto" w:fill="CCEEFF"/>
            <w:tcMar>
              <w:top w:w="40" w:type="dxa"/>
              <w:left w:w="585" w:type="dxa"/>
              <w:bottom w:w="40" w:type="dxa"/>
              <w:right w:w="20" w:type="dxa"/>
            </w:tcMar>
            <w:vAlign w:val="bottom"/>
          </w:tcPr>
          <w:p w14:paraId="4090DC89" w14:textId="77777777" w:rsidR="00833634" w:rsidRDefault="00E15D51">
            <w:pPr>
              <w:textAlignment w:val="bottom"/>
            </w:pPr>
            <w:r>
              <w:rPr>
                <w:rFonts w:ascii="Arial" w:eastAsia="宋体" w:hAnsi="Arial" w:cs="Arial"/>
                <w:color w:val="000000"/>
                <w:sz w:val="18"/>
                <w:szCs w:val="18"/>
              </w:rPr>
              <w:t>Investment/asset impairment charges, net</w:t>
            </w:r>
          </w:p>
        </w:tc>
        <w:tc>
          <w:tcPr>
            <w:tcW w:w="0" w:type="auto"/>
            <w:gridSpan w:val="2"/>
            <w:shd w:val="clear" w:color="auto" w:fill="CCEEFF"/>
            <w:tcMar>
              <w:top w:w="40" w:type="dxa"/>
              <w:left w:w="20" w:type="dxa"/>
              <w:bottom w:w="40" w:type="dxa"/>
              <w:right w:w="0" w:type="dxa"/>
            </w:tcMar>
            <w:vAlign w:val="bottom"/>
          </w:tcPr>
          <w:p w14:paraId="4090DC8A" w14:textId="77777777" w:rsidR="00833634" w:rsidRDefault="00E15D51">
            <w:pPr>
              <w:jc w:val="right"/>
              <w:textAlignment w:val="bottom"/>
            </w:pPr>
            <w:r>
              <w:rPr>
                <w:rFonts w:ascii="Arial" w:eastAsia="宋体" w:hAnsi="Arial" w:cs="Arial"/>
                <w:b/>
                <w:bCs/>
                <w:color w:val="000000"/>
                <w:sz w:val="18"/>
                <w:szCs w:val="18"/>
              </w:rPr>
              <w:t>317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090DC8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8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8D" w14:textId="77777777" w:rsidR="00833634" w:rsidRDefault="00E15D51">
            <w:pPr>
              <w:jc w:val="right"/>
              <w:textAlignment w:val="bottom"/>
            </w:pPr>
            <w:r>
              <w:rPr>
                <w:rFonts w:ascii="Arial" w:eastAsia="宋体" w:hAnsi="Arial" w:cs="Arial"/>
                <w:color w:val="000000"/>
                <w:sz w:val="18"/>
                <w:szCs w:val="18"/>
              </w:rPr>
              <w:t>106 </w:t>
            </w:r>
          </w:p>
        </w:tc>
        <w:tc>
          <w:tcPr>
            <w:tcW w:w="0" w:type="auto"/>
            <w:shd w:val="clear" w:color="auto" w:fill="CCEEFF"/>
            <w:tcMar>
              <w:top w:w="40" w:type="dxa"/>
              <w:left w:w="0" w:type="dxa"/>
              <w:bottom w:w="40" w:type="dxa"/>
              <w:right w:w="20" w:type="dxa"/>
            </w:tcMar>
            <w:vAlign w:val="bottom"/>
          </w:tcPr>
          <w:p w14:paraId="4090DC8E" w14:textId="77777777" w:rsidR="00833634" w:rsidRDefault="00833634">
            <w:pPr>
              <w:jc w:val="right"/>
              <w:rPr>
                <w:rFonts w:ascii="宋体"/>
              </w:rPr>
            </w:pPr>
          </w:p>
        </w:tc>
      </w:tr>
      <w:tr w:rsidR="00833634" w14:paraId="4090DC96" w14:textId="77777777">
        <w:trPr>
          <w:jc w:val="center"/>
        </w:trPr>
        <w:tc>
          <w:tcPr>
            <w:tcW w:w="0" w:type="auto"/>
            <w:gridSpan w:val="3"/>
            <w:shd w:val="clear" w:color="auto" w:fill="FFFFFF"/>
            <w:tcMar>
              <w:top w:w="40" w:type="dxa"/>
              <w:left w:w="585" w:type="dxa"/>
              <w:bottom w:w="40" w:type="dxa"/>
              <w:right w:w="20" w:type="dxa"/>
            </w:tcMar>
            <w:vAlign w:val="bottom"/>
          </w:tcPr>
          <w:p w14:paraId="4090DC90" w14:textId="77777777" w:rsidR="00833634" w:rsidRDefault="00E15D51">
            <w:pPr>
              <w:textAlignment w:val="bottom"/>
            </w:pPr>
            <w:r>
              <w:rPr>
                <w:rFonts w:ascii="Arial" w:eastAsia="宋体" w:hAnsi="Arial" w:cs="Arial"/>
                <w:color w:val="000000"/>
                <w:sz w:val="18"/>
                <w:szCs w:val="18"/>
              </w:rPr>
              <w:t>Customer financing valuation adjustments</w:t>
            </w:r>
          </w:p>
        </w:tc>
        <w:tc>
          <w:tcPr>
            <w:tcW w:w="0" w:type="auto"/>
            <w:gridSpan w:val="2"/>
            <w:shd w:val="clear" w:color="auto" w:fill="FFFFFF"/>
            <w:tcMar>
              <w:top w:w="40" w:type="dxa"/>
              <w:left w:w="20" w:type="dxa"/>
              <w:bottom w:w="40" w:type="dxa"/>
              <w:right w:w="0" w:type="dxa"/>
            </w:tcMar>
            <w:vAlign w:val="bottom"/>
          </w:tcPr>
          <w:p w14:paraId="4090DC91" w14:textId="77777777" w:rsidR="00833634" w:rsidRDefault="00E15D51">
            <w:pPr>
              <w:jc w:val="right"/>
              <w:textAlignment w:val="bottom"/>
            </w:pPr>
            <w:r>
              <w:rPr>
                <w:rFonts w:ascii="Arial" w:eastAsia="宋体" w:hAnsi="Arial" w:cs="Arial"/>
                <w:b/>
                <w:bCs/>
                <w:color w:val="000000"/>
                <w:sz w:val="18"/>
                <w:szCs w:val="18"/>
              </w:rPr>
              <w:t>12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C9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9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94" w14:textId="77777777" w:rsidR="00833634" w:rsidRDefault="00E15D51">
            <w:pPr>
              <w:jc w:val="right"/>
              <w:textAlignment w:val="bottom"/>
            </w:pPr>
            <w:r>
              <w:rPr>
                <w:rFonts w:ascii="Arial" w:eastAsia="宋体" w:hAnsi="Arial" w:cs="Arial"/>
                <w:color w:val="000000"/>
                <w:sz w:val="18"/>
                <w:szCs w:val="18"/>
              </w:rPr>
              <w:t>249 </w:t>
            </w:r>
          </w:p>
        </w:tc>
        <w:tc>
          <w:tcPr>
            <w:tcW w:w="0" w:type="auto"/>
            <w:shd w:val="clear" w:color="auto" w:fill="FFFFFF"/>
            <w:tcMar>
              <w:top w:w="40" w:type="dxa"/>
              <w:left w:w="0" w:type="dxa"/>
              <w:bottom w:w="40" w:type="dxa"/>
              <w:right w:w="20" w:type="dxa"/>
            </w:tcMar>
            <w:vAlign w:val="bottom"/>
          </w:tcPr>
          <w:p w14:paraId="4090DC95" w14:textId="77777777" w:rsidR="00833634" w:rsidRDefault="00833634">
            <w:pPr>
              <w:jc w:val="right"/>
              <w:rPr>
                <w:rFonts w:ascii="宋体"/>
              </w:rPr>
            </w:pPr>
          </w:p>
        </w:tc>
      </w:tr>
      <w:tr w:rsidR="00833634" w14:paraId="4090DC9B" w14:textId="77777777">
        <w:trPr>
          <w:jc w:val="center"/>
          <w:hidden/>
        </w:trPr>
        <w:tc>
          <w:tcPr>
            <w:tcW w:w="0" w:type="auto"/>
            <w:gridSpan w:val="3"/>
            <w:shd w:val="clear" w:color="auto" w:fill="auto"/>
          </w:tcPr>
          <w:p w14:paraId="4090DC97" w14:textId="77777777" w:rsidR="00833634" w:rsidRDefault="00833634">
            <w:pPr>
              <w:rPr>
                <w:rFonts w:ascii="宋体"/>
                <w:vanish/>
              </w:rPr>
            </w:pPr>
          </w:p>
        </w:tc>
        <w:tc>
          <w:tcPr>
            <w:tcW w:w="0" w:type="auto"/>
            <w:gridSpan w:val="3"/>
            <w:shd w:val="clear" w:color="auto" w:fill="auto"/>
          </w:tcPr>
          <w:p w14:paraId="4090DC98" w14:textId="77777777" w:rsidR="00833634" w:rsidRDefault="00833634">
            <w:pPr>
              <w:rPr>
                <w:rFonts w:ascii="宋体"/>
                <w:vanish/>
              </w:rPr>
            </w:pPr>
          </w:p>
        </w:tc>
        <w:tc>
          <w:tcPr>
            <w:tcW w:w="0" w:type="auto"/>
            <w:gridSpan w:val="3"/>
            <w:shd w:val="clear" w:color="auto" w:fill="auto"/>
          </w:tcPr>
          <w:p w14:paraId="4090DC99" w14:textId="77777777" w:rsidR="00833634" w:rsidRDefault="00833634">
            <w:pPr>
              <w:rPr>
                <w:rFonts w:ascii="宋体"/>
                <w:vanish/>
              </w:rPr>
            </w:pPr>
          </w:p>
        </w:tc>
        <w:tc>
          <w:tcPr>
            <w:tcW w:w="0" w:type="auto"/>
            <w:gridSpan w:val="3"/>
            <w:shd w:val="clear" w:color="auto" w:fill="auto"/>
          </w:tcPr>
          <w:p w14:paraId="4090DC9A" w14:textId="77777777" w:rsidR="00833634" w:rsidRDefault="00833634">
            <w:pPr>
              <w:rPr>
                <w:rFonts w:ascii="宋体"/>
                <w:vanish/>
              </w:rPr>
            </w:pPr>
          </w:p>
        </w:tc>
      </w:tr>
      <w:tr w:rsidR="00833634" w14:paraId="4090DCA2" w14:textId="77777777">
        <w:trPr>
          <w:jc w:val="center"/>
        </w:trPr>
        <w:tc>
          <w:tcPr>
            <w:tcW w:w="0" w:type="auto"/>
            <w:gridSpan w:val="3"/>
            <w:shd w:val="clear" w:color="auto" w:fill="CCEEFF"/>
            <w:tcMar>
              <w:top w:w="40" w:type="dxa"/>
              <w:left w:w="585" w:type="dxa"/>
              <w:bottom w:w="40" w:type="dxa"/>
              <w:right w:w="20" w:type="dxa"/>
            </w:tcMar>
            <w:vAlign w:val="bottom"/>
          </w:tcPr>
          <w:p w14:paraId="4090DC9C" w14:textId="77777777" w:rsidR="00833634" w:rsidRDefault="00E15D51">
            <w:pPr>
              <w:textAlignment w:val="bottom"/>
            </w:pPr>
            <w:r>
              <w:rPr>
                <w:rFonts w:ascii="Arial" w:eastAsia="宋体" w:hAnsi="Arial" w:cs="Arial"/>
                <w:color w:val="000000"/>
                <w:sz w:val="18"/>
                <w:szCs w:val="18"/>
              </w:rPr>
              <w:t>Gain on dispositions, net</w:t>
            </w:r>
          </w:p>
        </w:tc>
        <w:tc>
          <w:tcPr>
            <w:tcW w:w="0" w:type="auto"/>
            <w:gridSpan w:val="2"/>
            <w:shd w:val="clear" w:color="auto" w:fill="CCEEFF"/>
            <w:tcMar>
              <w:top w:w="40" w:type="dxa"/>
              <w:left w:w="20" w:type="dxa"/>
              <w:bottom w:w="40" w:type="dxa"/>
              <w:right w:w="0" w:type="dxa"/>
            </w:tcMar>
            <w:vAlign w:val="bottom"/>
          </w:tcPr>
          <w:p w14:paraId="4090DC9D" w14:textId="77777777" w:rsidR="00833634" w:rsidRDefault="00E15D51">
            <w:pPr>
              <w:jc w:val="right"/>
              <w:textAlignment w:val="bottom"/>
            </w:pPr>
            <w:r>
              <w:rPr>
                <w:rFonts w:ascii="Arial" w:eastAsia="宋体" w:hAnsi="Arial" w:cs="Arial"/>
                <w:b/>
                <w:bCs/>
                <w:color w:val="000000"/>
                <w:sz w:val="18"/>
                <w:szCs w:val="18"/>
              </w:rPr>
              <w:t>(200)</w:t>
            </w:r>
          </w:p>
        </w:tc>
        <w:tc>
          <w:tcPr>
            <w:tcW w:w="0" w:type="auto"/>
            <w:shd w:val="clear" w:color="auto" w:fill="CCEEFF"/>
            <w:tcMar>
              <w:top w:w="40" w:type="dxa"/>
              <w:left w:w="0" w:type="dxa"/>
              <w:bottom w:w="40" w:type="dxa"/>
              <w:right w:w="20" w:type="dxa"/>
            </w:tcMar>
            <w:vAlign w:val="bottom"/>
          </w:tcPr>
          <w:p w14:paraId="4090DC9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9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A0" w14:textId="77777777" w:rsidR="00833634" w:rsidRDefault="00E15D51">
            <w:pPr>
              <w:jc w:val="right"/>
              <w:textAlignment w:val="bottom"/>
            </w:pPr>
            <w:r>
              <w:rPr>
                <w:rFonts w:ascii="Arial" w:eastAsia="宋体" w:hAnsi="Arial" w:cs="Arial"/>
                <w:color w:val="000000"/>
                <w:sz w:val="18"/>
                <w:szCs w:val="18"/>
              </w:rPr>
              <w:t>(296)</w:t>
            </w:r>
          </w:p>
        </w:tc>
        <w:tc>
          <w:tcPr>
            <w:tcW w:w="0" w:type="auto"/>
            <w:shd w:val="clear" w:color="auto" w:fill="CCEEFF"/>
            <w:tcMar>
              <w:top w:w="40" w:type="dxa"/>
              <w:left w:w="0" w:type="dxa"/>
              <w:bottom w:w="40" w:type="dxa"/>
              <w:right w:w="20" w:type="dxa"/>
            </w:tcMar>
            <w:vAlign w:val="bottom"/>
          </w:tcPr>
          <w:p w14:paraId="4090DCA1" w14:textId="77777777" w:rsidR="00833634" w:rsidRDefault="00833634">
            <w:pPr>
              <w:jc w:val="right"/>
              <w:rPr>
                <w:rFonts w:ascii="宋体"/>
              </w:rPr>
            </w:pPr>
          </w:p>
        </w:tc>
      </w:tr>
      <w:tr w:rsidR="00833634" w14:paraId="4090DCA9" w14:textId="77777777">
        <w:trPr>
          <w:jc w:val="center"/>
        </w:trPr>
        <w:tc>
          <w:tcPr>
            <w:tcW w:w="0" w:type="auto"/>
            <w:gridSpan w:val="3"/>
            <w:shd w:val="clear" w:color="auto" w:fill="FFFFFF"/>
            <w:tcMar>
              <w:top w:w="40" w:type="dxa"/>
              <w:left w:w="585" w:type="dxa"/>
              <w:bottom w:w="40" w:type="dxa"/>
              <w:right w:w="20" w:type="dxa"/>
            </w:tcMar>
            <w:vAlign w:val="bottom"/>
          </w:tcPr>
          <w:p w14:paraId="4090DCA3" w14:textId="77777777" w:rsidR="00833634" w:rsidRDefault="00E15D51">
            <w:pPr>
              <w:textAlignment w:val="bottom"/>
            </w:pPr>
            <w:r>
              <w:rPr>
                <w:rFonts w:ascii="Arial" w:eastAsia="宋体" w:hAnsi="Arial" w:cs="Arial"/>
                <w:color w:val="000000"/>
                <w:sz w:val="18"/>
                <w:szCs w:val="18"/>
              </w:rPr>
              <w:t>Other charges and credits, net</w:t>
            </w:r>
          </w:p>
        </w:tc>
        <w:tc>
          <w:tcPr>
            <w:tcW w:w="0" w:type="auto"/>
            <w:gridSpan w:val="2"/>
            <w:shd w:val="clear" w:color="auto" w:fill="FFFFFF"/>
            <w:tcMar>
              <w:top w:w="40" w:type="dxa"/>
              <w:left w:w="20" w:type="dxa"/>
              <w:bottom w:w="40" w:type="dxa"/>
              <w:right w:w="0" w:type="dxa"/>
            </w:tcMar>
            <w:vAlign w:val="bottom"/>
          </w:tcPr>
          <w:p w14:paraId="4090DCA4" w14:textId="77777777" w:rsidR="00833634" w:rsidRDefault="00E15D51">
            <w:pPr>
              <w:jc w:val="right"/>
              <w:textAlignment w:val="bottom"/>
            </w:pPr>
            <w:r>
              <w:rPr>
                <w:rFonts w:ascii="Arial" w:eastAsia="宋体" w:hAnsi="Arial" w:cs="Arial"/>
                <w:b/>
                <w:bCs/>
                <w:color w:val="000000"/>
                <w:sz w:val="18"/>
                <w:szCs w:val="18"/>
              </w:rPr>
              <w:t>912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CA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A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A7" w14:textId="77777777" w:rsidR="00833634" w:rsidRDefault="00E15D51">
            <w:pPr>
              <w:jc w:val="right"/>
              <w:textAlignment w:val="bottom"/>
            </w:pPr>
            <w:r>
              <w:rPr>
                <w:rFonts w:ascii="Arial" w:eastAsia="宋体" w:hAnsi="Arial" w:cs="Arial"/>
                <w:color w:val="000000"/>
                <w:sz w:val="18"/>
                <w:szCs w:val="18"/>
              </w:rPr>
              <w:t>190 </w:t>
            </w:r>
          </w:p>
        </w:tc>
        <w:tc>
          <w:tcPr>
            <w:tcW w:w="0" w:type="auto"/>
            <w:shd w:val="clear" w:color="auto" w:fill="FFFFFF"/>
            <w:tcMar>
              <w:top w:w="40" w:type="dxa"/>
              <w:left w:w="0" w:type="dxa"/>
              <w:bottom w:w="40" w:type="dxa"/>
              <w:right w:w="20" w:type="dxa"/>
            </w:tcMar>
            <w:vAlign w:val="bottom"/>
          </w:tcPr>
          <w:p w14:paraId="4090DCA8" w14:textId="77777777" w:rsidR="00833634" w:rsidRDefault="00833634">
            <w:pPr>
              <w:jc w:val="right"/>
              <w:rPr>
                <w:rFonts w:ascii="宋体"/>
              </w:rPr>
            </w:pPr>
          </w:p>
        </w:tc>
      </w:tr>
      <w:tr w:rsidR="00833634" w14:paraId="4090DCAE" w14:textId="77777777">
        <w:trPr>
          <w:jc w:val="center"/>
          <w:hidden/>
        </w:trPr>
        <w:tc>
          <w:tcPr>
            <w:tcW w:w="0" w:type="auto"/>
            <w:gridSpan w:val="3"/>
            <w:shd w:val="clear" w:color="auto" w:fill="auto"/>
          </w:tcPr>
          <w:p w14:paraId="4090DCAA" w14:textId="77777777" w:rsidR="00833634" w:rsidRDefault="00833634">
            <w:pPr>
              <w:rPr>
                <w:rFonts w:ascii="宋体"/>
                <w:vanish/>
              </w:rPr>
            </w:pPr>
          </w:p>
        </w:tc>
        <w:tc>
          <w:tcPr>
            <w:tcW w:w="0" w:type="auto"/>
            <w:gridSpan w:val="3"/>
            <w:shd w:val="clear" w:color="auto" w:fill="auto"/>
          </w:tcPr>
          <w:p w14:paraId="4090DCAB" w14:textId="77777777" w:rsidR="00833634" w:rsidRDefault="00833634">
            <w:pPr>
              <w:rPr>
                <w:rFonts w:ascii="宋体"/>
                <w:vanish/>
              </w:rPr>
            </w:pPr>
          </w:p>
        </w:tc>
        <w:tc>
          <w:tcPr>
            <w:tcW w:w="0" w:type="auto"/>
            <w:gridSpan w:val="3"/>
            <w:shd w:val="clear" w:color="auto" w:fill="auto"/>
          </w:tcPr>
          <w:p w14:paraId="4090DCAC" w14:textId="77777777" w:rsidR="00833634" w:rsidRDefault="00833634">
            <w:pPr>
              <w:rPr>
                <w:rFonts w:ascii="宋体"/>
                <w:vanish/>
              </w:rPr>
            </w:pPr>
          </w:p>
        </w:tc>
        <w:tc>
          <w:tcPr>
            <w:tcW w:w="0" w:type="auto"/>
            <w:gridSpan w:val="3"/>
            <w:shd w:val="clear" w:color="auto" w:fill="auto"/>
          </w:tcPr>
          <w:p w14:paraId="4090DCAD" w14:textId="77777777" w:rsidR="00833634" w:rsidRDefault="00833634">
            <w:pPr>
              <w:rPr>
                <w:rFonts w:ascii="宋体"/>
                <w:vanish/>
              </w:rPr>
            </w:pPr>
          </w:p>
        </w:tc>
      </w:tr>
      <w:tr w:rsidR="00833634" w14:paraId="4090DCB3" w14:textId="77777777">
        <w:trPr>
          <w:jc w:val="center"/>
        </w:trPr>
        <w:tc>
          <w:tcPr>
            <w:tcW w:w="0" w:type="auto"/>
            <w:gridSpan w:val="3"/>
            <w:shd w:val="clear" w:color="auto" w:fill="CCEEFF"/>
            <w:tcMar>
              <w:top w:w="40" w:type="dxa"/>
              <w:left w:w="225" w:type="dxa"/>
              <w:bottom w:w="40" w:type="dxa"/>
              <w:right w:w="20" w:type="dxa"/>
            </w:tcMar>
            <w:vAlign w:val="bottom"/>
          </w:tcPr>
          <w:p w14:paraId="4090DCAF" w14:textId="77777777" w:rsidR="00833634" w:rsidRDefault="00E15D51">
            <w:pPr>
              <w:textAlignment w:val="bottom"/>
            </w:pPr>
            <w:r>
              <w:rPr>
                <w:rFonts w:ascii="Arial" w:eastAsia="宋体" w:hAnsi="Arial" w:cs="Arial"/>
                <w:color w:val="000000"/>
                <w:sz w:val="18"/>
                <w:szCs w:val="18"/>
              </w:rPr>
              <w:t>Changes in assets and liabilities – </w:t>
            </w:r>
          </w:p>
        </w:tc>
        <w:tc>
          <w:tcPr>
            <w:tcW w:w="0" w:type="auto"/>
            <w:gridSpan w:val="3"/>
            <w:shd w:val="clear" w:color="auto" w:fill="CCEEFF"/>
            <w:tcMar>
              <w:top w:w="0" w:type="dxa"/>
              <w:left w:w="20" w:type="dxa"/>
              <w:bottom w:w="0" w:type="dxa"/>
              <w:right w:w="20" w:type="dxa"/>
            </w:tcMar>
          </w:tcPr>
          <w:p w14:paraId="4090DCB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CB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CB2" w14:textId="77777777" w:rsidR="00833634" w:rsidRDefault="00833634">
            <w:pPr>
              <w:rPr>
                <w:rFonts w:ascii="宋体"/>
              </w:rPr>
            </w:pPr>
          </w:p>
        </w:tc>
      </w:tr>
      <w:tr w:rsidR="00833634" w14:paraId="4090DCBA" w14:textId="77777777">
        <w:trPr>
          <w:jc w:val="center"/>
        </w:trPr>
        <w:tc>
          <w:tcPr>
            <w:tcW w:w="0" w:type="auto"/>
            <w:gridSpan w:val="3"/>
            <w:shd w:val="clear" w:color="auto" w:fill="FFFFFF"/>
            <w:tcMar>
              <w:top w:w="40" w:type="dxa"/>
              <w:left w:w="585" w:type="dxa"/>
              <w:bottom w:w="40" w:type="dxa"/>
              <w:right w:w="20" w:type="dxa"/>
            </w:tcMar>
            <w:vAlign w:val="bottom"/>
          </w:tcPr>
          <w:p w14:paraId="4090DCB4" w14:textId="77777777" w:rsidR="00833634" w:rsidRDefault="00E15D51">
            <w:pPr>
              <w:textAlignment w:val="bottom"/>
            </w:pPr>
            <w:r>
              <w:rPr>
                <w:rFonts w:ascii="Arial" w:eastAsia="宋体" w:hAnsi="Arial" w:cs="Arial"/>
                <w:color w:val="000000"/>
                <w:sz w:val="18"/>
                <w:szCs w:val="18"/>
              </w:rPr>
              <w:t>Accounts receivable</w:t>
            </w:r>
          </w:p>
        </w:tc>
        <w:tc>
          <w:tcPr>
            <w:tcW w:w="0" w:type="auto"/>
            <w:gridSpan w:val="2"/>
            <w:shd w:val="clear" w:color="auto" w:fill="FFFFFF"/>
            <w:tcMar>
              <w:top w:w="40" w:type="dxa"/>
              <w:left w:w="20" w:type="dxa"/>
              <w:bottom w:w="40" w:type="dxa"/>
              <w:right w:w="0" w:type="dxa"/>
            </w:tcMar>
            <w:vAlign w:val="bottom"/>
          </w:tcPr>
          <w:p w14:paraId="4090DCB5" w14:textId="77777777" w:rsidR="00833634" w:rsidRDefault="00E15D51">
            <w:pPr>
              <w:jc w:val="right"/>
              <w:textAlignment w:val="bottom"/>
            </w:pPr>
            <w:r>
              <w:rPr>
                <w:rFonts w:ascii="Arial" w:eastAsia="宋体" w:hAnsi="Arial" w:cs="Arial"/>
                <w:b/>
                <w:bCs/>
                <w:color w:val="000000"/>
                <w:sz w:val="18"/>
                <w:szCs w:val="18"/>
              </w:rPr>
              <w:t>125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CB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B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B8" w14:textId="77777777" w:rsidR="00833634" w:rsidRDefault="00E15D51">
            <w:pPr>
              <w:jc w:val="right"/>
              <w:textAlignment w:val="bottom"/>
            </w:pPr>
            <w:r>
              <w:rPr>
                <w:rFonts w:ascii="Arial" w:eastAsia="宋体" w:hAnsi="Arial" w:cs="Arial"/>
                <w:color w:val="000000"/>
                <w:sz w:val="18"/>
                <w:szCs w:val="18"/>
              </w:rPr>
              <w:t>315 </w:t>
            </w:r>
          </w:p>
        </w:tc>
        <w:tc>
          <w:tcPr>
            <w:tcW w:w="0" w:type="auto"/>
            <w:shd w:val="clear" w:color="auto" w:fill="FFFFFF"/>
            <w:tcMar>
              <w:top w:w="40" w:type="dxa"/>
              <w:left w:w="0" w:type="dxa"/>
              <w:bottom w:w="40" w:type="dxa"/>
              <w:right w:w="20" w:type="dxa"/>
            </w:tcMar>
            <w:vAlign w:val="bottom"/>
          </w:tcPr>
          <w:p w14:paraId="4090DCB9" w14:textId="77777777" w:rsidR="00833634" w:rsidRDefault="00833634">
            <w:pPr>
              <w:jc w:val="right"/>
              <w:rPr>
                <w:rFonts w:ascii="宋体"/>
              </w:rPr>
            </w:pPr>
          </w:p>
        </w:tc>
      </w:tr>
      <w:tr w:rsidR="00833634" w14:paraId="4090DCC1" w14:textId="77777777">
        <w:trPr>
          <w:jc w:val="center"/>
        </w:trPr>
        <w:tc>
          <w:tcPr>
            <w:tcW w:w="0" w:type="auto"/>
            <w:gridSpan w:val="3"/>
            <w:shd w:val="clear" w:color="auto" w:fill="CCEEFF"/>
            <w:tcMar>
              <w:top w:w="40" w:type="dxa"/>
              <w:left w:w="585" w:type="dxa"/>
              <w:bottom w:w="40" w:type="dxa"/>
              <w:right w:w="20" w:type="dxa"/>
            </w:tcMar>
            <w:vAlign w:val="bottom"/>
          </w:tcPr>
          <w:p w14:paraId="4090DCBB" w14:textId="77777777" w:rsidR="00833634" w:rsidRDefault="00E15D51">
            <w:pPr>
              <w:textAlignment w:val="bottom"/>
            </w:pPr>
            <w:r>
              <w:rPr>
                <w:rFonts w:ascii="Arial" w:eastAsia="宋体" w:hAnsi="Arial" w:cs="Arial"/>
                <w:color w:val="000000"/>
                <w:sz w:val="18"/>
                <w:szCs w:val="18"/>
              </w:rPr>
              <w:t>Unbilled receivables</w:t>
            </w:r>
          </w:p>
        </w:tc>
        <w:tc>
          <w:tcPr>
            <w:tcW w:w="0" w:type="auto"/>
            <w:gridSpan w:val="2"/>
            <w:shd w:val="clear" w:color="auto" w:fill="CCEEFF"/>
            <w:tcMar>
              <w:top w:w="40" w:type="dxa"/>
              <w:left w:w="20" w:type="dxa"/>
              <w:bottom w:w="40" w:type="dxa"/>
              <w:right w:w="0" w:type="dxa"/>
            </w:tcMar>
            <w:vAlign w:val="bottom"/>
          </w:tcPr>
          <w:p w14:paraId="4090DCBC" w14:textId="77777777" w:rsidR="00833634" w:rsidRDefault="00E15D51">
            <w:pPr>
              <w:jc w:val="right"/>
              <w:textAlignment w:val="bottom"/>
            </w:pPr>
            <w:r>
              <w:rPr>
                <w:rFonts w:ascii="Arial" w:eastAsia="宋体" w:hAnsi="Arial" w:cs="Arial"/>
                <w:b/>
                <w:bCs/>
                <w:color w:val="000000"/>
                <w:sz w:val="18"/>
                <w:szCs w:val="18"/>
              </w:rPr>
              <w:t>56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090DCB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B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BF" w14:textId="77777777" w:rsidR="00833634" w:rsidRDefault="00E15D51">
            <w:pPr>
              <w:jc w:val="right"/>
              <w:textAlignment w:val="bottom"/>
            </w:pPr>
            <w:r>
              <w:rPr>
                <w:rFonts w:ascii="Arial" w:eastAsia="宋体" w:hAnsi="Arial" w:cs="Arial"/>
                <w:color w:val="000000"/>
                <w:sz w:val="18"/>
                <w:szCs w:val="18"/>
              </w:rPr>
              <w:t>(1,053)</w:t>
            </w:r>
          </w:p>
        </w:tc>
        <w:tc>
          <w:tcPr>
            <w:tcW w:w="0" w:type="auto"/>
            <w:shd w:val="clear" w:color="auto" w:fill="CCEEFF"/>
            <w:tcMar>
              <w:top w:w="40" w:type="dxa"/>
              <w:left w:w="0" w:type="dxa"/>
              <w:bottom w:w="40" w:type="dxa"/>
              <w:right w:w="20" w:type="dxa"/>
            </w:tcMar>
            <w:vAlign w:val="bottom"/>
          </w:tcPr>
          <w:p w14:paraId="4090DCC0" w14:textId="77777777" w:rsidR="00833634" w:rsidRDefault="00833634">
            <w:pPr>
              <w:jc w:val="right"/>
              <w:rPr>
                <w:rFonts w:ascii="宋体"/>
              </w:rPr>
            </w:pPr>
          </w:p>
        </w:tc>
      </w:tr>
      <w:tr w:rsidR="00833634" w14:paraId="4090DCC8" w14:textId="77777777">
        <w:trPr>
          <w:jc w:val="center"/>
        </w:trPr>
        <w:tc>
          <w:tcPr>
            <w:tcW w:w="0" w:type="auto"/>
            <w:gridSpan w:val="3"/>
            <w:shd w:val="clear" w:color="auto" w:fill="FFFFFF"/>
            <w:tcMar>
              <w:top w:w="40" w:type="dxa"/>
              <w:left w:w="585" w:type="dxa"/>
              <w:bottom w:w="40" w:type="dxa"/>
              <w:right w:w="20" w:type="dxa"/>
            </w:tcMar>
            <w:vAlign w:val="bottom"/>
          </w:tcPr>
          <w:p w14:paraId="4090DCC2" w14:textId="77777777" w:rsidR="00833634" w:rsidRDefault="00E15D51">
            <w:pPr>
              <w:textAlignment w:val="bottom"/>
            </w:pPr>
            <w:r>
              <w:rPr>
                <w:rFonts w:ascii="Arial" w:eastAsia="宋体" w:hAnsi="Arial" w:cs="Arial"/>
                <w:color w:val="000000"/>
                <w:sz w:val="18"/>
                <w:szCs w:val="18"/>
              </w:rPr>
              <w:t>Advances and progress billings</w:t>
            </w:r>
          </w:p>
        </w:tc>
        <w:tc>
          <w:tcPr>
            <w:tcW w:w="0" w:type="auto"/>
            <w:gridSpan w:val="2"/>
            <w:shd w:val="clear" w:color="auto" w:fill="FFFFFF"/>
            <w:tcMar>
              <w:top w:w="40" w:type="dxa"/>
              <w:left w:w="20" w:type="dxa"/>
              <w:bottom w:w="40" w:type="dxa"/>
              <w:right w:w="0" w:type="dxa"/>
            </w:tcMar>
            <w:vAlign w:val="bottom"/>
          </w:tcPr>
          <w:p w14:paraId="4090DCC3" w14:textId="77777777" w:rsidR="00833634" w:rsidRDefault="00E15D51">
            <w:pPr>
              <w:jc w:val="right"/>
              <w:textAlignment w:val="bottom"/>
            </w:pPr>
            <w:r>
              <w:rPr>
                <w:rFonts w:ascii="Arial" w:eastAsia="宋体" w:hAnsi="Arial" w:cs="Arial"/>
                <w:b/>
                <w:bCs/>
                <w:color w:val="000000"/>
                <w:sz w:val="18"/>
                <w:szCs w:val="18"/>
              </w:rPr>
              <w:t>428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CC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C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C6" w14:textId="77777777" w:rsidR="00833634" w:rsidRDefault="00E15D51">
            <w:pPr>
              <w:jc w:val="right"/>
              <w:textAlignment w:val="bottom"/>
            </w:pPr>
            <w:r>
              <w:rPr>
                <w:rFonts w:ascii="Arial" w:eastAsia="宋体" w:hAnsi="Arial" w:cs="Arial"/>
                <w:color w:val="000000"/>
                <w:sz w:val="18"/>
                <w:szCs w:val="18"/>
              </w:rPr>
              <w:t>2,355 </w:t>
            </w:r>
          </w:p>
        </w:tc>
        <w:tc>
          <w:tcPr>
            <w:tcW w:w="0" w:type="auto"/>
            <w:shd w:val="clear" w:color="auto" w:fill="FFFFFF"/>
            <w:tcMar>
              <w:top w:w="40" w:type="dxa"/>
              <w:left w:w="0" w:type="dxa"/>
              <w:bottom w:w="40" w:type="dxa"/>
              <w:right w:w="20" w:type="dxa"/>
            </w:tcMar>
            <w:vAlign w:val="bottom"/>
          </w:tcPr>
          <w:p w14:paraId="4090DCC7" w14:textId="77777777" w:rsidR="00833634" w:rsidRDefault="00833634">
            <w:pPr>
              <w:jc w:val="right"/>
              <w:rPr>
                <w:rFonts w:ascii="宋体"/>
              </w:rPr>
            </w:pPr>
          </w:p>
        </w:tc>
      </w:tr>
      <w:tr w:rsidR="00833634" w14:paraId="4090DCCF" w14:textId="77777777">
        <w:trPr>
          <w:jc w:val="center"/>
        </w:trPr>
        <w:tc>
          <w:tcPr>
            <w:tcW w:w="0" w:type="auto"/>
            <w:gridSpan w:val="3"/>
            <w:shd w:val="clear" w:color="auto" w:fill="CCEEFF"/>
            <w:tcMar>
              <w:top w:w="40" w:type="dxa"/>
              <w:left w:w="585" w:type="dxa"/>
              <w:bottom w:w="40" w:type="dxa"/>
              <w:right w:w="20" w:type="dxa"/>
            </w:tcMar>
            <w:vAlign w:val="bottom"/>
          </w:tcPr>
          <w:p w14:paraId="4090DCC9" w14:textId="77777777" w:rsidR="00833634" w:rsidRDefault="00E15D51">
            <w:pPr>
              <w:textAlignment w:val="bottom"/>
            </w:pPr>
            <w:r>
              <w:rPr>
                <w:rFonts w:ascii="Arial" w:eastAsia="宋体" w:hAnsi="Arial" w:cs="Arial"/>
                <w:color w:val="000000"/>
                <w:sz w:val="18"/>
                <w:szCs w:val="18"/>
              </w:rPr>
              <w:t>Inventories</w:t>
            </w:r>
          </w:p>
        </w:tc>
        <w:tc>
          <w:tcPr>
            <w:tcW w:w="0" w:type="auto"/>
            <w:gridSpan w:val="2"/>
            <w:shd w:val="clear" w:color="auto" w:fill="CCEEFF"/>
            <w:tcMar>
              <w:top w:w="40" w:type="dxa"/>
              <w:left w:w="20" w:type="dxa"/>
              <w:bottom w:w="40" w:type="dxa"/>
              <w:right w:w="0" w:type="dxa"/>
            </w:tcMar>
            <w:vAlign w:val="bottom"/>
          </w:tcPr>
          <w:p w14:paraId="4090DCCA" w14:textId="77777777" w:rsidR="00833634" w:rsidRDefault="00E15D51">
            <w:pPr>
              <w:jc w:val="right"/>
              <w:textAlignment w:val="bottom"/>
            </w:pPr>
            <w:r>
              <w:rPr>
                <w:rFonts w:ascii="Arial" w:eastAsia="宋体" w:hAnsi="Arial" w:cs="Arial"/>
                <w:b/>
                <w:bCs/>
                <w:color w:val="000000"/>
                <w:sz w:val="18"/>
                <w:szCs w:val="18"/>
              </w:rPr>
              <w:t>(9,653)</w:t>
            </w:r>
          </w:p>
        </w:tc>
        <w:tc>
          <w:tcPr>
            <w:tcW w:w="0" w:type="auto"/>
            <w:shd w:val="clear" w:color="auto" w:fill="CCEEFF"/>
            <w:tcMar>
              <w:top w:w="40" w:type="dxa"/>
              <w:left w:w="0" w:type="dxa"/>
              <w:bottom w:w="40" w:type="dxa"/>
              <w:right w:w="20" w:type="dxa"/>
            </w:tcMar>
            <w:vAlign w:val="bottom"/>
          </w:tcPr>
          <w:p w14:paraId="4090DCC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C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CD" w14:textId="77777777" w:rsidR="00833634" w:rsidRDefault="00E15D51">
            <w:pPr>
              <w:jc w:val="right"/>
              <w:textAlignment w:val="bottom"/>
            </w:pPr>
            <w:r>
              <w:rPr>
                <w:rFonts w:ascii="Arial" w:eastAsia="宋体" w:hAnsi="Arial" w:cs="Arial"/>
                <w:color w:val="000000"/>
                <w:sz w:val="18"/>
                <w:szCs w:val="18"/>
              </w:rPr>
              <w:t>(9,565)</w:t>
            </w:r>
          </w:p>
        </w:tc>
        <w:tc>
          <w:tcPr>
            <w:tcW w:w="0" w:type="auto"/>
            <w:shd w:val="clear" w:color="auto" w:fill="CCEEFF"/>
            <w:tcMar>
              <w:top w:w="40" w:type="dxa"/>
              <w:left w:w="0" w:type="dxa"/>
              <w:bottom w:w="40" w:type="dxa"/>
              <w:right w:w="20" w:type="dxa"/>
            </w:tcMar>
            <w:vAlign w:val="bottom"/>
          </w:tcPr>
          <w:p w14:paraId="4090DCCE" w14:textId="77777777" w:rsidR="00833634" w:rsidRDefault="00833634">
            <w:pPr>
              <w:jc w:val="right"/>
              <w:rPr>
                <w:rFonts w:ascii="宋体"/>
              </w:rPr>
            </w:pPr>
          </w:p>
        </w:tc>
      </w:tr>
      <w:tr w:rsidR="00833634" w14:paraId="4090DCD6" w14:textId="77777777">
        <w:trPr>
          <w:jc w:val="center"/>
        </w:trPr>
        <w:tc>
          <w:tcPr>
            <w:tcW w:w="0" w:type="auto"/>
            <w:gridSpan w:val="3"/>
            <w:shd w:val="clear" w:color="auto" w:fill="FFFFFF"/>
            <w:tcMar>
              <w:top w:w="40" w:type="dxa"/>
              <w:left w:w="585" w:type="dxa"/>
              <w:bottom w:w="40" w:type="dxa"/>
              <w:right w:w="20" w:type="dxa"/>
            </w:tcMar>
            <w:vAlign w:val="bottom"/>
          </w:tcPr>
          <w:p w14:paraId="4090DCD0" w14:textId="77777777" w:rsidR="00833634" w:rsidRDefault="00E15D51">
            <w:pPr>
              <w:textAlignment w:val="bottom"/>
            </w:pPr>
            <w:r>
              <w:rPr>
                <w:rFonts w:ascii="Arial" w:eastAsia="宋体" w:hAnsi="Arial" w:cs="Arial"/>
                <w:color w:val="000000"/>
                <w:sz w:val="18"/>
                <w:szCs w:val="18"/>
              </w:rPr>
              <w:t>Other current assets</w:t>
            </w:r>
          </w:p>
        </w:tc>
        <w:tc>
          <w:tcPr>
            <w:tcW w:w="0" w:type="auto"/>
            <w:gridSpan w:val="2"/>
            <w:shd w:val="clear" w:color="auto" w:fill="FFFFFF"/>
            <w:tcMar>
              <w:top w:w="40" w:type="dxa"/>
              <w:left w:w="20" w:type="dxa"/>
              <w:bottom w:w="40" w:type="dxa"/>
              <w:right w:w="0" w:type="dxa"/>
            </w:tcMar>
            <w:vAlign w:val="bottom"/>
          </w:tcPr>
          <w:p w14:paraId="4090DCD1" w14:textId="77777777" w:rsidR="00833634" w:rsidRDefault="00E15D51">
            <w:pPr>
              <w:jc w:val="right"/>
              <w:textAlignment w:val="bottom"/>
            </w:pPr>
            <w:r>
              <w:rPr>
                <w:rFonts w:ascii="Arial" w:eastAsia="宋体" w:hAnsi="Arial" w:cs="Arial"/>
                <w:b/>
                <w:bCs/>
                <w:color w:val="000000"/>
                <w:sz w:val="18"/>
                <w:szCs w:val="18"/>
              </w:rPr>
              <w:t>319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CD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D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D4" w14:textId="77777777" w:rsidR="00833634" w:rsidRDefault="00E15D51">
            <w:pPr>
              <w:jc w:val="right"/>
              <w:textAlignment w:val="bottom"/>
            </w:pPr>
            <w:r>
              <w:rPr>
                <w:rFonts w:ascii="Arial" w:eastAsia="宋体" w:hAnsi="Arial" w:cs="Arial"/>
                <w:color w:val="000000"/>
                <w:sz w:val="18"/>
                <w:szCs w:val="18"/>
              </w:rPr>
              <w:t>(224)</w:t>
            </w:r>
          </w:p>
        </w:tc>
        <w:tc>
          <w:tcPr>
            <w:tcW w:w="0" w:type="auto"/>
            <w:shd w:val="clear" w:color="auto" w:fill="FFFFFF"/>
            <w:tcMar>
              <w:top w:w="40" w:type="dxa"/>
              <w:left w:w="0" w:type="dxa"/>
              <w:bottom w:w="40" w:type="dxa"/>
              <w:right w:w="20" w:type="dxa"/>
            </w:tcMar>
            <w:vAlign w:val="bottom"/>
          </w:tcPr>
          <w:p w14:paraId="4090DCD5" w14:textId="77777777" w:rsidR="00833634" w:rsidRDefault="00833634">
            <w:pPr>
              <w:jc w:val="right"/>
              <w:rPr>
                <w:rFonts w:ascii="宋体"/>
              </w:rPr>
            </w:pPr>
          </w:p>
        </w:tc>
      </w:tr>
      <w:tr w:rsidR="00833634" w14:paraId="4090DCDD" w14:textId="77777777">
        <w:trPr>
          <w:jc w:val="center"/>
        </w:trPr>
        <w:tc>
          <w:tcPr>
            <w:tcW w:w="0" w:type="auto"/>
            <w:gridSpan w:val="3"/>
            <w:shd w:val="clear" w:color="auto" w:fill="CCEEFF"/>
            <w:tcMar>
              <w:top w:w="40" w:type="dxa"/>
              <w:left w:w="585" w:type="dxa"/>
              <w:bottom w:w="40" w:type="dxa"/>
              <w:right w:w="20" w:type="dxa"/>
            </w:tcMar>
            <w:vAlign w:val="bottom"/>
          </w:tcPr>
          <w:p w14:paraId="4090DCD7" w14:textId="77777777" w:rsidR="00833634" w:rsidRDefault="00E15D51">
            <w:pPr>
              <w:textAlignment w:val="bottom"/>
            </w:pPr>
            <w:r>
              <w:rPr>
                <w:rFonts w:ascii="Arial" w:eastAsia="宋体" w:hAnsi="Arial" w:cs="Arial"/>
                <w:color w:val="000000"/>
                <w:sz w:val="18"/>
                <w:szCs w:val="18"/>
              </w:rPr>
              <w:t>Accounts payable</w:t>
            </w:r>
          </w:p>
        </w:tc>
        <w:tc>
          <w:tcPr>
            <w:tcW w:w="0" w:type="auto"/>
            <w:gridSpan w:val="2"/>
            <w:shd w:val="clear" w:color="auto" w:fill="CCEEFF"/>
            <w:tcMar>
              <w:top w:w="40" w:type="dxa"/>
              <w:left w:w="20" w:type="dxa"/>
              <w:bottom w:w="40" w:type="dxa"/>
              <w:right w:w="0" w:type="dxa"/>
            </w:tcMar>
            <w:vAlign w:val="bottom"/>
          </w:tcPr>
          <w:p w14:paraId="4090DCD8" w14:textId="77777777" w:rsidR="00833634" w:rsidRDefault="00E15D51">
            <w:pPr>
              <w:jc w:val="right"/>
              <w:textAlignment w:val="bottom"/>
            </w:pPr>
            <w:r>
              <w:rPr>
                <w:rFonts w:ascii="Arial" w:eastAsia="宋体" w:hAnsi="Arial" w:cs="Arial"/>
                <w:b/>
                <w:bCs/>
                <w:color w:val="000000"/>
                <w:sz w:val="18"/>
                <w:szCs w:val="18"/>
              </w:rPr>
              <w:t>(3,303)</w:t>
            </w:r>
          </w:p>
        </w:tc>
        <w:tc>
          <w:tcPr>
            <w:tcW w:w="0" w:type="auto"/>
            <w:shd w:val="clear" w:color="auto" w:fill="CCEEFF"/>
            <w:tcMar>
              <w:top w:w="40" w:type="dxa"/>
              <w:left w:w="0" w:type="dxa"/>
              <w:bottom w:w="40" w:type="dxa"/>
              <w:right w:w="20" w:type="dxa"/>
            </w:tcMar>
            <w:vAlign w:val="bottom"/>
          </w:tcPr>
          <w:p w14:paraId="4090DCD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D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DB" w14:textId="77777777" w:rsidR="00833634" w:rsidRDefault="00E15D51">
            <w:pPr>
              <w:jc w:val="right"/>
              <w:textAlignment w:val="bottom"/>
            </w:pPr>
            <w:r>
              <w:rPr>
                <w:rFonts w:ascii="Arial" w:eastAsia="宋体" w:hAnsi="Arial" w:cs="Arial"/>
                <w:color w:val="000000"/>
                <w:sz w:val="18"/>
                <w:szCs w:val="18"/>
              </w:rPr>
              <w:t>1,626 </w:t>
            </w:r>
          </w:p>
        </w:tc>
        <w:tc>
          <w:tcPr>
            <w:tcW w:w="0" w:type="auto"/>
            <w:shd w:val="clear" w:color="auto" w:fill="CCEEFF"/>
            <w:tcMar>
              <w:top w:w="40" w:type="dxa"/>
              <w:left w:w="0" w:type="dxa"/>
              <w:bottom w:w="40" w:type="dxa"/>
              <w:right w:w="20" w:type="dxa"/>
            </w:tcMar>
            <w:vAlign w:val="bottom"/>
          </w:tcPr>
          <w:p w14:paraId="4090DCDC" w14:textId="77777777" w:rsidR="00833634" w:rsidRDefault="00833634">
            <w:pPr>
              <w:jc w:val="right"/>
              <w:rPr>
                <w:rFonts w:ascii="宋体"/>
              </w:rPr>
            </w:pPr>
          </w:p>
        </w:tc>
      </w:tr>
      <w:tr w:rsidR="00833634" w14:paraId="4090DCE4" w14:textId="77777777">
        <w:trPr>
          <w:jc w:val="center"/>
        </w:trPr>
        <w:tc>
          <w:tcPr>
            <w:tcW w:w="0" w:type="auto"/>
            <w:gridSpan w:val="3"/>
            <w:shd w:val="clear" w:color="auto" w:fill="FFFFFF"/>
            <w:tcMar>
              <w:top w:w="40" w:type="dxa"/>
              <w:left w:w="585" w:type="dxa"/>
              <w:bottom w:w="40" w:type="dxa"/>
              <w:right w:w="20" w:type="dxa"/>
            </w:tcMar>
            <w:vAlign w:val="bottom"/>
          </w:tcPr>
          <w:p w14:paraId="4090DCDE" w14:textId="77777777" w:rsidR="00833634" w:rsidRDefault="00E15D51">
            <w:pPr>
              <w:textAlignment w:val="bottom"/>
            </w:pPr>
            <w:r>
              <w:rPr>
                <w:rFonts w:ascii="Arial" w:eastAsia="宋体" w:hAnsi="Arial" w:cs="Arial"/>
                <w:color w:val="000000"/>
                <w:sz w:val="18"/>
                <w:szCs w:val="18"/>
              </w:rPr>
              <w:t>Accrued liabilities</w:t>
            </w:r>
          </w:p>
        </w:tc>
        <w:tc>
          <w:tcPr>
            <w:tcW w:w="0" w:type="auto"/>
            <w:gridSpan w:val="2"/>
            <w:shd w:val="clear" w:color="auto" w:fill="FFFFFF"/>
            <w:tcMar>
              <w:top w:w="40" w:type="dxa"/>
              <w:left w:w="20" w:type="dxa"/>
              <w:bottom w:w="40" w:type="dxa"/>
              <w:right w:w="0" w:type="dxa"/>
            </w:tcMar>
            <w:vAlign w:val="bottom"/>
          </w:tcPr>
          <w:p w14:paraId="4090DCDF" w14:textId="77777777" w:rsidR="00833634" w:rsidRDefault="00E15D51">
            <w:pPr>
              <w:jc w:val="right"/>
              <w:textAlignment w:val="bottom"/>
            </w:pPr>
            <w:r>
              <w:rPr>
                <w:rFonts w:ascii="Arial" w:eastAsia="宋体" w:hAnsi="Arial" w:cs="Arial"/>
                <w:b/>
                <w:bCs/>
                <w:color w:val="000000"/>
                <w:sz w:val="18"/>
                <w:szCs w:val="18"/>
              </w:rPr>
              <w:t>967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CE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E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E2" w14:textId="77777777" w:rsidR="00833634" w:rsidRDefault="00E15D51">
            <w:pPr>
              <w:jc w:val="right"/>
              <w:textAlignment w:val="bottom"/>
            </w:pPr>
            <w:r>
              <w:rPr>
                <w:rFonts w:ascii="Arial" w:eastAsia="宋体" w:hAnsi="Arial" w:cs="Arial"/>
                <w:color w:val="000000"/>
                <w:sz w:val="18"/>
                <w:szCs w:val="18"/>
              </w:rPr>
              <w:t>5,495 </w:t>
            </w:r>
          </w:p>
        </w:tc>
        <w:tc>
          <w:tcPr>
            <w:tcW w:w="0" w:type="auto"/>
            <w:shd w:val="clear" w:color="auto" w:fill="FFFFFF"/>
            <w:tcMar>
              <w:top w:w="40" w:type="dxa"/>
              <w:left w:w="0" w:type="dxa"/>
              <w:bottom w:w="40" w:type="dxa"/>
              <w:right w:w="20" w:type="dxa"/>
            </w:tcMar>
            <w:vAlign w:val="bottom"/>
          </w:tcPr>
          <w:p w14:paraId="4090DCE3" w14:textId="77777777" w:rsidR="00833634" w:rsidRDefault="00833634">
            <w:pPr>
              <w:jc w:val="right"/>
              <w:rPr>
                <w:rFonts w:ascii="宋体"/>
              </w:rPr>
            </w:pPr>
          </w:p>
        </w:tc>
      </w:tr>
      <w:tr w:rsidR="00833634" w14:paraId="4090DCEB" w14:textId="77777777">
        <w:trPr>
          <w:jc w:val="center"/>
        </w:trPr>
        <w:tc>
          <w:tcPr>
            <w:tcW w:w="0" w:type="auto"/>
            <w:gridSpan w:val="3"/>
            <w:shd w:val="clear" w:color="auto" w:fill="CCEEFF"/>
            <w:tcMar>
              <w:top w:w="40" w:type="dxa"/>
              <w:left w:w="585" w:type="dxa"/>
              <w:bottom w:w="40" w:type="dxa"/>
              <w:right w:w="20" w:type="dxa"/>
            </w:tcMar>
            <w:vAlign w:val="bottom"/>
          </w:tcPr>
          <w:p w14:paraId="4090DCE5" w14:textId="77777777" w:rsidR="00833634" w:rsidRDefault="00E15D51">
            <w:pPr>
              <w:textAlignment w:val="bottom"/>
            </w:pPr>
            <w:r>
              <w:rPr>
                <w:rFonts w:ascii="Arial" w:eastAsia="宋体" w:hAnsi="Arial" w:cs="Arial"/>
                <w:color w:val="000000"/>
                <w:sz w:val="18"/>
                <w:szCs w:val="18"/>
              </w:rPr>
              <w:t>Income taxes receivable, payable and deferred</w:t>
            </w:r>
          </w:p>
        </w:tc>
        <w:tc>
          <w:tcPr>
            <w:tcW w:w="0" w:type="auto"/>
            <w:gridSpan w:val="2"/>
            <w:shd w:val="clear" w:color="auto" w:fill="CCEEFF"/>
            <w:tcMar>
              <w:top w:w="40" w:type="dxa"/>
              <w:left w:w="20" w:type="dxa"/>
              <w:bottom w:w="40" w:type="dxa"/>
              <w:right w:w="0" w:type="dxa"/>
            </w:tcMar>
            <w:vAlign w:val="bottom"/>
          </w:tcPr>
          <w:p w14:paraId="4090DCE6" w14:textId="77777777" w:rsidR="00833634" w:rsidRDefault="00E15D51">
            <w:pPr>
              <w:jc w:val="right"/>
              <w:textAlignment w:val="bottom"/>
            </w:pPr>
            <w:r>
              <w:rPr>
                <w:rFonts w:ascii="Arial" w:eastAsia="宋体" w:hAnsi="Arial" w:cs="Arial"/>
                <w:b/>
                <w:bCs/>
                <w:color w:val="000000"/>
                <w:sz w:val="18"/>
                <w:szCs w:val="18"/>
              </w:rPr>
              <w:t>(2,404)</w:t>
            </w:r>
          </w:p>
        </w:tc>
        <w:tc>
          <w:tcPr>
            <w:tcW w:w="0" w:type="auto"/>
            <w:shd w:val="clear" w:color="auto" w:fill="CCEEFF"/>
            <w:tcMar>
              <w:top w:w="40" w:type="dxa"/>
              <w:left w:w="0" w:type="dxa"/>
              <w:bottom w:w="40" w:type="dxa"/>
              <w:right w:w="20" w:type="dxa"/>
            </w:tcMar>
            <w:vAlign w:val="bottom"/>
          </w:tcPr>
          <w:p w14:paraId="4090DCE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E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E9" w14:textId="77777777" w:rsidR="00833634" w:rsidRDefault="00E15D51">
            <w:pPr>
              <w:jc w:val="right"/>
              <w:textAlignment w:val="bottom"/>
            </w:pPr>
            <w:r>
              <w:rPr>
                <w:rFonts w:ascii="Arial" w:eastAsia="宋体" w:hAnsi="Arial" w:cs="Arial"/>
                <w:color w:val="000000"/>
                <w:sz w:val="18"/>
                <w:szCs w:val="18"/>
              </w:rPr>
              <w:t>(989)</w:t>
            </w:r>
          </w:p>
        </w:tc>
        <w:tc>
          <w:tcPr>
            <w:tcW w:w="0" w:type="auto"/>
            <w:shd w:val="clear" w:color="auto" w:fill="CCEEFF"/>
            <w:tcMar>
              <w:top w:w="40" w:type="dxa"/>
              <w:left w:w="0" w:type="dxa"/>
              <w:bottom w:w="40" w:type="dxa"/>
              <w:right w:w="20" w:type="dxa"/>
            </w:tcMar>
            <w:vAlign w:val="bottom"/>
          </w:tcPr>
          <w:p w14:paraId="4090DCEA" w14:textId="77777777" w:rsidR="00833634" w:rsidRDefault="00833634">
            <w:pPr>
              <w:jc w:val="right"/>
              <w:rPr>
                <w:rFonts w:ascii="宋体"/>
              </w:rPr>
            </w:pPr>
          </w:p>
        </w:tc>
      </w:tr>
      <w:tr w:rsidR="00833634" w14:paraId="4090DCF2" w14:textId="77777777">
        <w:trPr>
          <w:jc w:val="center"/>
        </w:trPr>
        <w:tc>
          <w:tcPr>
            <w:tcW w:w="0" w:type="auto"/>
            <w:gridSpan w:val="3"/>
            <w:shd w:val="clear" w:color="auto" w:fill="FFFFFF"/>
            <w:tcMar>
              <w:top w:w="40" w:type="dxa"/>
              <w:left w:w="585" w:type="dxa"/>
              <w:bottom w:w="40" w:type="dxa"/>
              <w:right w:w="20" w:type="dxa"/>
            </w:tcMar>
            <w:vAlign w:val="bottom"/>
          </w:tcPr>
          <w:p w14:paraId="4090DCEC" w14:textId="77777777" w:rsidR="00833634" w:rsidRDefault="00E15D51">
            <w:pPr>
              <w:textAlignment w:val="bottom"/>
            </w:pPr>
            <w:r>
              <w:rPr>
                <w:rFonts w:ascii="Arial" w:eastAsia="宋体" w:hAnsi="Arial" w:cs="Arial"/>
                <w:color w:val="000000"/>
                <w:sz w:val="18"/>
                <w:szCs w:val="18"/>
              </w:rPr>
              <w:t>Other long-term liabilities</w:t>
            </w:r>
          </w:p>
        </w:tc>
        <w:tc>
          <w:tcPr>
            <w:tcW w:w="0" w:type="auto"/>
            <w:gridSpan w:val="2"/>
            <w:shd w:val="clear" w:color="auto" w:fill="FFFFFF"/>
            <w:tcMar>
              <w:top w:w="40" w:type="dxa"/>
              <w:left w:w="20" w:type="dxa"/>
              <w:bottom w:w="40" w:type="dxa"/>
              <w:right w:w="0" w:type="dxa"/>
            </w:tcMar>
            <w:vAlign w:val="bottom"/>
          </w:tcPr>
          <w:p w14:paraId="4090DCED" w14:textId="77777777" w:rsidR="00833634" w:rsidRDefault="00E15D51">
            <w:pPr>
              <w:jc w:val="right"/>
              <w:textAlignment w:val="bottom"/>
            </w:pPr>
            <w:r>
              <w:rPr>
                <w:rFonts w:ascii="Arial" w:eastAsia="宋体" w:hAnsi="Arial" w:cs="Arial"/>
                <w:b/>
                <w:bCs/>
                <w:color w:val="000000"/>
                <w:sz w:val="18"/>
                <w:szCs w:val="18"/>
              </w:rPr>
              <w:t>(149)</w:t>
            </w:r>
          </w:p>
        </w:tc>
        <w:tc>
          <w:tcPr>
            <w:tcW w:w="0" w:type="auto"/>
            <w:shd w:val="clear" w:color="auto" w:fill="FFFFFF"/>
            <w:tcMar>
              <w:top w:w="40" w:type="dxa"/>
              <w:left w:w="0" w:type="dxa"/>
              <w:bottom w:w="40" w:type="dxa"/>
              <w:right w:w="20" w:type="dxa"/>
            </w:tcMar>
            <w:vAlign w:val="bottom"/>
          </w:tcPr>
          <w:p w14:paraId="4090DCE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E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F0" w14:textId="77777777" w:rsidR="00833634" w:rsidRDefault="00E15D51">
            <w:pPr>
              <w:jc w:val="right"/>
              <w:textAlignment w:val="bottom"/>
            </w:pPr>
            <w:r>
              <w:rPr>
                <w:rFonts w:ascii="Arial" w:eastAsia="宋体" w:hAnsi="Arial" w:cs="Arial"/>
                <w:color w:val="000000"/>
                <w:sz w:val="18"/>
                <w:szCs w:val="18"/>
              </w:rPr>
              <w:t>(577)</w:t>
            </w:r>
          </w:p>
        </w:tc>
        <w:tc>
          <w:tcPr>
            <w:tcW w:w="0" w:type="auto"/>
            <w:shd w:val="clear" w:color="auto" w:fill="FFFFFF"/>
            <w:tcMar>
              <w:top w:w="40" w:type="dxa"/>
              <w:left w:w="0" w:type="dxa"/>
              <w:bottom w:w="40" w:type="dxa"/>
              <w:right w:w="20" w:type="dxa"/>
            </w:tcMar>
            <w:vAlign w:val="bottom"/>
          </w:tcPr>
          <w:p w14:paraId="4090DCF1" w14:textId="77777777" w:rsidR="00833634" w:rsidRDefault="00833634">
            <w:pPr>
              <w:jc w:val="right"/>
              <w:rPr>
                <w:rFonts w:ascii="宋体"/>
              </w:rPr>
            </w:pPr>
          </w:p>
        </w:tc>
      </w:tr>
      <w:tr w:rsidR="00833634" w14:paraId="4090DCF9" w14:textId="77777777">
        <w:trPr>
          <w:jc w:val="center"/>
        </w:trPr>
        <w:tc>
          <w:tcPr>
            <w:tcW w:w="0" w:type="auto"/>
            <w:gridSpan w:val="3"/>
            <w:shd w:val="clear" w:color="auto" w:fill="CCEEFF"/>
            <w:tcMar>
              <w:top w:w="40" w:type="dxa"/>
              <w:left w:w="585" w:type="dxa"/>
              <w:bottom w:w="40" w:type="dxa"/>
              <w:right w:w="20" w:type="dxa"/>
            </w:tcMar>
            <w:vAlign w:val="bottom"/>
          </w:tcPr>
          <w:p w14:paraId="4090DCF3" w14:textId="77777777" w:rsidR="00833634" w:rsidRDefault="00E15D51">
            <w:pPr>
              <w:textAlignment w:val="bottom"/>
            </w:pPr>
            <w:r>
              <w:rPr>
                <w:rFonts w:ascii="Arial" w:eastAsia="宋体" w:hAnsi="Arial" w:cs="Arial"/>
                <w:color w:val="000000"/>
                <w:sz w:val="18"/>
                <w:szCs w:val="18"/>
              </w:rPr>
              <w:t>Pension and other postretirement plans</w:t>
            </w:r>
          </w:p>
        </w:tc>
        <w:tc>
          <w:tcPr>
            <w:tcW w:w="0" w:type="auto"/>
            <w:gridSpan w:val="2"/>
            <w:shd w:val="clear" w:color="auto" w:fill="CCEEFF"/>
            <w:tcMar>
              <w:top w:w="40" w:type="dxa"/>
              <w:left w:w="20" w:type="dxa"/>
              <w:bottom w:w="40" w:type="dxa"/>
              <w:right w:w="0" w:type="dxa"/>
            </w:tcMar>
            <w:vAlign w:val="bottom"/>
          </w:tcPr>
          <w:p w14:paraId="4090DCF4" w14:textId="77777777" w:rsidR="00833634" w:rsidRDefault="00E15D51">
            <w:pPr>
              <w:jc w:val="right"/>
              <w:textAlignment w:val="bottom"/>
            </w:pPr>
            <w:r>
              <w:rPr>
                <w:rFonts w:ascii="Arial" w:eastAsia="宋体" w:hAnsi="Arial" w:cs="Arial"/>
                <w:b/>
                <w:bCs/>
                <w:color w:val="000000"/>
                <w:sz w:val="18"/>
                <w:szCs w:val="18"/>
              </w:rPr>
              <w:t>(556)</w:t>
            </w:r>
          </w:p>
        </w:tc>
        <w:tc>
          <w:tcPr>
            <w:tcW w:w="0" w:type="auto"/>
            <w:shd w:val="clear" w:color="auto" w:fill="CCEEFF"/>
            <w:tcMar>
              <w:top w:w="40" w:type="dxa"/>
              <w:left w:w="0" w:type="dxa"/>
              <w:bottom w:w="40" w:type="dxa"/>
              <w:right w:w="20" w:type="dxa"/>
            </w:tcMar>
            <w:vAlign w:val="bottom"/>
          </w:tcPr>
          <w:p w14:paraId="4090DCF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CF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CF7" w14:textId="77777777" w:rsidR="00833634" w:rsidRDefault="00E15D51">
            <w:pPr>
              <w:jc w:val="right"/>
              <w:textAlignment w:val="bottom"/>
            </w:pPr>
            <w:r>
              <w:rPr>
                <w:rFonts w:ascii="Arial" w:eastAsia="宋体" w:hAnsi="Arial" w:cs="Arial"/>
                <w:color w:val="000000"/>
                <w:sz w:val="18"/>
                <w:szCs w:val="18"/>
              </w:rPr>
              <w:t>(570)</w:t>
            </w:r>
          </w:p>
        </w:tc>
        <w:tc>
          <w:tcPr>
            <w:tcW w:w="0" w:type="auto"/>
            <w:shd w:val="clear" w:color="auto" w:fill="CCEEFF"/>
            <w:tcMar>
              <w:top w:w="40" w:type="dxa"/>
              <w:left w:w="0" w:type="dxa"/>
              <w:bottom w:w="40" w:type="dxa"/>
              <w:right w:w="20" w:type="dxa"/>
            </w:tcMar>
            <w:vAlign w:val="bottom"/>
          </w:tcPr>
          <w:p w14:paraId="4090DCF8" w14:textId="77777777" w:rsidR="00833634" w:rsidRDefault="00833634">
            <w:pPr>
              <w:jc w:val="right"/>
              <w:rPr>
                <w:rFonts w:ascii="宋体"/>
              </w:rPr>
            </w:pPr>
          </w:p>
        </w:tc>
      </w:tr>
      <w:tr w:rsidR="00833634" w14:paraId="4090DD00" w14:textId="77777777">
        <w:trPr>
          <w:jc w:val="center"/>
        </w:trPr>
        <w:tc>
          <w:tcPr>
            <w:tcW w:w="0" w:type="auto"/>
            <w:gridSpan w:val="3"/>
            <w:shd w:val="clear" w:color="auto" w:fill="FFFFFF"/>
            <w:tcMar>
              <w:top w:w="40" w:type="dxa"/>
              <w:left w:w="585" w:type="dxa"/>
              <w:bottom w:w="40" w:type="dxa"/>
              <w:right w:w="20" w:type="dxa"/>
            </w:tcMar>
            <w:vAlign w:val="bottom"/>
          </w:tcPr>
          <w:p w14:paraId="4090DCFA" w14:textId="77777777" w:rsidR="00833634" w:rsidRDefault="00E15D51">
            <w:pPr>
              <w:textAlignment w:val="bottom"/>
            </w:pPr>
            <w:r>
              <w:rPr>
                <w:rFonts w:ascii="Arial" w:eastAsia="宋体" w:hAnsi="Arial" w:cs="Arial"/>
                <w:color w:val="000000"/>
                <w:sz w:val="18"/>
                <w:szCs w:val="18"/>
              </w:rPr>
              <w:t>Customer financing, net</w:t>
            </w:r>
          </w:p>
        </w:tc>
        <w:tc>
          <w:tcPr>
            <w:tcW w:w="0" w:type="auto"/>
            <w:gridSpan w:val="2"/>
            <w:shd w:val="clear" w:color="auto" w:fill="FFFFFF"/>
            <w:tcMar>
              <w:top w:w="40" w:type="dxa"/>
              <w:left w:w="20" w:type="dxa"/>
              <w:bottom w:w="40" w:type="dxa"/>
              <w:right w:w="0" w:type="dxa"/>
            </w:tcMar>
            <w:vAlign w:val="bottom"/>
          </w:tcPr>
          <w:p w14:paraId="4090DCFB" w14:textId="77777777" w:rsidR="00833634" w:rsidRDefault="00E15D51">
            <w:pPr>
              <w:jc w:val="right"/>
              <w:textAlignment w:val="bottom"/>
            </w:pPr>
            <w:r>
              <w:rPr>
                <w:rFonts w:ascii="Arial" w:eastAsia="宋体" w:hAnsi="Arial" w:cs="Arial"/>
                <w:b/>
                <w:bCs/>
                <w:color w:val="000000"/>
                <w:sz w:val="18"/>
                <w:szCs w:val="18"/>
              </w:rPr>
              <w:t>108</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CF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CF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CFE" w14:textId="77777777" w:rsidR="00833634" w:rsidRDefault="00E15D51">
            <w:pPr>
              <w:jc w:val="right"/>
              <w:textAlignment w:val="bottom"/>
            </w:pPr>
            <w:r>
              <w:rPr>
                <w:rFonts w:ascii="Arial" w:eastAsia="宋体" w:hAnsi="Arial" w:cs="Arial"/>
                <w:color w:val="000000"/>
                <w:sz w:val="18"/>
                <w:szCs w:val="18"/>
              </w:rPr>
              <w:t>391 </w:t>
            </w:r>
          </w:p>
        </w:tc>
        <w:tc>
          <w:tcPr>
            <w:tcW w:w="0" w:type="auto"/>
            <w:shd w:val="clear" w:color="auto" w:fill="FFFFFF"/>
            <w:tcMar>
              <w:top w:w="40" w:type="dxa"/>
              <w:left w:w="0" w:type="dxa"/>
              <w:bottom w:w="40" w:type="dxa"/>
              <w:right w:w="20" w:type="dxa"/>
            </w:tcMar>
            <w:vAlign w:val="bottom"/>
          </w:tcPr>
          <w:p w14:paraId="4090DCFF" w14:textId="77777777" w:rsidR="00833634" w:rsidRDefault="00833634">
            <w:pPr>
              <w:jc w:val="right"/>
              <w:rPr>
                <w:rFonts w:ascii="宋体"/>
              </w:rPr>
            </w:pPr>
          </w:p>
        </w:tc>
      </w:tr>
      <w:tr w:rsidR="00833634" w14:paraId="4090DD07" w14:textId="77777777">
        <w:trPr>
          <w:jc w:val="center"/>
        </w:trPr>
        <w:tc>
          <w:tcPr>
            <w:tcW w:w="0" w:type="auto"/>
            <w:gridSpan w:val="3"/>
            <w:shd w:val="clear" w:color="auto" w:fill="CCEEFF"/>
            <w:tcMar>
              <w:top w:w="40" w:type="dxa"/>
              <w:left w:w="585" w:type="dxa"/>
              <w:bottom w:w="40" w:type="dxa"/>
              <w:right w:w="20" w:type="dxa"/>
            </w:tcMar>
            <w:vAlign w:val="bottom"/>
          </w:tcPr>
          <w:p w14:paraId="4090DD01" w14:textId="77777777" w:rsidR="00833634" w:rsidRDefault="00E15D51">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4090DD02" w14:textId="77777777" w:rsidR="00833634" w:rsidRDefault="00E15D51">
            <w:pPr>
              <w:jc w:val="right"/>
              <w:textAlignment w:val="bottom"/>
            </w:pPr>
            <w:r>
              <w:rPr>
                <w:rFonts w:ascii="Arial" w:eastAsia="宋体" w:hAnsi="Arial" w:cs="Arial"/>
                <w:b/>
                <w:bCs/>
                <w:color w:val="000000"/>
                <w:sz w:val="18"/>
                <w:szCs w:val="18"/>
              </w:rPr>
              <w:t>289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090DD0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D0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D05" w14:textId="77777777" w:rsidR="00833634" w:rsidRDefault="00E15D51">
            <w:pPr>
              <w:jc w:val="right"/>
              <w:textAlignment w:val="bottom"/>
            </w:pPr>
            <w:r>
              <w:rPr>
                <w:rFonts w:ascii="Arial" w:eastAsia="宋体" w:hAnsi="Arial" w:cs="Arial"/>
                <w:color w:val="000000"/>
                <w:sz w:val="18"/>
                <w:szCs w:val="18"/>
              </w:rPr>
              <w:t>144 </w:t>
            </w:r>
          </w:p>
        </w:tc>
        <w:tc>
          <w:tcPr>
            <w:tcW w:w="0" w:type="auto"/>
            <w:shd w:val="clear" w:color="auto" w:fill="CCEEFF"/>
            <w:tcMar>
              <w:top w:w="40" w:type="dxa"/>
              <w:left w:w="0" w:type="dxa"/>
              <w:bottom w:w="40" w:type="dxa"/>
              <w:right w:w="20" w:type="dxa"/>
            </w:tcMar>
            <w:vAlign w:val="bottom"/>
          </w:tcPr>
          <w:p w14:paraId="4090DD06" w14:textId="77777777" w:rsidR="00833634" w:rsidRDefault="00833634">
            <w:pPr>
              <w:jc w:val="right"/>
              <w:rPr>
                <w:rFonts w:ascii="宋体"/>
              </w:rPr>
            </w:pPr>
          </w:p>
        </w:tc>
      </w:tr>
      <w:tr w:rsidR="00833634" w14:paraId="4090DD0E" w14:textId="77777777">
        <w:trPr>
          <w:jc w:val="center"/>
        </w:trPr>
        <w:tc>
          <w:tcPr>
            <w:tcW w:w="0" w:type="auto"/>
            <w:gridSpan w:val="3"/>
            <w:tcBorders>
              <w:top w:val="single" w:sz="8" w:space="0" w:color="000000"/>
            </w:tcBorders>
            <w:shd w:val="clear" w:color="auto" w:fill="FFFFFF"/>
            <w:tcMar>
              <w:top w:w="40" w:type="dxa"/>
              <w:left w:w="720" w:type="dxa"/>
              <w:bottom w:w="40" w:type="dxa"/>
              <w:right w:w="20" w:type="dxa"/>
            </w:tcMar>
            <w:vAlign w:val="bottom"/>
          </w:tcPr>
          <w:p w14:paraId="4090DD08" w14:textId="77777777" w:rsidR="00833634" w:rsidRDefault="00E15D51">
            <w:pPr>
              <w:textAlignment w:val="bottom"/>
            </w:pPr>
            <w:r>
              <w:rPr>
                <w:rFonts w:ascii="Arial" w:eastAsia="宋体" w:hAnsi="Arial" w:cs="Arial"/>
                <w:b/>
                <w:bCs/>
                <w:color w:val="000000"/>
                <w:sz w:val="18"/>
                <w:szCs w:val="18"/>
              </w:rPr>
              <w:t>Net cash used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D09" w14:textId="77777777" w:rsidR="00833634" w:rsidRDefault="00E15D51">
            <w:pPr>
              <w:jc w:val="right"/>
              <w:textAlignment w:val="bottom"/>
            </w:pPr>
            <w:r>
              <w:rPr>
                <w:rFonts w:ascii="Arial" w:eastAsia="宋体" w:hAnsi="Arial" w:cs="Arial"/>
                <w:b/>
                <w:bCs/>
                <w:color w:val="000000"/>
                <w:sz w:val="18"/>
                <w:szCs w:val="18"/>
              </w:rPr>
              <w:t>(14,401)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D0A"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D0B"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D0C" w14:textId="77777777" w:rsidR="00833634" w:rsidRDefault="00E15D51">
            <w:pPr>
              <w:jc w:val="right"/>
              <w:textAlignment w:val="bottom"/>
            </w:pPr>
            <w:r>
              <w:rPr>
                <w:rFonts w:ascii="Arial" w:eastAsia="宋体" w:hAnsi="Arial" w:cs="Arial"/>
                <w:color w:val="000000"/>
                <w:sz w:val="18"/>
                <w:szCs w:val="18"/>
              </w:rPr>
              <w:t>(226)</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D0D" w14:textId="77777777" w:rsidR="00833634" w:rsidRDefault="00833634">
            <w:pPr>
              <w:jc w:val="right"/>
              <w:rPr>
                <w:rFonts w:ascii="宋体"/>
              </w:rPr>
            </w:pPr>
          </w:p>
        </w:tc>
      </w:tr>
      <w:tr w:rsidR="00833634" w14:paraId="4090DD13"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D0F" w14:textId="77777777" w:rsidR="00833634" w:rsidRDefault="00E15D51">
            <w:pPr>
              <w:textAlignment w:val="bottom"/>
            </w:pPr>
            <w:r>
              <w:rPr>
                <w:rFonts w:ascii="Arial" w:eastAsia="宋体" w:hAnsi="Arial" w:cs="Arial"/>
                <w:b/>
                <w:bCs/>
                <w:color w:val="000000"/>
                <w:sz w:val="18"/>
                <w:szCs w:val="18"/>
              </w:rPr>
              <w:t>Cash flows – investing activities:</w:t>
            </w:r>
          </w:p>
        </w:tc>
        <w:tc>
          <w:tcPr>
            <w:tcW w:w="0" w:type="auto"/>
            <w:gridSpan w:val="3"/>
            <w:tcBorders>
              <w:top w:val="single" w:sz="8" w:space="0" w:color="000000"/>
            </w:tcBorders>
            <w:shd w:val="clear" w:color="auto" w:fill="CCEEFF"/>
            <w:tcMar>
              <w:top w:w="0" w:type="dxa"/>
              <w:left w:w="20" w:type="dxa"/>
              <w:bottom w:w="0" w:type="dxa"/>
              <w:right w:w="20" w:type="dxa"/>
            </w:tcMar>
          </w:tcPr>
          <w:p w14:paraId="4090DD10"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D11"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D12" w14:textId="77777777" w:rsidR="00833634" w:rsidRDefault="00833634">
            <w:pPr>
              <w:rPr>
                <w:rFonts w:ascii="宋体"/>
              </w:rPr>
            </w:pPr>
          </w:p>
        </w:tc>
      </w:tr>
      <w:tr w:rsidR="00833634" w14:paraId="4090DD1A" w14:textId="77777777">
        <w:trPr>
          <w:jc w:val="center"/>
        </w:trPr>
        <w:tc>
          <w:tcPr>
            <w:tcW w:w="0" w:type="auto"/>
            <w:gridSpan w:val="3"/>
            <w:shd w:val="clear" w:color="auto" w:fill="FFFFFF"/>
            <w:tcMar>
              <w:top w:w="40" w:type="dxa"/>
              <w:left w:w="225" w:type="dxa"/>
              <w:bottom w:w="40" w:type="dxa"/>
              <w:right w:w="20" w:type="dxa"/>
            </w:tcMar>
            <w:vAlign w:val="bottom"/>
          </w:tcPr>
          <w:p w14:paraId="4090DD14" w14:textId="77777777" w:rsidR="00833634" w:rsidRDefault="00E15D51">
            <w:pPr>
              <w:textAlignment w:val="bottom"/>
            </w:pPr>
            <w:r>
              <w:rPr>
                <w:rFonts w:ascii="Arial" w:eastAsia="宋体" w:hAnsi="Arial" w:cs="Arial"/>
                <w:color w:val="000000"/>
                <w:sz w:val="18"/>
                <w:szCs w:val="18"/>
              </w:rPr>
              <w:t xml:space="preserve">Property, plant and equipment </w:t>
            </w:r>
            <w:r>
              <w:rPr>
                <w:rFonts w:ascii="Arial" w:eastAsia="宋体" w:hAnsi="Arial" w:cs="Arial"/>
                <w:color w:val="000000"/>
                <w:sz w:val="18"/>
                <w:szCs w:val="18"/>
              </w:rPr>
              <w:t>additions</w:t>
            </w:r>
          </w:p>
        </w:tc>
        <w:tc>
          <w:tcPr>
            <w:tcW w:w="0" w:type="auto"/>
            <w:gridSpan w:val="2"/>
            <w:shd w:val="clear" w:color="auto" w:fill="FFFFFF"/>
            <w:tcMar>
              <w:top w:w="40" w:type="dxa"/>
              <w:left w:w="20" w:type="dxa"/>
              <w:bottom w:w="40" w:type="dxa"/>
              <w:right w:w="0" w:type="dxa"/>
            </w:tcMar>
            <w:vAlign w:val="bottom"/>
          </w:tcPr>
          <w:p w14:paraId="4090DD15" w14:textId="77777777" w:rsidR="00833634" w:rsidRDefault="00E15D51">
            <w:pPr>
              <w:jc w:val="right"/>
              <w:textAlignment w:val="bottom"/>
            </w:pPr>
            <w:r>
              <w:rPr>
                <w:rFonts w:ascii="Arial" w:eastAsia="宋体" w:hAnsi="Arial" w:cs="Arial"/>
                <w:b/>
                <w:bCs/>
                <w:color w:val="000000"/>
                <w:sz w:val="18"/>
                <w:szCs w:val="18"/>
              </w:rPr>
              <w:t>(1,038)</w:t>
            </w:r>
          </w:p>
        </w:tc>
        <w:tc>
          <w:tcPr>
            <w:tcW w:w="0" w:type="auto"/>
            <w:shd w:val="clear" w:color="auto" w:fill="FFFFFF"/>
            <w:tcMar>
              <w:top w:w="40" w:type="dxa"/>
              <w:left w:w="0" w:type="dxa"/>
              <w:bottom w:w="40" w:type="dxa"/>
              <w:right w:w="20" w:type="dxa"/>
            </w:tcMar>
            <w:vAlign w:val="bottom"/>
          </w:tcPr>
          <w:p w14:paraId="4090DD1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D1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D18" w14:textId="77777777" w:rsidR="00833634" w:rsidRDefault="00E15D51">
            <w:pPr>
              <w:jc w:val="right"/>
              <w:textAlignment w:val="bottom"/>
            </w:pPr>
            <w:r>
              <w:rPr>
                <w:rFonts w:ascii="Arial" w:eastAsia="宋体" w:hAnsi="Arial" w:cs="Arial"/>
                <w:color w:val="000000"/>
                <w:sz w:val="18"/>
                <w:szCs w:val="18"/>
              </w:rPr>
              <w:t>(1,387)</w:t>
            </w:r>
          </w:p>
        </w:tc>
        <w:tc>
          <w:tcPr>
            <w:tcW w:w="0" w:type="auto"/>
            <w:shd w:val="clear" w:color="auto" w:fill="FFFFFF"/>
            <w:tcMar>
              <w:top w:w="40" w:type="dxa"/>
              <w:left w:w="0" w:type="dxa"/>
              <w:bottom w:w="40" w:type="dxa"/>
              <w:right w:w="20" w:type="dxa"/>
            </w:tcMar>
            <w:vAlign w:val="bottom"/>
          </w:tcPr>
          <w:p w14:paraId="4090DD19" w14:textId="77777777" w:rsidR="00833634" w:rsidRDefault="00833634">
            <w:pPr>
              <w:jc w:val="right"/>
              <w:rPr>
                <w:rFonts w:ascii="宋体"/>
              </w:rPr>
            </w:pPr>
          </w:p>
        </w:tc>
      </w:tr>
      <w:tr w:rsidR="00833634" w14:paraId="4090DD21" w14:textId="77777777">
        <w:trPr>
          <w:jc w:val="center"/>
        </w:trPr>
        <w:tc>
          <w:tcPr>
            <w:tcW w:w="0" w:type="auto"/>
            <w:gridSpan w:val="3"/>
            <w:shd w:val="clear" w:color="auto" w:fill="CCEEFF"/>
            <w:tcMar>
              <w:top w:w="40" w:type="dxa"/>
              <w:left w:w="225" w:type="dxa"/>
              <w:bottom w:w="40" w:type="dxa"/>
              <w:right w:w="20" w:type="dxa"/>
            </w:tcMar>
            <w:vAlign w:val="bottom"/>
          </w:tcPr>
          <w:p w14:paraId="4090DD1B" w14:textId="77777777" w:rsidR="00833634" w:rsidRDefault="00E15D51">
            <w:pPr>
              <w:textAlignment w:val="bottom"/>
            </w:pPr>
            <w:r>
              <w:rPr>
                <w:rFonts w:ascii="Arial" w:eastAsia="宋体" w:hAnsi="Arial" w:cs="Arial"/>
                <w:color w:val="000000"/>
                <w:sz w:val="18"/>
                <w:szCs w:val="18"/>
              </w:rPr>
              <w:t>Property, plant and equipment reductions</w:t>
            </w:r>
          </w:p>
        </w:tc>
        <w:tc>
          <w:tcPr>
            <w:tcW w:w="0" w:type="auto"/>
            <w:gridSpan w:val="2"/>
            <w:shd w:val="clear" w:color="auto" w:fill="CCEEFF"/>
            <w:tcMar>
              <w:top w:w="40" w:type="dxa"/>
              <w:left w:w="20" w:type="dxa"/>
              <w:bottom w:w="40" w:type="dxa"/>
              <w:right w:w="0" w:type="dxa"/>
            </w:tcMar>
            <w:vAlign w:val="bottom"/>
          </w:tcPr>
          <w:p w14:paraId="4090DD1C" w14:textId="77777777" w:rsidR="00833634" w:rsidRDefault="00E15D51">
            <w:pPr>
              <w:jc w:val="right"/>
              <w:textAlignment w:val="bottom"/>
            </w:pPr>
            <w:r>
              <w:rPr>
                <w:rFonts w:ascii="Arial" w:eastAsia="宋体" w:hAnsi="Arial" w:cs="Arial"/>
                <w:b/>
                <w:bCs/>
                <w:color w:val="000000"/>
                <w:sz w:val="18"/>
                <w:szCs w:val="18"/>
              </w:rPr>
              <w:t>275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090DD1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D1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D1F" w14:textId="77777777" w:rsidR="00833634" w:rsidRDefault="00E15D51">
            <w:pPr>
              <w:jc w:val="right"/>
              <w:textAlignment w:val="bottom"/>
            </w:pPr>
            <w:r>
              <w:rPr>
                <w:rFonts w:ascii="Arial" w:eastAsia="宋体" w:hAnsi="Arial" w:cs="Arial"/>
                <w:color w:val="000000"/>
                <w:sz w:val="18"/>
                <w:szCs w:val="18"/>
              </w:rPr>
              <w:t>334 </w:t>
            </w:r>
          </w:p>
        </w:tc>
        <w:tc>
          <w:tcPr>
            <w:tcW w:w="0" w:type="auto"/>
            <w:shd w:val="clear" w:color="auto" w:fill="CCEEFF"/>
            <w:tcMar>
              <w:top w:w="40" w:type="dxa"/>
              <w:left w:w="0" w:type="dxa"/>
              <w:bottom w:w="40" w:type="dxa"/>
              <w:right w:w="20" w:type="dxa"/>
            </w:tcMar>
            <w:vAlign w:val="bottom"/>
          </w:tcPr>
          <w:p w14:paraId="4090DD20" w14:textId="77777777" w:rsidR="00833634" w:rsidRDefault="00833634">
            <w:pPr>
              <w:jc w:val="right"/>
              <w:rPr>
                <w:rFonts w:ascii="宋体"/>
              </w:rPr>
            </w:pPr>
          </w:p>
        </w:tc>
      </w:tr>
      <w:tr w:rsidR="00833634" w14:paraId="4090DD27" w14:textId="77777777">
        <w:trPr>
          <w:jc w:val="center"/>
        </w:trPr>
        <w:tc>
          <w:tcPr>
            <w:tcW w:w="0" w:type="auto"/>
            <w:gridSpan w:val="3"/>
            <w:shd w:val="clear" w:color="auto" w:fill="FFFFFF"/>
            <w:tcMar>
              <w:top w:w="40" w:type="dxa"/>
              <w:left w:w="225" w:type="dxa"/>
              <w:bottom w:w="40" w:type="dxa"/>
              <w:right w:w="20" w:type="dxa"/>
            </w:tcMar>
            <w:vAlign w:val="bottom"/>
          </w:tcPr>
          <w:p w14:paraId="4090DD22" w14:textId="77777777" w:rsidR="00833634" w:rsidRDefault="00E15D51">
            <w:pPr>
              <w:textAlignment w:val="bottom"/>
            </w:pPr>
            <w:r>
              <w:rPr>
                <w:rFonts w:ascii="Arial" w:eastAsia="宋体" w:hAnsi="Arial" w:cs="Arial"/>
                <w:color w:val="000000"/>
                <w:sz w:val="18"/>
                <w:szCs w:val="18"/>
              </w:rPr>
              <w:t>Acquisitions, net of cash acquired</w:t>
            </w:r>
          </w:p>
        </w:tc>
        <w:tc>
          <w:tcPr>
            <w:tcW w:w="0" w:type="auto"/>
            <w:gridSpan w:val="3"/>
            <w:shd w:val="clear" w:color="auto" w:fill="FFFFFF"/>
            <w:tcMar>
              <w:top w:w="0" w:type="dxa"/>
              <w:left w:w="20" w:type="dxa"/>
              <w:bottom w:w="0" w:type="dxa"/>
              <w:right w:w="20" w:type="dxa"/>
            </w:tcMar>
          </w:tcPr>
          <w:p w14:paraId="4090DD23"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D2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D25" w14:textId="77777777" w:rsidR="00833634" w:rsidRDefault="00E15D51">
            <w:pPr>
              <w:jc w:val="right"/>
              <w:textAlignment w:val="bottom"/>
            </w:pPr>
            <w:r>
              <w:rPr>
                <w:rFonts w:ascii="Arial" w:eastAsia="宋体" w:hAnsi="Arial" w:cs="Arial"/>
                <w:color w:val="000000"/>
                <w:sz w:val="18"/>
                <w:szCs w:val="18"/>
              </w:rPr>
              <w:t>(492)</w:t>
            </w:r>
          </w:p>
        </w:tc>
        <w:tc>
          <w:tcPr>
            <w:tcW w:w="0" w:type="auto"/>
            <w:shd w:val="clear" w:color="auto" w:fill="FFFFFF"/>
            <w:tcMar>
              <w:top w:w="40" w:type="dxa"/>
              <w:left w:w="0" w:type="dxa"/>
              <w:bottom w:w="40" w:type="dxa"/>
              <w:right w:w="20" w:type="dxa"/>
            </w:tcMar>
            <w:vAlign w:val="bottom"/>
          </w:tcPr>
          <w:p w14:paraId="4090DD26" w14:textId="77777777" w:rsidR="00833634" w:rsidRDefault="00833634">
            <w:pPr>
              <w:jc w:val="right"/>
              <w:rPr>
                <w:rFonts w:ascii="宋体"/>
              </w:rPr>
            </w:pPr>
          </w:p>
        </w:tc>
      </w:tr>
      <w:tr w:rsidR="00833634" w14:paraId="4090DD2E" w14:textId="77777777">
        <w:trPr>
          <w:jc w:val="center"/>
        </w:trPr>
        <w:tc>
          <w:tcPr>
            <w:tcW w:w="0" w:type="auto"/>
            <w:gridSpan w:val="3"/>
            <w:shd w:val="clear" w:color="auto" w:fill="CCEEFF"/>
            <w:tcMar>
              <w:top w:w="40" w:type="dxa"/>
              <w:left w:w="225" w:type="dxa"/>
              <w:bottom w:w="40" w:type="dxa"/>
              <w:right w:w="20" w:type="dxa"/>
            </w:tcMar>
            <w:vAlign w:val="bottom"/>
          </w:tcPr>
          <w:p w14:paraId="4090DD28" w14:textId="77777777" w:rsidR="00833634" w:rsidRDefault="00E15D51">
            <w:pPr>
              <w:textAlignment w:val="bottom"/>
            </w:pPr>
            <w:r>
              <w:rPr>
                <w:rFonts w:ascii="Arial" w:eastAsia="宋体" w:hAnsi="Arial" w:cs="Arial"/>
                <w:color w:val="000000"/>
                <w:sz w:val="18"/>
                <w:szCs w:val="18"/>
              </w:rPr>
              <w:t>Contributions to investments</w:t>
            </w:r>
          </w:p>
        </w:tc>
        <w:tc>
          <w:tcPr>
            <w:tcW w:w="0" w:type="auto"/>
            <w:gridSpan w:val="2"/>
            <w:shd w:val="clear" w:color="auto" w:fill="CCEEFF"/>
            <w:tcMar>
              <w:top w:w="40" w:type="dxa"/>
              <w:left w:w="20" w:type="dxa"/>
              <w:bottom w:w="40" w:type="dxa"/>
              <w:right w:w="0" w:type="dxa"/>
            </w:tcMar>
            <w:vAlign w:val="bottom"/>
          </w:tcPr>
          <w:p w14:paraId="4090DD29" w14:textId="77777777" w:rsidR="00833634" w:rsidRDefault="00E15D51">
            <w:pPr>
              <w:jc w:val="right"/>
              <w:textAlignment w:val="bottom"/>
            </w:pPr>
            <w:r>
              <w:rPr>
                <w:rFonts w:ascii="Arial" w:eastAsia="宋体" w:hAnsi="Arial" w:cs="Arial"/>
                <w:b/>
                <w:bCs/>
                <w:color w:val="000000"/>
                <w:sz w:val="18"/>
                <w:szCs w:val="18"/>
              </w:rPr>
              <w:t>(25,846)</w:t>
            </w:r>
          </w:p>
        </w:tc>
        <w:tc>
          <w:tcPr>
            <w:tcW w:w="0" w:type="auto"/>
            <w:shd w:val="clear" w:color="auto" w:fill="CCEEFF"/>
            <w:tcMar>
              <w:top w:w="40" w:type="dxa"/>
              <w:left w:w="0" w:type="dxa"/>
              <w:bottom w:w="40" w:type="dxa"/>
              <w:right w:w="20" w:type="dxa"/>
            </w:tcMar>
            <w:vAlign w:val="bottom"/>
          </w:tcPr>
          <w:p w14:paraId="4090DD2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D2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D2C" w14:textId="77777777" w:rsidR="00833634" w:rsidRDefault="00E15D51">
            <w:pPr>
              <w:jc w:val="right"/>
              <w:textAlignment w:val="bottom"/>
            </w:pPr>
            <w:r>
              <w:rPr>
                <w:rFonts w:ascii="Arial" w:eastAsia="宋体" w:hAnsi="Arial" w:cs="Arial"/>
                <w:color w:val="000000"/>
                <w:sz w:val="18"/>
                <w:szCs w:val="18"/>
              </w:rPr>
              <w:t>(1,439)</w:t>
            </w:r>
          </w:p>
        </w:tc>
        <w:tc>
          <w:tcPr>
            <w:tcW w:w="0" w:type="auto"/>
            <w:shd w:val="clear" w:color="auto" w:fill="CCEEFF"/>
            <w:tcMar>
              <w:top w:w="40" w:type="dxa"/>
              <w:left w:w="0" w:type="dxa"/>
              <w:bottom w:w="40" w:type="dxa"/>
              <w:right w:w="20" w:type="dxa"/>
            </w:tcMar>
            <w:vAlign w:val="bottom"/>
          </w:tcPr>
          <w:p w14:paraId="4090DD2D" w14:textId="77777777" w:rsidR="00833634" w:rsidRDefault="00833634">
            <w:pPr>
              <w:jc w:val="right"/>
              <w:rPr>
                <w:rFonts w:ascii="宋体"/>
              </w:rPr>
            </w:pPr>
          </w:p>
        </w:tc>
      </w:tr>
      <w:tr w:rsidR="00833634" w14:paraId="4090DD35" w14:textId="77777777">
        <w:trPr>
          <w:jc w:val="center"/>
        </w:trPr>
        <w:tc>
          <w:tcPr>
            <w:tcW w:w="0" w:type="auto"/>
            <w:gridSpan w:val="3"/>
            <w:shd w:val="clear" w:color="auto" w:fill="FFFFFF"/>
            <w:tcMar>
              <w:top w:w="40" w:type="dxa"/>
              <w:left w:w="225" w:type="dxa"/>
              <w:bottom w:w="40" w:type="dxa"/>
              <w:right w:w="20" w:type="dxa"/>
            </w:tcMar>
            <w:vAlign w:val="bottom"/>
          </w:tcPr>
          <w:p w14:paraId="4090DD2F" w14:textId="77777777" w:rsidR="00833634" w:rsidRDefault="00E15D51">
            <w:pPr>
              <w:textAlignment w:val="bottom"/>
            </w:pPr>
            <w:r>
              <w:rPr>
                <w:rFonts w:ascii="Arial" w:eastAsia="宋体" w:hAnsi="Arial" w:cs="Arial"/>
                <w:color w:val="000000"/>
                <w:sz w:val="18"/>
                <w:szCs w:val="18"/>
              </w:rPr>
              <w:t>Proceeds from investments</w:t>
            </w:r>
          </w:p>
        </w:tc>
        <w:tc>
          <w:tcPr>
            <w:tcW w:w="0" w:type="auto"/>
            <w:gridSpan w:val="2"/>
            <w:shd w:val="clear" w:color="auto" w:fill="FFFFFF"/>
            <w:tcMar>
              <w:top w:w="40" w:type="dxa"/>
              <w:left w:w="20" w:type="dxa"/>
              <w:bottom w:w="40" w:type="dxa"/>
              <w:right w:w="0" w:type="dxa"/>
            </w:tcMar>
            <w:vAlign w:val="bottom"/>
          </w:tcPr>
          <w:p w14:paraId="4090DD30" w14:textId="77777777" w:rsidR="00833634" w:rsidRDefault="00E15D51">
            <w:pPr>
              <w:jc w:val="right"/>
              <w:textAlignment w:val="bottom"/>
            </w:pPr>
            <w:r>
              <w:rPr>
                <w:rFonts w:ascii="Arial" w:eastAsia="宋体" w:hAnsi="Arial" w:cs="Arial"/>
                <w:b/>
                <w:bCs/>
                <w:color w:val="000000"/>
                <w:sz w:val="18"/>
                <w:szCs w:val="18"/>
              </w:rPr>
              <w:t>9,772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D3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D3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D33" w14:textId="77777777" w:rsidR="00833634" w:rsidRDefault="00E15D51">
            <w:pPr>
              <w:jc w:val="right"/>
              <w:textAlignment w:val="bottom"/>
            </w:pPr>
            <w:r>
              <w:rPr>
                <w:rFonts w:ascii="Arial" w:eastAsia="宋体" w:hAnsi="Arial" w:cs="Arial"/>
                <w:color w:val="000000"/>
                <w:sz w:val="18"/>
                <w:szCs w:val="18"/>
              </w:rPr>
              <w:t>967 </w:t>
            </w:r>
          </w:p>
        </w:tc>
        <w:tc>
          <w:tcPr>
            <w:tcW w:w="0" w:type="auto"/>
            <w:shd w:val="clear" w:color="auto" w:fill="FFFFFF"/>
            <w:tcMar>
              <w:top w:w="40" w:type="dxa"/>
              <w:left w:w="0" w:type="dxa"/>
              <w:bottom w:w="40" w:type="dxa"/>
              <w:right w:w="20" w:type="dxa"/>
            </w:tcMar>
            <w:vAlign w:val="bottom"/>
          </w:tcPr>
          <w:p w14:paraId="4090DD34" w14:textId="77777777" w:rsidR="00833634" w:rsidRDefault="00833634">
            <w:pPr>
              <w:jc w:val="right"/>
              <w:rPr>
                <w:rFonts w:ascii="宋体"/>
              </w:rPr>
            </w:pPr>
          </w:p>
        </w:tc>
      </w:tr>
      <w:tr w:rsidR="00833634" w14:paraId="4090DD3B" w14:textId="77777777">
        <w:trPr>
          <w:jc w:val="center"/>
        </w:trPr>
        <w:tc>
          <w:tcPr>
            <w:tcW w:w="0" w:type="auto"/>
            <w:gridSpan w:val="3"/>
            <w:shd w:val="clear" w:color="auto" w:fill="CCEEFF"/>
            <w:tcMar>
              <w:top w:w="40" w:type="dxa"/>
              <w:left w:w="225" w:type="dxa"/>
              <w:bottom w:w="40" w:type="dxa"/>
              <w:right w:w="20" w:type="dxa"/>
            </w:tcMar>
            <w:vAlign w:val="bottom"/>
          </w:tcPr>
          <w:p w14:paraId="4090DD36" w14:textId="77777777" w:rsidR="00833634" w:rsidRDefault="00E15D51">
            <w:pPr>
              <w:textAlignment w:val="bottom"/>
            </w:pPr>
            <w:r>
              <w:rPr>
                <w:rFonts w:ascii="Arial" w:eastAsia="宋体" w:hAnsi="Arial" w:cs="Arial"/>
                <w:color w:val="000000"/>
                <w:sz w:val="18"/>
                <w:szCs w:val="18"/>
              </w:rPr>
              <w:t xml:space="preserve">Purchase of </w:t>
            </w:r>
            <w:r>
              <w:rPr>
                <w:rFonts w:ascii="Arial" w:eastAsia="宋体" w:hAnsi="Arial" w:cs="Arial"/>
                <w:color w:val="000000"/>
                <w:sz w:val="18"/>
                <w:szCs w:val="18"/>
              </w:rPr>
              <w:t>distribution rights</w:t>
            </w:r>
          </w:p>
        </w:tc>
        <w:tc>
          <w:tcPr>
            <w:tcW w:w="0" w:type="auto"/>
            <w:gridSpan w:val="3"/>
            <w:shd w:val="clear" w:color="auto" w:fill="CCEEFF"/>
            <w:tcMar>
              <w:top w:w="0" w:type="dxa"/>
              <w:left w:w="20" w:type="dxa"/>
              <w:bottom w:w="0" w:type="dxa"/>
              <w:right w:w="20" w:type="dxa"/>
            </w:tcMar>
          </w:tcPr>
          <w:p w14:paraId="4090DD3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D3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D39" w14:textId="77777777" w:rsidR="00833634" w:rsidRDefault="00E15D51">
            <w:pPr>
              <w:jc w:val="right"/>
              <w:textAlignment w:val="bottom"/>
            </w:pPr>
            <w:r>
              <w:rPr>
                <w:rFonts w:ascii="Arial" w:eastAsia="宋体" w:hAnsi="Arial" w:cs="Arial"/>
                <w:color w:val="000000"/>
                <w:sz w:val="18"/>
                <w:szCs w:val="18"/>
              </w:rPr>
              <w:t>(20)</w:t>
            </w:r>
          </w:p>
        </w:tc>
        <w:tc>
          <w:tcPr>
            <w:tcW w:w="0" w:type="auto"/>
            <w:shd w:val="clear" w:color="auto" w:fill="CCEEFF"/>
            <w:tcMar>
              <w:top w:w="40" w:type="dxa"/>
              <w:left w:w="0" w:type="dxa"/>
              <w:bottom w:w="40" w:type="dxa"/>
              <w:right w:w="20" w:type="dxa"/>
            </w:tcMar>
            <w:vAlign w:val="bottom"/>
          </w:tcPr>
          <w:p w14:paraId="4090DD3A" w14:textId="77777777" w:rsidR="00833634" w:rsidRDefault="00833634">
            <w:pPr>
              <w:jc w:val="right"/>
              <w:rPr>
                <w:rFonts w:ascii="宋体"/>
              </w:rPr>
            </w:pPr>
          </w:p>
        </w:tc>
      </w:tr>
      <w:tr w:rsidR="00833634" w14:paraId="4090DD42" w14:textId="77777777">
        <w:trPr>
          <w:jc w:val="center"/>
        </w:trPr>
        <w:tc>
          <w:tcPr>
            <w:tcW w:w="0" w:type="auto"/>
            <w:gridSpan w:val="3"/>
            <w:shd w:val="clear" w:color="auto" w:fill="FFFFFF"/>
            <w:tcMar>
              <w:top w:w="40" w:type="dxa"/>
              <w:left w:w="225" w:type="dxa"/>
              <w:bottom w:w="40" w:type="dxa"/>
              <w:right w:w="20" w:type="dxa"/>
            </w:tcMar>
            <w:vAlign w:val="bottom"/>
          </w:tcPr>
          <w:p w14:paraId="4090DD3C" w14:textId="77777777" w:rsidR="00833634" w:rsidRDefault="00E15D51">
            <w:pPr>
              <w:textAlignment w:val="bottom"/>
            </w:pPr>
            <w:r>
              <w:rPr>
                <w:rFonts w:ascii="Arial" w:eastAsia="宋体" w:hAnsi="Arial" w:cs="Arial"/>
                <w:color w:val="000000"/>
                <w:sz w:val="18"/>
                <w:szCs w:val="18"/>
              </w:rPr>
              <w:t>Other</w:t>
            </w:r>
          </w:p>
        </w:tc>
        <w:tc>
          <w:tcPr>
            <w:tcW w:w="0" w:type="auto"/>
            <w:gridSpan w:val="2"/>
            <w:shd w:val="clear" w:color="auto" w:fill="FFFFFF"/>
            <w:tcMar>
              <w:top w:w="40" w:type="dxa"/>
              <w:left w:w="20" w:type="dxa"/>
              <w:bottom w:w="40" w:type="dxa"/>
              <w:right w:w="0" w:type="dxa"/>
            </w:tcMar>
            <w:vAlign w:val="bottom"/>
          </w:tcPr>
          <w:p w14:paraId="4090DD3D" w14:textId="77777777" w:rsidR="00833634" w:rsidRDefault="00E15D51">
            <w:pPr>
              <w:jc w:val="right"/>
              <w:textAlignment w:val="bottom"/>
            </w:pPr>
            <w:r>
              <w:rPr>
                <w:rFonts w:ascii="Arial" w:eastAsia="宋体" w:hAnsi="Arial" w:cs="Arial"/>
                <w:b/>
                <w:bCs/>
                <w:color w:val="000000"/>
                <w:sz w:val="18"/>
                <w:szCs w:val="18"/>
              </w:rPr>
              <w:t>14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D3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D3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D40" w14:textId="77777777" w:rsidR="00833634" w:rsidRDefault="00E15D51">
            <w:pPr>
              <w:jc w:val="right"/>
              <w:textAlignment w:val="bottom"/>
            </w:pPr>
            <w:r>
              <w:rPr>
                <w:rFonts w:ascii="Arial" w:eastAsia="宋体" w:hAnsi="Arial" w:cs="Arial"/>
                <w:color w:val="000000"/>
                <w:sz w:val="18"/>
                <w:szCs w:val="18"/>
              </w:rPr>
              <w:t>(10)</w:t>
            </w:r>
          </w:p>
        </w:tc>
        <w:tc>
          <w:tcPr>
            <w:tcW w:w="0" w:type="auto"/>
            <w:shd w:val="clear" w:color="auto" w:fill="FFFFFF"/>
            <w:tcMar>
              <w:top w:w="40" w:type="dxa"/>
              <w:left w:w="0" w:type="dxa"/>
              <w:bottom w:w="40" w:type="dxa"/>
              <w:right w:w="20" w:type="dxa"/>
            </w:tcMar>
            <w:vAlign w:val="bottom"/>
          </w:tcPr>
          <w:p w14:paraId="4090DD41" w14:textId="77777777" w:rsidR="00833634" w:rsidRDefault="00833634">
            <w:pPr>
              <w:jc w:val="right"/>
              <w:rPr>
                <w:rFonts w:ascii="宋体"/>
              </w:rPr>
            </w:pPr>
          </w:p>
        </w:tc>
      </w:tr>
      <w:tr w:rsidR="00833634" w14:paraId="4090DD49" w14:textId="77777777">
        <w:trPr>
          <w:jc w:val="center"/>
        </w:trPr>
        <w:tc>
          <w:tcPr>
            <w:tcW w:w="0" w:type="auto"/>
            <w:gridSpan w:val="3"/>
            <w:tcBorders>
              <w:top w:val="single" w:sz="8" w:space="0" w:color="000000"/>
            </w:tcBorders>
            <w:shd w:val="clear" w:color="auto" w:fill="CCEEFF"/>
            <w:tcMar>
              <w:top w:w="40" w:type="dxa"/>
              <w:left w:w="720" w:type="dxa"/>
              <w:bottom w:w="40" w:type="dxa"/>
              <w:right w:w="20" w:type="dxa"/>
            </w:tcMar>
            <w:vAlign w:val="bottom"/>
          </w:tcPr>
          <w:p w14:paraId="4090DD43" w14:textId="77777777" w:rsidR="00833634" w:rsidRDefault="00E15D51">
            <w:pPr>
              <w:textAlignment w:val="bottom"/>
            </w:pPr>
            <w:r>
              <w:rPr>
                <w:rFonts w:ascii="Arial" w:eastAsia="宋体" w:hAnsi="Arial" w:cs="Arial"/>
                <w:b/>
                <w:bCs/>
                <w:color w:val="000000"/>
                <w:sz w:val="18"/>
                <w:szCs w:val="18"/>
              </w:rPr>
              <w:t>Net cash used by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44" w14:textId="77777777" w:rsidR="00833634" w:rsidRDefault="00E15D51">
            <w:pPr>
              <w:jc w:val="right"/>
              <w:textAlignment w:val="bottom"/>
            </w:pPr>
            <w:r>
              <w:rPr>
                <w:rFonts w:ascii="Arial" w:eastAsia="宋体" w:hAnsi="Arial" w:cs="Arial"/>
                <w:b/>
                <w:bCs/>
                <w:color w:val="000000"/>
                <w:sz w:val="18"/>
                <w:szCs w:val="18"/>
              </w:rPr>
              <w:t>(16,823)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4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D4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47" w14:textId="77777777" w:rsidR="00833634" w:rsidRDefault="00E15D51">
            <w:pPr>
              <w:jc w:val="right"/>
              <w:textAlignment w:val="bottom"/>
            </w:pPr>
            <w:r>
              <w:rPr>
                <w:rFonts w:ascii="Arial" w:eastAsia="宋体" w:hAnsi="Arial" w:cs="Arial"/>
                <w:color w:val="000000"/>
                <w:sz w:val="18"/>
                <w:szCs w:val="18"/>
              </w:rPr>
              <w:t>(2,047)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48" w14:textId="77777777" w:rsidR="00833634" w:rsidRDefault="00833634">
            <w:pPr>
              <w:jc w:val="right"/>
              <w:rPr>
                <w:rFonts w:ascii="宋体"/>
              </w:rPr>
            </w:pPr>
          </w:p>
        </w:tc>
      </w:tr>
      <w:tr w:rsidR="00833634" w14:paraId="4090DD4E"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D4A" w14:textId="77777777" w:rsidR="00833634" w:rsidRDefault="00E15D51">
            <w:pPr>
              <w:textAlignment w:val="bottom"/>
            </w:pPr>
            <w:r>
              <w:rPr>
                <w:rFonts w:ascii="Arial" w:eastAsia="宋体" w:hAnsi="Arial" w:cs="Arial"/>
                <w:b/>
                <w:bCs/>
                <w:color w:val="000000"/>
                <w:sz w:val="18"/>
                <w:szCs w:val="18"/>
              </w:rPr>
              <w:t>Cash flows – financing activities:</w:t>
            </w:r>
          </w:p>
        </w:tc>
        <w:tc>
          <w:tcPr>
            <w:tcW w:w="0" w:type="auto"/>
            <w:gridSpan w:val="3"/>
            <w:tcBorders>
              <w:top w:val="single" w:sz="8" w:space="0" w:color="000000"/>
            </w:tcBorders>
            <w:shd w:val="clear" w:color="auto" w:fill="FFFFFF"/>
            <w:tcMar>
              <w:top w:w="0" w:type="dxa"/>
              <w:left w:w="20" w:type="dxa"/>
              <w:bottom w:w="0" w:type="dxa"/>
              <w:right w:w="20" w:type="dxa"/>
            </w:tcMar>
          </w:tcPr>
          <w:p w14:paraId="4090DD4B"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D4C"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D4D" w14:textId="77777777" w:rsidR="00833634" w:rsidRDefault="00833634">
            <w:pPr>
              <w:rPr>
                <w:rFonts w:ascii="宋体"/>
              </w:rPr>
            </w:pPr>
          </w:p>
        </w:tc>
      </w:tr>
      <w:tr w:rsidR="00833634" w14:paraId="4090DD55" w14:textId="77777777">
        <w:trPr>
          <w:jc w:val="center"/>
        </w:trPr>
        <w:tc>
          <w:tcPr>
            <w:tcW w:w="0" w:type="auto"/>
            <w:gridSpan w:val="3"/>
            <w:shd w:val="clear" w:color="auto" w:fill="CCEEFF"/>
            <w:tcMar>
              <w:top w:w="40" w:type="dxa"/>
              <w:left w:w="225" w:type="dxa"/>
              <w:bottom w:w="40" w:type="dxa"/>
              <w:right w:w="20" w:type="dxa"/>
            </w:tcMar>
            <w:vAlign w:val="bottom"/>
          </w:tcPr>
          <w:p w14:paraId="4090DD4F" w14:textId="77777777" w:rsidR="00833634" w:rsidRDefault="00E15D51">
            <w:pPr>
              <w:textAlignment w:val="bottom"/>
            </w:pPr>
            <w:r>
              <w:rPr>
                <w:rFonts w:ascii="Arial" w:eastAsia="宋体" w:hAnsi="Arial" w:cs="Arial"/>
                <w:color w:val="000000"/>
                <w:sz w:val="18"/>
                <w:szCs w:val="18"/>
              </w:rPr>
              <w:t>New borrowings</w:t>
            </w:r>
          </w:p>
        </w:tc>
        <w:tc>
          <w:tcPr>
            <w:tcW w:w="0" w:type="auto"/>
            <w:gridSpan w:val="2"/>
            <w:shd w:val="clear" w:color="auto" w:fill="CCEEFF"/>
            <w:tcMar>
              <w:top w:w="40" w:type="dxa"/>
              <w:left w:w="20" w:type="dxa"/>
              <w:bottom w:w="40" w:type="dxa"/>
              <w:right w:w="0" w:type="dxa"/>
            </w:tcMar>
            <w:vAlign w:val="bottom"/>
          </w:tcPr>
          <w:p w14:paraId="4090DD50" w14:textId="77777777" w:rsidR="00833634" w:rsidRDefault="00E15D51">
            <w:pPr>
              <w:jc w:val="right"/>
              <w:textAlignment w:val="bottom"/>
            </w:pPr>
            <w:r>
              <w:rPr>
                <w:rFonts w:ascii="Arial" w:eastAsia="宋体" w:hAnsi="Arial" w:cs="Arial"/>
                <w:b/>
                <w:bCs/>
                <w:color w:val="000000"/>
                <w:sz w:val="18"/>
                <w:szCs w:val="18"/>
              </w:rPr>
              <w:t>42,362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090DD5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D5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D53" w14:textId="77777777" w:rsidR="00833634" w:rsidRDefault="00E15D51">
            <w:pPr>
              <w:jc w:val="right"/>
              <w:textAlignment w:val="bottom"/>
            </w:pPr>
            <w:r>
              <w:rPr>
                <w:rFonts w:ascii="Arial" w:eastAsia="宋体" w:hAnsi="Arial" w:cs="Arial"/>
                <w:color w:val="000000"/>
                <w:sz w:val="18"/>
                <w:szCs w:val="18"/>
              </w:rPr>
              <w:t>19,621 </w:t>
            </w:r>
          </w:p>
        </w:tc>
        <w:tc>
          <w:tcPr>
            <w:tcW w:w="0" w:type="auto"/>
            <w:shd w:val="clear" w:color="auto" w:fill="CCEEFF"/>
            <w:tcMar>
              <w:top w:w="40" w:type="dxa"/>
              <w:left w:w="0" w:type="dxa"/>
              <w:bottom w:w="40" w:type="dxa"/>
              <w:right w:w="20" w:type="dxa"/>
            </w:tcMar>
            <w:vAlign w:val="bottom"/>
          </w:tcPr>
          <w:p w14:paraId="4090DD54" w14:textId="77777777" w:rsidR="00833634" w:rsidRDefault="00833634">
            <w:pPr>
              <w:jc w:val="right"/>
              <w:rPr>
                <w:rFonts w:ascii="宋体"/>
              </w:rPr>
            </w:pPr>
          </w:p>
        </w:tc>
      </w:tr>
      <w:tr w:rsidR="00833634" w14:paraId="4090DD5C" w14:textId="77777777">
        <w:trPr>
          <w:jc w:val="center"/>
        </w:trPr>
        <w:tc>
          <w:tcPr>
            <w:tcW w:w="0" w:type="auto"/>
            <w:gridSpan w:val="3"/>
            <w:shd w:val="clear" w:color="auto" w:fill="FFFFFF"/>
            <w:tcMar>
              <w:top w:w="40" w:type="dxa"/>
              <w:left w:w="225" w:type="dxa"/>
              <w:bottom w:w="40" w:type="dxa"/>
              <w:right w:w="20" w:type="dxa"/>
            </w:tcMar>
            <w:vAlign w:val="bottom"/>
          </w:tcPr>
          <w:p w14:paraId="4090DD56" w14:textId="77777777" w:rsidR="00833634" w:rsidRDefault="00E15D51">
            <w:pPr>
              <w:textAlignment w:val="bottom"/>
            </w:pPr>
            <w:r>
              <w:rPr>
                <w:rFonts w:ascii="Arial" w:eastAsia="宋体" w:hAnsi="Arial" w:cs="Arial"/>
                <w:color w:val="000000"/>
                <w:sz w:val="18"/>
                <w:szCs w:val="18"/>
              </w:rPr>
              <w:t>Debt repayments</w:t>
            </w:r>
          </w:p>
        </w:tc>
        <w:tc>
          <w:tcPr>
            <w:tcW w:w="0" w:type="auto"/>
            <w:gridSpan w:val="2"/>
            <w:shd w:val="clear" w:color="auto" w:fill="FFFFFF"/>
            <w:tcMar>
              <w:top w:w="40" w:type="dxa"/>
              <w:left w:w="20" w:type="dxa"/>
              <w:bottom w:w="40" w:type="dxa"/>
              <w:right w:w="0" w:type="dxa"/>
            </w:tcMar>
            <w:vAlign w:val="bottom"/>
          </w:tcPr>
          <w:p w14:paraId="4090DD57" w14:textId="77777777" w:rsidR="00833634" w:rsidRDefault="00E15D51">
            <w:pPr>
              <w:jc w:val="right"/>
              <w:textAlignment w:val="bottom"/>
            </w:pPr>
            <w:r>
              <w:rPr>
                <w:rFonts w:ascii="Arial" w:eastAsia="宋体" w:hAnsi="Arial" w:cs="Arial"/>
                <w:b/>
                <w:bCs/>
                <w:color w:val="000000"/>
                <w:sz w:val="18"/>
                <w:szCs w:val="18"/>
              </w:rPr>
              <w:t>(8,792)</w:t>
            </w:r>
          </w:p>
        </w:tc>
        <w:tc>
          <w:tcPr>
            <w:tcW w:w="0" w:type="auto"/>
            <w:shd w:val="clear" w:color="auto" w:fill="FFFFFF"/>
            <w:tcMar>
              <w:top w:w="40" w:type="dxa"/>
              <w:left w:w="0" w:type="dxa"/>
              <w:bottom w:w="40" w:type="dxa"/>
              <w:right w:w="20" w:type="dxa"/>
            </w:tcMar>
            <w:vAlign w:val="bottom"/>
          </w:tcPr>
          <w:p w14:paraId="4090DD5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D5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D5A" w14:textId="77777777" w:rsidR="00833634" w:rsidRDefault="00E15D51">
            <w:pPr>
              <w:jc w:val="right"/>
              <w:textAlignment w:val="bottom"/>
            </w:pPr>
            <w:r>
              <w:rPr>
                <w:rFonts w:ascii="Arial" w:eastAsia="宋体" w:hAnsi="Arial" w:cs="Arial"/>
                <w:color w:val="000000"/>
                <w:sz w:val="18"/>
                <w:szCs w:val="18"/>
              </w:rPr>
              <w:t>(8,978)</w:t>
            </w:r>
          </w:p>
        </w:tc>
        <w:tc>
          <w:tcPr>
            <w:tcW w:w="0" w:type="auto"/>
            <w:shd w:val="clear" w:color="auto" w:fill="FFFFFF"/>
            <w:tcMar>
              <w:top w:w="40" w:type="dxa"/>
              <w:left w:w="0" w:type="dxa"/>
              <w:bottom w:w="40" w:type="dxa"/>
              <w:right w:w="20" w:type="dxa"/>
            </w:tcMar>
            <w:vAlign w:val="bottom"/>
          </w:tcPr>
          <w:p w14:paraId="4090DD5B" w14:textId="77777777" w:rsidR="00833634" w:rsidRDefault="00833634">
            <w:pPr>
              <w:jc w:val="right"/>
              <w:rPr>
                <w:rFonts w:ascii="宋体"/>
              </w:rPr>
            </w:pPr>
          </w:p>
        </w:tc>
      </w:tr>
      <w:tr w:rsidR="00833634" w14:paraId="4090DD62" w14:textId="77777777">
        <w:trPr>
          <w:jc w:val="center"/>
        </w:trPr>
        <w:tc>
          <w:tcPr>
            <w:tcW w:w="0" w:type="auto"/>
            <w:gridSpan w:val="3"/>
            <w:shd w:val="clear" w:color="auto" w:fill="CCEEFF"/>
            <w:tcMar>
              <w:top w:w="40" w:type="dxa"/>
              <w:left w:w="225" w:type="dxa"/>
              <w:bottom w:w="40" w:type="dxa"/>
              <w:right w:w="20" w:type="dxa"/>
            </w:tcMar>
            <w:vAlign w:val="bottom"/>
          </w:tcPr>
          <w:p w14:paraId="4090DD5D" w14:textId="77777777" w:rsidR="00833634" w:rsidRDefault="00E15D51">
            <w:pPr>
              <w:textAlignment w:val="bottom"/>
            </w:pPr>
            <w:r>
              <w:rPr>
                <w:rFonts w:ascii="Arial" w:eastAsia="宋体" w:hAnsi="Arial" w:cs="Arial"/>
                <w:color w:val="000000"/>
                <w:sz w:val="18"/>
                <w:szCs w:val="18"/>
              </w:rPr>
              <w:t xml:space="preserve">Contributions from </w:t>
            </w:r>
            <w:r>
              <w:rPr>
                <w:rFonts w:ascii="Arial" w:eastAsia="宋体" w:hAnsi="Arial" w:cs="Arial"/>
                <w:color w:val="000000"/>
                <w:sz w:val="18"/>
                <w:szCs w:val="18"/>
              </w:rPr>
              <w:t>noncontrolling interests</w:t>
            </w:r>
          </w:p>
        </w:tc>
        <w:tc>
          <w:tcPr>
            <w:tcW w:w="0" w:type="auto"/>
            <w:gridSpan w:val="3"/>
            <w:shd w:val="clear" w:color="auto" w:fill="CCEEFF"/>
            <w:tcMar>
              <w:top w:w="0" w:type="dxa"/>
              <w:left w:w="20" w:type="dxa"/>
              <w:bottom w:w="0" w:type="dxa"/>
              <w:right w:w="20" w:type="dxa"/>
            </w:tcMar>
          </w:tcPr>
          <w:p w14:paraId="4090DD5E"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D5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D60" w14:textId="77777777" w:rsidR="00833634" w:rsidRDefault="00E15D51">
            <w:pPr>
              <w:jc w:val="right"/>
              <w:textAlignment w:val="bottom"/>
            </w:pPr>
            <w:r>
              <w:rPr>
                <w:rFonts w:ascii="Arial" w:eastAsia="宋体" w:hAnsi="Arial" w:cs="Arial"/>
                <w:color w:val="000000"/>
                <w:sz w:val="18"/>
                <w:szCs w:val="18"/>
              </w:rPr>
              <w:t>7 </w:t>
            </w:r>
          </w:p>
        </w:tc>
        <w:tc>
          <w:tcPr>
            <w:tcW w:w="0" w:type="auto"/>
            <w:shd w:val="clear" w:color="auto" w:fill="CCEEFF"/>
            <w:tcMar>
              <w:top w:w="40" w:type="dxa"/>
              <w:left w:w="0" w:type="dxa"/>
              <w:bottom w:w="40" w:type="dxa"/>
              <w:right w:w="20" w:type="dxa"/>
            </w:tcMar>
            <w:vAlign w:val="bottom"/>
          </w:tcPr>
          <w:p w14:paraId="4090DD61" w14:textId="77777777" w:rsidR="00833634" w:rsidRDefault="00833634">
            <w:pPr>
              <w:jc w:val="right"/>
              <w:rPr>
                <w:rFonts w:ascii="宋体"/>
              </w:rPr>
            </w:pPr>
          </w:p>
        </w:tc>
      </w:tr>
      <w:tr w:rsidR="00833634" w14:paraId="4090DD67" w14:textId="77777777">
        <w:trPr>
          <w:jc w:val="center"/>
          <w:hidden/>
        </w:trPr>
        <w:tc>
          <w:tcPr>
            <w:tcW w:w="0" w:type="auto"/>
            <w:gridSpan w:val="3"/>
            <w:shd w:val="clear" w:color="auto" w:fill="auto"/>
          </w:tcPr>
          <w:p w14:paraId="4090DD63" w14:textId="77777777" w:rsidR="00833634" w:rsidRDefault="00833634">
            <w:pPr>
              <w:rPr>
                <w:rFonts w:ascii="宋体"/>
                <w:vanish/>
              </w:rPr>
            </w:pPr>
          </w:p>
        </w:tc>
        <w:tc>
          <w:tcPr>
            <w:tcW w:w="0" w:type="auto"/>
            <w:gridSpan w:val="3"/>
            <w:shd w:val="clear" w:color="auto" w:fill="auto"/>
          </w:tcPr>
          <w:p w14:paraId="4090DD64" w14:textId="77777777" w:rsidR="00833634" w:rsidRDefault="00833634">
            <w:pPr>
              <w:rPr>
                <w:rFonts w:ascii="宋体"/>
                <w:vanish/>
              </w:rPr>
            </w:pPr>
          </w:p>
        </w:tc>
        <w:tc>
          <w:tcPr>
            <w:tcW w:w="0" w:type="auto"/>
            <w:gridSpan w:val="3"/>
            <w:shd w:val="clear" w:color="auto" w:fill="auto"/>
          </w:tcPr>
          <w:p w14:paraId="4090DD65" w14:textId="77777777" w:rsidR="00833634" w:rsidRDefault="00833634">
            <w:pPr>
              <w:rPr>
                <w:rFonts w:ascii="宋体"/>
                <w:vanish/>
              </w:rPr>
            </w:pPr>
          </w:p>
        </w:tc>
        <w:tc>
          <w:tcPr>
            <w:tcW w:w="0" w:type="auto"/>
            <w:gridSpan w:val="3"/>
            <w:shd w:val="clear" w:color="auto" w:fill="auto"/>
          </w:tcPr>
          <w:p w14:paraId="4090DD66" w14:textId="77777777" w:rsidR="00833634" w:rsidRDefault="00833634">
            <w:pPr>
              <w:rPr>
                <w:rFonts w:ascii="宋体"/>
                <w:vanish/>
              </w:rPr>
            </w:pPr>
          </w:p>
        </w:tc>
      </w:tr>
      <w:tr w:rsidR="00833634" w14:paraId="4090DD6C" w14:textId="77777777">
        <w:trPr>
          <w:jc w:val="center"/>
          <w:hidden/>
        </w:trPr>
        <w:tc>
          <w:tcPr>
            <w:tcW w:w="0" w:type="auto"/>
            <w:gridSpan w:val="3"/>
            <w:shd w:val="clear" w:color="auto" w:fill="auto"/>
          </w:tcPr>
          <w:p w14:paraId="4090DD68" w14:textId="77777777" w:rsidR="00833634" w:rsidRDefault="00833634">
            <w:pPr>
              <w:rPr>
                <w:rFonts w:ascii="宋体"/>
                <w:vanish/>
              </w:rPr>
            </w:pPr>
          </w:p>
        </w:tc>
        <w:tc>
          <w:tcPr>
            <w:tcW w:w="0" w:type="auto"/>
            <w:gridSpan w:val="3"/>
            <w:shd w:val="clear" w:color="auto" w:fill="auto"/>
          </w:tcPr>
          <w:p w14:paraId="4090DD69" w14:textId="77777777" w:rsidR="00833634" w:rsidRDefault="00833634">
            <w:pPr>
              <w:rPr>
                <w:rFonts w:ascii="宋体"/>
                <w:vanish/>
              </w:rPr>
            </w:pPr>
          </w:p>
        </w:tc>
        <w:tc>
          <w:tcPr>
            <w:tcW w:w="0" w:type="auto"/>
            <w:gridSpan w:val="3"/>
            <w:shd w:val="clear" w:color="auto" w:fill="auto"/>
          </w:tcPr>
          <w:p w14:paraId="4090DD6A" w14:textId="77777777" w:rsidR="00833634" w:rsidRDefault="00833634">
            <w:pPr>
              <w:rPr>
                <w:rFonts w:ascii="宋体"/>
                <w:vanish/>
              </w:rPr>
            </w:pPr>
          </w:p>
        </w:tc>
        <w:tc>
          <w:tcPr>
            <w:tcW w:w="0" w:type="auto"/>
            <w:gridSpan w:val="3"/>
            <w:shd w:val="clear" w:color="auto" w:fill="auto"/>
          </w:tcPr>
          <w:p w14:paraId="4090DD6B" w14:textId="77777777" w:rsidR="00833634" w:rsidRDefault="00833634">
            <w:pPr>
              <w:rPr>
                <w:rFonts w:ascii="宋体"/>
                <w:vanish/>
              </w:rPr>
            </w:pPr>
          </w:p>
        </w:tc>
      </w:tr>
      <w:tr w:rsidR="00833634" w14:paraId="4090DD73" w14:textId="77777777">
        <w:trPr>
          <w:jc w:val="center"/>
        </w:trPr>
        <w:tc>
          <w:tcPr>
            <w:tcW w:w="0" w:type="auto"/>
            <w:gridSpan w:val="3"/>
            <w:shd w:val="clear" w:color="auto" w:fill="FFFFFF"/>
            <w:tcMar>
              <w:top w:w="40" w:type="dxa"/>
              <w:left w:w="225" w:type="dxa"/>
              <w:bottom w:w="40" w:type="dxa"/>
              <w:right w:w="20" w:type="dxa"/>
            </w:tcMar>
            <w:vAlign w:val="bottom"/>
          </w:tcPr>
          <w:p w14:paraId="4090DD6D" w14:textId="77777777" w:rsidR="00833634" w:rsidRDefault="00E15D51">
            <w:pPr>
              <w:textAlignment w:val="bottom"/>
            </w:pPr>
            <w:r>
              <w:rPr>
                <w:rFonts w:ascii="Arial" w:eastAsia="宋体" w:hAnsi="Arial" w:cs="Arial"/>
                <w:color w:val="000000"/>
                <w:sz w:val="18"/>
                <w:szCs w:val="18"/>
              </w:rPr>
              <w:t>Stock options exercised</w:t>
            </w:r>
          </w:p>
        </w:tc>
        <w:tc>
          <w:tcPr>
            <w:tcW w:w="0" w:type="auto"/>
            <w:gridSpan w:val="2"/>
            <w:shd w:val="clear" w:color="auto" w:fill="FFFFFF"/>
            <w:tcMar>
              <w:top w:w="40" w:type="dxa"/>
              <w:left w:w="20" w:type="dxa"/>
              <w:bottom w:w="40" w:type="dxa"/>
              <w:right w:w="0" w:type="dxa"/>
            </w:tcMar>
            <w:vAlign w:val="bottom"/>
          </w:tcPr>
          <w:p w14:paraId="4090DD6E" w14:textId="77777777" w:rsidR="00833634" w:rsidRDefault="00E15D51">
            <w:pPr>
              <w:jc w:val="right"/>
              <w:textAlignment w:val="bottom"/>
            </w:pPr>
            <w:r>
              <w:rPr>
                <w:rFonts w:ascii="Arial" w:eastAsia="宋体" w:hAnsi="Arial" w:cs="Arial"/>
                <w:b/>
                <w:bCs/>
                <w:color w:val="000000"/>
                <w:sz w:val="18"/>
                <w:szCs w:val="18"/>
              </w:rPr>
              <w:t>31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4090DD6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D7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D71" w14:textId="77777777" w:rsidR="00833634" w:rsidRDefault="00E15D51">
            <w:pPr>
              <w:jc w:val="right"/>
              <w:textAlignment w:val="bottom"/>
            </w:pPr>
            <w:r>
              <w:rPr>
                <w:rFonts w:ascii="Arial" w:eastAsia="宋体" w:hAnsi="Arial" w:cs="Arial"/>
                <w:color w:val="000000"/>
                <w:sz w:val="18"/>
                <w:szCs w:val="18"/>
              </w:rPr>
              <w:t>51 </w:t>
            </w:r>
          </w:p>
        </w:tc>
        <w:tc>
          <w:tcPr>
            <w:tcW w:w="0" w:type="auto"/>
            <w:shd w:val="clear" w:color="auto" w:fill="FFFFFF"/>
            <w:tcMar>
              <w:top w:w="40" w:type="dxa"/>
              <w:left w:w="0" w:type="dxa"/>
              <w:bottom w:w="40" w:type="dxa"/>
              <w:right w:w="20" w:type="dxa"/>
            </w:tcMar>
            <w:vAlign w:val="bottom"/>
          </w:tcPr>
          <w:p w14:paraId="4090DD72" w14:textId="77777777" w:rsidR="00833634" w:rsidRDefault="00833634">
            <w:pPr>
              <w:jc w:val="right"/>
              <w:rPr>
                <w:rFonts w:ascii="宋体"/>
              </w:rPr>
            </w:pPr>
          </w:p>
        </w:tc>
      </w:tr>
      <w:tr w:rsidR="00833634" w14:paraId="4090DD78" w14:textId="77777777">
        <w:trPr>
          <w:jc w:val="center"/>
          <w:hidden/>
        </w:trPr>
        <w:tc>
          <w:tcPr>
            <w:tcW w:w="0" w:type="auto"/>
            <w:gridSpan w:val="3"/>
            <w:shd w:val="clear" w:color="auto" w:fill="auto"/>
          </w:tcPr>
          <w:p w14:paraId="4090DD74" w14:textId="77777777" w:rsidR="00833634" w:rsidRDefault="00833634">
            <w:pPr>
              <w:rPr>
                <w:rFonts w:ascii="宋体"/>
                <w:vanish/>
              </w:rPr>
            </w:pPr>
          </w:p>
        </w:tc>
        <w:tc>
          <w:tcPr>
            <w:tcW w:w="0" w:type="auto"/>
            <w:gridSpan w:val="3"/>
            <w:shd w:val="clear" w:color="auto" w:fill="auto"/>
          </w:tcPr>
          <w:p w14:paraId="4090DD75" w14:textId="77777777" w:rsidR="00833634" w:rsidRDefault="00833634">
            <w:pPr>
              <w:rPr>
                <w:rFonts w:ascii="宋体"/>
                <w:vanish/>
              </w:rPr>
            </w:pPr>
          </w:p>
        </w:tc>
        <w:tc>
          <w:tcPr>
            <w:tcW w:w="0" w:type="auto"/>
            <w:gridSpan w:val="3"/>
            <w:shd w:val="clear" w:color="auto" w:fill="auto"/>
          </w:tcPr>
          <w:p w14:paraId="4090DD76" w14:textId="77777777" w:rsidR="00833634" w:rsidRDefault="00833634">
            <w:pPr>
              <w:rPr>
                <w:rFonts w:ascii="宋体"/>
                <w:vanish/>
              </w:rPr>
            </w:pPr>
          </w:p>
        </w:tc>
        <w:tc>
          <w:tcPr>
            <w:tcW w:w="0" w:type="auto"/>
            <w:gridSpan w:val="3"/>
            <w:shd w:val="clear" w:color="auto" w:fill="auto"/>
          </w:tcPr>
          <w:p w14:paraId="4090DD77" w14:textId="77777777" w:rsidR="00833634" w:rsidRDefault="00833634">
            <w:pPr>
              <w:rPr>
                <w:rFonts w:ascii="宋体"/>
                <w:vanish/>
              </w:rPr>
            </w:pPr>
          </w:p>
        </w:tc>
      </w:tr>
      <w:tr w:rsidR="00833634" w14:paraId="4090DD7F" w14:textId="77777777">
        <w:trPr>
          <w:jc w:val="center"/>
        </w:trPr>
        <w:tc>
          <w:tcPr>
            <w:tcW w:w="0" w:type="auto"/>
            <w:gridSpan w:val="3"/>
            <w:shd w:val="clear" w:color="auto" w:fill="CCEEFF"/>
            <w:tcMar>
              <w:top w:w="40" w:type="dxa"/>
              <w:left w:w="225" w:type="dxa"/>
              <w:bottom w:w="40" w:type="dxa"/>
              <w:right w:w="20" w:type="dxa"/>
            </w:tcMar>
            <w:vAlign w:val="bottom"/>
          </w:tcPr>
          <w:p w14:paraId="4090DD79" w14:textId="77777777" w:rsidR="00833634" w:rsidRDefault="00E15D51">
            <w:pPr>
              <w:textAlignment w:val="bottom"/>
            </w:pPr>
            <w:r>
              <w:rPr>
                <w:rFonts w:ascii="Arial" w:eastAsia="宋体" w:hAnsi="Arial" w:cs="Arial"/>
                <w:color w:val="000000"/>
                <w:sz w:val="18"/>
                <w:szCs w:val="18"/>
              </w:rPr>
              <w:t>Employee taxes on certain share-based payment arrangements</w:t>
            </w:r>
          </w:p>
        </w:tc>
        <w:tc>
          <w:tcPr>
            <w:tcW w:w="0" w:type="auto"/>
            <w:gridSpan w:val="2"/>
            <w:shd w:val="clear" w:color="auto" w:fill="CCEEFF"/>
            <w:tcMar>
              <w:top w:w="40" w:type="dxa"/>
              <w:left w:w="20" w:type="dxa"/>
              <w:bottom w:w="40" w:type="dxa"/>
              <w:right w:w="0" w:type="dxa"/>
            </w:tcMar>
            <w:vAlign w:val="bottom"/>
          </w:tcPr>
          <w:p w14:paraId="4090DD7A" w14:textId="77777777" w:rsidR="00833634" w:rsidRDefault="00E15D51">
            <w:pPr>
              <w:jc w:val="right"/>
              <w:textAlignment w:val="bottom"/>
            </w:pPr>
            <w:r>
              <w:rPr>
                <w:rFonts w:ascii="Arial" w:eastAsia="宋体" w:hAnsi="Arial" w:cs="Arial"/>
                <w:b/>
                <w:bCs/>
                <w:color w:val="000000"/>
                <w:sz w:val="18"/>
                <w:szCs w:val="18"/>
              </w:rPr>
              <w:t>(169)</w:t>
            </w:r>
          </w:p>
        </w:tc>
        <w:tc>
          <w:tcPr>
            <w:tcW w:w="0" w:type="auto"/>
            <w:shd w:val="clear" w:color="auto" w:fill="CCEEFF"/>
            <w:tcMar>
              <w:top w:w="40" w:type="dxa"/>
              <w:left w:w="0" w:type="dxa"/>
              <w:bottom w:w="40" w:type="dxa"/>
              <w:right w:w="20" w:type="dxa"/>
            </w:tcMar>
            <w:vAlign w:val="bottom"/>
          </w:tcPr>
          <w:p w14:paraId="4090DD7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D7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D7D" w14:textId="77777777" w:rsidR="00833634" w:rsidRDefault="00E15D51">
            <w:pPr>
              <w:jc w:val="right"/>
              <w:textAlignment w:val="bottom"/>
            </w:pPr>
            <w:r>
              <w:rPr>
                <w:rFonts w:ascii="Arial" w:eastAsia="宋体" w:hAnsi="Arial" w:cs="Arial"/>
                <w:color w:val="000000"/>
                <w:sz w:val="18"/>
                <w:szCs w:val="18"/>
              </w:rPr>
              <w:t>(241)</w:t>
            </w:r>
          </w:p>
        </w:tc>
        <w:tc>
          <w:tcPr>
            <w:tcW w:w="0" w:type="auto"/>
            <w:shd w:val="clear" w:color="auto" w:fill="CCEEFF"/>
            <w:tcMar>
              <w:top w:w="40" w:type="dxa"/>
              <w:left w:w="0" w:type="dxa"/>
              <w:bottom w:w="40" w:type="dxa"/>
              <w:right w:w="20" w:type="dxa"/>
            </w:tcMar>
            <w:vAlign w:val="bottom"/>
          </w:tcPr>
          <w:p w14:paraId="4090DD7E" w14:textId="77777777" w:rsidR="00833634" w:rsidRDefault="00833634">
            <w:pPr>
              <w:jc w:val="right"/>
              <w:rPr>
                <w:rFonts w:ascii="宋体"/>
              </w:rPr>
            </w:pPr>
          </w:p>
        </w:tc>
      </w:tr>
      <w:tr w:rsidR="00833634" w14:paraId="4090DD85" w14:textId="77777777">
        <w:trPr>
          <w:jc w:val="center"/>
        </w:trPr>
        <w:tc>
          <w:tcPr>
            <w:tcW w:w="0" w:type="auto"/>
            <w:gridSpan w:val="3"/>
            <w:shd w:val="clear" w:color="auto" w:fill="FFFFFF"/>
            <w:tcMar>
              <w:top w:w="40" w:type="dxa"/>
              <w:left w:w="225" w:type="dxa"/>
              <w:bottom w:w="40" w:type="dxa"/>
              <w:right w:w="20" w:type="dxa"/>
            </w:tcMar>
            <w:vAlign w:val="bottom"/>
          </w:tcPr>
          <w:p w14:paraId="4090DD80" w14:textId="77777777" w:rsidR="00833634" w:rsidRDefault="00E15D51">
            <w:pPr>
              <w:textAlignment w:val="bottom"/>
            </w:pPr>
            <w:r>
              <w:rPr>
                <w:rFonts w:ascii="Arial" w:eastAsia="宋体" w:hAnsi="Arial" w:cs="Arial"/>
                <w:color w:val="000000"/>
                <w:sz w:val="18"/>
                <w:szCs w:val="18"/>
              </w:rPr>
              <w:t>Common shares repurchased</w:t>
            </w:r>
          </w:p>
        </w:tc>
        <w:tc>
          <w:tcPr>
            <w:tcW w:w="0" w:type="auto"/>
            <w:gridSpan w:val="3"/>
            <w:shd w:val="clear" w:color="auto" w:fill="FFFFFF"/>
            <w:tcMar>
              <w:top w:w="0" w:type="dxa"/>
              <w:left w:w="20" w:type="dxa"/>
              <w:bottom w:w="0" w:type="dxa"/>
              <w:right w:w="20" w:type="dxa"/>
            </w:tcMar>
          </w:tcPr>
          <w:p w14:paraId="4090DD8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D8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D83" w14:textId="77777777" w:rsidR="00833634" w:rsidRDefault="00E15D51">
            <w:pPr>
              <w:jc w:val="right"/>
              <w:textAlignment w:val="bottom"/>
            </w:pPr>
            <w:r>
              <w:rPr>
                <w:rFonts w:ascii="Arial" w:eastAsia="宋体" w:hAnsi="Arial" w:cs="Arial"/>
                <w:color w:val="000000"/>
                <w:sz w:val="18"/>
                <w:szCs w:val="18"/>
              </w:rPr>
              <w:t>(2,651)</w:t>
            </w:r>
          </w:p>
        </w:tc>
        <w:tc>
          <w:tcPr>
            <w:tcW w:w="0" w:type="auto"/>
            <w:shd w:val="clear" w:color="auto" w:fill="FFFFFF"/>
            <w:tcMar>
              <w:top w:w="40" w:type="dxa"/>
              <w:left w:w="0" w:type="dxa"/>
              <w:bottom w:w="40" w:type="dxa"/>
              <w:right w:w="20" w:type="dxa"/>
            </w:tcMar>
            <w:vAlign w:val="bottom"/>
          </w:tcPr>
          <w:p w14:paraId="4090DD84" w14:textId="77777777" w:rsidR="00833634" w:rsidRDefault="00833634">
            <w:pPr>
              <w:jc w:val="right"/>
              <w:rPr>
                <w:rFonts w:ascii="宋体"/>
              </w:rPr>
            </w:pPr>
          </w:p>
        </w:tc>
      </w:tr>
      <w:tr w:rsidR="00833634" w14:paraId="4090DD8C" w14:textId="77777777">
        <w:trPr>
          <w:jc w:val="center"/>
        </w:trPr>
        <w:tc>
          <w:tcPr>
            <w:tcW w:w="0" w:type="auto"/>
            <w:gridSpan w:val="3"/>
            <w:shd w:val="clear" w:color="auto" w:fill="CCEEFF"/>
            <w:tcMar>
              <w:top w:w="40" w:type="dxa"/>
              <w:left w:w="225" w:type="dxa"/>
              <w:bottom w:w="40" w:type="dxa"/>
              <w:right w:w="20" w:type="dxa"/>
            </w:tcMar>
            <w:vAlign w:val="bottom"/>
          </w:tcPr>
          <w:p w14:paraId="4090DD86" w14:textId="77777777" w:rsidR="00833634" w:rsidRDefault="00E15D51">
            <w:pPr>
              <w:textAlignment w:val="bottom"/>
            </w:pPr>
            <w:r>
              <w:rPr>
                <w:rFonts w:ascii="Arial" w:eastAsia="宋体" w:hAnsi="Arial" w:cs="Arial"/>
                <w:color w:val="000000"/>
                <w:sz w:val="18"/>
                <w:szCs w:val="18"/>
              </w:rPr>
              <w:t>Dividends paid</w:t>
            </w:r>
          </w:p>
        </w:tc>
        <w:tc>
          <w:tcPr>
            <w:tcW w:w="0" w:type="auto"/>
            <w:gridSpan w:val="2"/>
            <w:shd w:val="clear" w:color="auto" w:fill="CCEEFF"/>
            <w:tcMar>
              <w:top w:w="40" w:type="dxa"/>
              <w:left w:w="20" w:type="dxa"/>
              <w:bottom w:w="40" w:type="dxa"/>
              <w:right w:w="0" w:type="dxa"/>
            </w:tcMar>
            <w:vAlign w:val="bottom"/>
          </w:tcPr>
          <w:p w14:paraId="4090DD87" w14:textId="77777777" w:rsidR="00833634" w:rsidRDefault="00E15D51">
            <w:pPr>
              <w:jc w:val="right"/>
              <w:textAlignment w:val="bottom"/>
            </w:pPr>
            <w:r>
              <w:rPr>
                <w:rFonts w:ascii="Arial" w:eastAsia="宋体" w:hAnsi="Arial" w:cs="Arial"/>
                <w:b/>
                <w:bCs/>
                <w:color w:val="000000"/>
                <w:sz w:val="18"/>
                <w:szCs w:val="18"/>
              </w:rPr>
              <w:t>(1,158)</w:t>
            </w:r>
          </w:p>
        </w:tc>
        <w:tc>
          <w:tcPr>
            <w:tcW w:w="0" w:type="auto"/>
            <w:shd w:val="clear" w:color="auto" w:fill="CCEEFF"/>
            <w:tcMar>
              <w:top w:w="40" w:type="dxa"/>
              <w:left w:w="0" w:type="dxa"/>
              <w:bottom w:w="40" w:type="dxa"/>
              <w:right w:w="20" w:type="dxa"/>
            </w:tcMar>
            <w:vAlign w:val="bottom"/>
          </w:tcPr>
          <w:p w14:paraId="4090DD8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D8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D8A" w14:textId="77777777" w:rsidR="00833634" w:rsidRDefault="00E15D51">
            <w:pPr>
              <w:jc w:val="right"/>
              <w:textAlignment w:val="bottom"/>
            </w:pPr>
            <w:r>
              <w:rPr>
                <w:rFonts w:ascii="Arial" w:eastAsia="宋体" w:hAnsi="Arial" w:cs="Arial"/>
                <w:color w:val="000000"/>
                <w:sz w:val="18"/>
                <w:szCs w:val="18"/>
              </w:rPr>
              <w:t>(3,473)</w:t>
            </w:r>
          </w:p>
        </w:tc>
        <w:tc>
          <w:tcPr>
            <w:tcW w:w="0" w:type="auto"/>
            <w:shd w:val="clear" w:color="auto" w:fill="CCEEFF"/>
            <w:tcMar>
              <w:top w:w="40" w:type="dxa"/>
              <w:left w:w="0" w:type="dxa"/>
              <w:bottom w:w="40" w:type="dxa"/>
              <w:right w:w="20" w:type="dxa"/>
            </w:tcMar>
            <w:vAlign w:val="bottom"/>
          </w:tcPr>
          <w:p w14:paraId="4090DD8B" w14:textId="77777777" w:rsidR="00833634" w:rsidRDefault="00833634">
            <w:pPr>
              <w:jc w:val="right"/>
              <w:rPr>
                <w:rFonts w:ascii="宋体"/>
              </w:rPr>
            </w:pPr>
          </w:p>
        </w:tc>
      </w:tr>
      <w:tr w:rsidR="00833634" w14:paraId="4090DD91" w14:textId="77777777">
        <w:trPr>
          <w:jc w:val="center"/>
          <w:hidden/>
        </w:trPr>
        <w:tc>
          <w:tcPr>
            <w:tcW w:w="0" w:type="auto"/>
            <w:gridSpan w:val="3"/>
            <w:shd w:val="clear" w:color="auto" w:fill="auto"/>
          </w:tcPr>
          <w:p w14:paraId="4090DD8D" w14:textId="77777777" w:rsidR="00833634" w:rsidRDefault="00833634">
            <w:pPr>
              <w:rPr>
                <w:rFonts w:ascii="宋体"/>
                <w:vanish/>
              </w:rPr>
            </w:pPr>
          </w:p>
        </w:tc>
        <w:tc>
          <w:tcPr>
            <w:tcW w:w="0" w:type="auto"/>
            <w:gridSpan w:val="3"/>
            <w:shd w:val="clear" w:color="auto" w:fill="auto"/>
          </w:tcPr>
          <w:p w14:paraId="4090DD8E" w14:textId="77777777" w:rsidR="00833634" w:rsidRDefault="00833634">
            <w:pPr>
              <w:rPr>
                <w:rFonts w:ascii="宋体"/>
                <w:vanish/>
              </w:rPr>
            </w:pPr>
          </w:p>
        </w:tc>
        <w:tc>
          <w:tcPr>
            <w:tcW w:w="0" w:type="auto"/>
            <w:gridSpan w:val="3"/>
            <w:shd w:val="clear" w:color="auto" w:fill="auto"/>
          </w:tcPr>
          <w:p w14:paraId="4090DD8F" w14:textId="77777777" w:rsidR="00833634" w:rsidRDefault="00833634">
            <w:pPr>
              <w:rPr>
                <w:rFonts w:ascii="宋体"/>
                <w:vanish/>
              </w:rPr>
            </w:pPr>
          </w:p>
        </w:tc>
        <w:tc>
          <w:tcPr>
            <w:tcW w:w="0" w:type="auto"/>
            <w:gridSpan w:val="3"/>
            <w:shd w:val="clear" w:color="auto" w:fill="auto"/>
          </w:tcPr>
          <w:p w14:paraId="4090DD90" w14:textId="77777777" w:rsidR="00833634" w:rsidRDefault="00833634">
            <w:pPr>
              <w:rPr>
                <w:rFonts w:ascii="宋体"/>
                <w:vanish/>
              </w:rPr>
            </w:pPr>
          </w:p>
        </w:tc>
      </w:tr>
      <w:tr w:rsidR="00833634" w14:paraId="4090DD98" w14:textId="77777777">
        <w:trPr>
          <w:jc w:val="center"/>
        </w:trPr>
        <w:tc>
          <w:tcPr>
            <w:tcW w:w="0" w:type="auto"/>
            <w:gridSpan w:val="3"/>
            <w:tcBorders>
              <w:top w:val="single" w:sz="8" w:space="0" w:color="000000"/>
            </w:tcBorders>
            <w:shd w:val="clear" w:color="auto" w:fill="FFFFFF"/>
            <w:tcMar>
              <w:top w:w="40" w:type="dxa"/>
              <w:left w:w="720" w:type="dxa"/>
              <w:bottom w:w="40" w:type="dxa"/>
              <w:right w:w="20" w:type="dxa"/>
            </w:tcMar>
            <w:vAlign w:val="bottom"/>
          </w:tcPr>
          <w:p w14:paraId="4090DD92" w14:textId="77777777" w:rsidR="00833634" w:rsidRDefault="00E15D51">
            <w:pPr>
              <w:textAlignment w:val="bottom"/>
            </w:pPr>
            <w:r>
              <w:rPr>
                <w:rFonts w:ascii="Arial" w:eastAsia="宋体" w:hAnsi="Arial" w:cs="Arial"/>
                <w:b/>
                <w:bCs/>
                <w:color w:val="000000"/>
                <w:sz w:val="18"/>
                <w:szCs w:val="18"/>
              </w:rPr>
              <w:t xml:space="preserve">Net cash </w:t>
            </w:r>
            <w:r>
              <w:rPr>
                <w:rFonts w:ascii="Arial" w:eastAsia="宋体" w:hAnsi="Arial" w:cs="Arial"/>
                <w:b/>
                <w:bCs/>
                <w:color w:val="000000"/>
                <w:sz w:val="18"/>
                <w:szCs w:val="18"/>
              </w:rPr>
              <w:t>provided by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D93" w14:textId="77777777" w:rsidR="00833634" w:rsidRDefault="00E15D51">
            <w:pPr>
              <w:jc w:val="right"/>
              <w:textAlignment w:val="bottom"/>
            </w:pPr>
            <w:r>
              <w:rPr>
                <w:rFonts w:ascii="Arial" w:eastAsia="宋体" w:hAnsi="Arial" w:cs="Arial"/>
                <w:b/>
                <w:bCs/>
                <w:color w:val="000000"/>
                <w:sz w:val="18"/>
                <w:szCs w:val="18"/>
              </w:rPr>
              <w:t>32,274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D94"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D95"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D96" w14:textId="77777777" w:rsidR="00833634" w:rsidRDefault="00E15D51">
            <w:pPr>
              <w:jc w:val="right"/>
              <w:textAlignment w:val="bottom"/>
            </w:pPr>
            <w:r>
              <w:rPr>
                <w:rFonts w:ascii="Arial" w:eastAsia="宋体" w:hAnsi="Arial" w:cs="Arial"/>
                <w:color w:val="000000"/>
                <w:sz w:val="18"/>
                <w:szCs w:val="18"/>
              </w:rPr>
              <w:t>4,336 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D97" w14:textId="77777777" w:rsidR="00833634" w:rsidRDefault="00833634">
            <w:pPr>
              <w:jc w:val="right"/>
              <w:rPr>
                <w:rFonts w:ascii="宋体"/>
              </w:rPr>
            </w:pPr>
          </w:p>
        </w:tc>
      </w:tr>
      <w:tr w:rsidR="00833634" w14:paraId="4090DD9F"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D99" w14:textId="77777777" w:rsidR="00833634" w:rsidRDefault="00E15D51">
            <w:pPr>
              <w:textAlignment w:val="bottom"/>
            </w:pPr>
            <w:r>
              <w:rPr>
                <w:rFonts w:ascii="Arial" w:eastAsia="宋体" w:hAnsi="Arial" w:cs="Arial"/>
                <w:color w:val="000000"/>
                <w:sz w:val="18"/>
                <w:szCs w:val="18"/>
              </w:rPr>
              <w:t>Effect of exchange rate changes on cash and cash equivalents, including restricted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9A" w14:textId="77777777" w:rsidR="00833634" w:rsidRDefault="00E15D51">
            <w:pPr>
              <w:jc w:val="right"/>
              <w:textAlignment w:val="bottom"/>
            </w:pPr>
            <w:r>
              <w:rPr>
                <w:rFonts w:ascii="Arial" w:eastAsia="宋体" w:hAnsi="Arial" w:cs="Arial"/>
                <w:b/>
                <w:bCs/>
                <w:color w:val="000000"/>
                <w:sz w:val="18"/>
                <w:szCs w:val="18"/>
              </w:rPr>
              <w:t>26</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9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D9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9D" w14:textId="77777777" w:rsidR="00833634" w:rsidRDefault="00E15D51">
            <w:pPr>
              <w:jc w:val="right"/>
              <w:textAlignment w:val="bottom"/>
            </w:pPr>
            <w:r>
              <w:rPr>
                <w:rFonts w:ascii="Arial" w:eastAsia="宋体" w:hAnsi="Arial" w:cs="Arial"/>
                <w:color w:val="000000"/>
                <w:sz w:val="18"/>
                <w:szCs w:val="18"/>
              </w:rPr>
              <w:t>(27)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9E" w14:textId="77777777" w:rsidR="00833634" w:rsidRDefault="00833634">
            <w:pPr>
              <w:jc w:val="right"/>
              <w:rPr>
                <w:rFonts w:ascii="宋体"/>
              </w:rPr>
            </w:pPr>
          </w:p>
        </w:tc>
      </w:tr>
      <w:tr w:rsidR="00833634" w14:paraId="4090DDA6"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DA0" w14:textId="77777777" w:rsidR="00833634" w:rsidRDefault="00E15D51">
            <w:pPr>
              <w:textAlignment w:val="bottom"/>
            </w:pPr>
            <w:r>
              <w:rPr>
                <w:rFonts w:ascii="Arial" w:eastAsia="宋体" w:hAnsi="Arial" w:cs="Arial"/>
                <w:b/>
                <w:bCs/>
                <w:color w:val="000000"/>
                <w:sz w:val="18"/>
                <w:szCs w:val="18"/>
              </w:rPr>
              <w:t>Net increase in cash &amp; cash equivalents, including restricted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DA1" w14:textId="77777777" w:rsidR="00833634" w:rsidRDefault="00E15D51">
            <w:pPr>
              <w:jc w:val="right"/>
              <w:textAlignment w:val="bottom"/>
            </w:pPr>
            <w:r>
              <w:rPr>
                <w:rFonts w:ascii="Arial" w:eastAsia="宋体" w:hAnsi="Arial" w:cs="Arial"/>
                <w:b/>
                <w:bCs/>
                <w:color w:val="000000"/>
                <w:sz w:val="18"/>
                <w:szCs w:val="18"/>
              </w:rPr>
              <w:t>1,076</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DA2"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DA3"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DA4" w14:textId="77777777" w:rsidR="00833634" w:rsidRDefault="00E15D51">
            <w:pPr>
              <w:jc w:val="right"/>
              <w:textAlignment w:val="bottom"/>
            </w:pPr>
            <w:r>
              <w:rPr>
                <w:rFonts w:ascii="Arial" w:eastAsia="宋体" w:hAnsi="Arial" w:cs="Arial"/>
                <w:color w:val="000000"/>
                <w:sz w:val="18"/>
                <w:szCs w:val="18"/>
              </w:rPr>
              <w:t>2,036 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DA5" w14:textId="77777777" w:rsidR="00833634" w:rsidRDefault="00833634">
            <w:pPr>
              <w:jc w:val="right"/>
              <w:rPr>
                <w:rFonts w:ascii="宋体"/>
              </w:rPr>
            </w:pPr>
          </w:p>
        </w:tc>
      </w:tr>
      <w:tr w:rsidR="00833634" w14:paraId="4090DDAD" w14:textId="77777777">
        <w:trPr>
          <w:jc w:val="center"/>
        </w:trPr>
        <w:tc>
          <w:tcPr>
            <w:tcW w:w="0" w:type="auto"/>
            <w:gridSpan w:val="3"/>
            <w:shd w:val="clear" w:color="auto" w:fill="CCEEFF"/>
            <w:tcMar>
              <w:top w:w="40" w:type="dxa"/>
              <w:left w:w="20" w:type="dxa"/>
              <w:bottom w:w="40" w:type="dxa"/>
              <w:right w:w="20" w:type="dxa"/>
            </w:tcMar>
            <w:vAlign w:val="bottom"/>
          </w:tcPr>
          <w:p w14:paraId="4090DDA7" w14:textId="77777777" w:rsidR="00833634" w:rsidRDefault="00E15D51">
            <w:pPr>
              <w:textAlignment w:val="bottom"/>
            </w:pPr>
            <w:r>
              <w:rPr>
                <w:rFonts w:ascii="Arial" w:eastAsia="宋体" w:hAnsi="Arial" w:cs="Arial"/>
                <w:color w:val="000000"/>
                <w:sz w:val="18"/>
                <w:szCs w:val="18"/>
              </w:rPr>
              <w:t xml:space="preserve">Cash &amp; cash </w:t>
            </w:r>
            <w:r>
              <w:rPr>
                <w:rFonts w:ascii="Arial" w:eastAsia="宋体" w:hAnsi="Arial" w:cs="Arial"/>
                <w:color w:val="000000"/>
                <w:sz w:val="18"/>
                <w:szCs w:val="18"/>
              </w:rPr>
              <w:t>equivalents, including restricted, at beginning of year</w:t>
            </w:r>
          </w:p>
        </w:tc>
        <w:tc>
          <w:tcPr>
            <w:tcW w:w="0" w:type="auto"/>
            <w:gridSpan w:val="2"/>
            <w:shd w:val="clear" w:color="auto" w:fill="CCEEFF"/>
            <w:tcMar>
              <w:top w:w="40" w:type="dxa"/>
              <w:left w:w="20" w:type="dxa"/>
              <w:bottom w:w="40" w:type="dxa"/>
              <w:right w:w="0" w:type="dxa"/>
            </w:tcMar>
            <w:vAlign w:val="bottom"/>
          </w:tcPr>
          <w:p w14:paraId="4090DDA8" w14:textId="77777777" w:rsidR="00833634" w:rsidRDefault="00E15D51">
            <w:pPr>
              <w:jc w:val="right"/>
              <w:textAlignment w:val="bottom"/>
            </w:pPr>
            <w:r>
              <w:rPr>
                <w:rFonts w:ascii="Arial" w:eastAsia="宋体" w:hAnsi="Arial" w:cs="Arial"/>
                <w:b/>
                <w:bCs/>
                <w:color w:val="000000"/>
                <w:sz w:val="18"/>
                <w:szCs w:val="18"/>
              </w:rPr>
              <w:t>9,571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4090DDA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DA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DAB" w14:textId="77777777" w:rsidR="00833634" w:rsidRDefault="00E15D51">
            <w:pPr>
              <w:jc w:val="right"/>
              <w:textAlignment w:val="bottom"/>
            </w:pPr>
            <w:r>
              <w:rPr>
                <w:rFonts w:ascii="Arial" w:eastAsia="宋体" w:hAnsi="Arial" w:cs="Arial"/>
                <w:color w:val="000000"/>
                <w:sz w:val="18"/>
                <w:szCs w:val="18"/>
              </w:rPr>
              <w:t>7,813 </w:t>
            </w:r>
          </w:p>
        </w:tc>
        <w:tc>
          <w:tcPr>
            <w:tcW w:w="0" w:type="auto"/>
            <w:shd w:val="clear" w:color="auto" w:fill="CCEEFF"/>
            <w:tcMar>
              <w:top w:w="40" w:type="dxa"/>
              <w:left w:w="0" w:type="dxa"/>
              <w:bottom w:w="40" w:type="dxa"/>
              <w:right w:w="20" w:type="dxa"/>
            </w:tcMar>
            <w:vAlign w:val="bottom"/>
          </w:tcPr>
          <w:p w14:paraId="4090DDAC" w14:textId="77777777" w:rsidR="00833634" w:rsidRDefault="00833634">
            <w:pPr>
              <w:jc w:val="right"/>
              <w:rPr>
                <w:rFonts w:ascii="宋体"/>
              </w:rPr>
            </w:pPr>
          </w:p>
        </w:tc>
      </w:tr>
      <w:tr w:rsidR="00833634" w14:paraId="4090DDB4"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DAE" w14:textId="77777777" w:rsidR="00833634" w:rsidRDefault="00E15D51">
            <w:pPr>
              <w:textAlignment w:val="bottom"/>
            </w:pPr>
            <w:r>
              <w:rPr>
                <w:rFonts w:ascii="Arial" w:eastAsia="宋体" w:hAnsi="Arial" w:cs="Arial"/>
                <w:b/>
                <w:bCs/>
                <w:color w:val="000000"/>
                <w:sz w:val="18"/>
                <w:szCs w:val="18"/>
              </w:rPr>
              <w:t>Cash &amp; cash equivalents, including restricted, at end of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DAF" w14:textId="77777777" w:rsidR="00833634" w:rsidRDefault="00E15D51">
            <w:pPr>
              <w:jc w:val="right"/>
              <w:textAlignment w:val="bottom"/>
            </w:pPr>
            <w:r>
              <w:rPr>
                <w:rFonts w:ascii="Arial" w:eastAsia="宋体" w:hAnsi="Arial" w:cs="Arial"/>
                <w:b/>
                <w:bCs/>
                <w:color w:val="000000"/>
                <w:sz w:val="18"/>
                <w:szCs w:val="18"/>
              </w:rPr>
              <w:t>10,647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DB0"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DB1"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DB2" w14:textId="77777777" w:rsidR="00833634" w:rsidRDefault="00E15D51">
            <w:pPr>
              <w:jc w:val="right"/>
              <w:textAlignment w:val="bottom"/>
            </w:pPr>
            <w:r>
              <w:rPr>
                <w:rFonts w:ascii="Arial" w:eastAsia="宋体" w:hAnsi="Arial" w:cs="Arial"/>
                <w:color w:val="000000"/>
                <w:sz w:val="18"/>
                <w:szCs w:val="18"/>
              </w:rPr>
              <w:t>9,849 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DB3" w14:textId="77777777" w:rsidR="00833634" w:rsidRDefault="00833634">
            <w:pPr>
              <w:jc w:val="right"/>
              <w:rPr>
                <w:rFonts w:ascii="宋体"/>
              </w:rPr>
            </w:pPr>
          </w:p>
        </w:tc>
      </w:tr>
      <w:tr w:rsidR="00833634" w14:paraId="4090DDBB" w14:textId="77777777">
        <w:trPr>
          <w:jc w:val="center"/>
        </w:trPr>
        <w:tc>
          <w:tcPr>
            <w:tcW w:w="0" w:type="auto"/>
            <w:gridSpan w:val="3"/>
            <w:tcBorders>
              <w:top w:val="single" w:sz="8" w:space="0" w:color="000000"/>
            </w:tcBorders>
            <w:shd w:val="clear" w:color="auto" w:fill="CCEEFF"/>
            <w:tcMar>
              <w:top w:w="40" w:type="dxa"/>
              <w:left w:w="225" w:type="dxa"/>
              <w:bottom w:w="40" w:type="dxa"/>
              <w:right w:w="20" w:type="dxa"/>
            </w:tcMar>
            <w:vAlign w:val="bottom"/>
          </w:tcPr>
          <w:p w14:paraId="4090DDB5" w14:textId="77777777" w:rsidR="00833634" w:rsidRDefault="00E15D51">
            <w:pPr>
              <w:textAlignment w:val="bottom"/>
            </w:pPr>
            <w:r>
              <w:rPr>
                <w:rFonts w:ascii="Arial" w:eastAsia="宋体" w:hAnsi="Arial" w:cs="Arial"/>
                <w:color w:val="000000"/>
                <w:sz w:val="18"/>
                <w:szCs w:val="18"/>
              </w:rPr>
              <w:t>Less restricted cash &amp; cash equivalents, included in Investments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B6" w14:textId="77777777" w:rsidR="00833634" w:rsidRDefault="00E15D51">
            <w:pPr>
              <w:jc w:val="right"/>
              <w:textAlignment w:val="bottom"/>
            </w:pPr>
            <w:r>
              <w:rPr>
                <w:rFonts w:ascii="Arial" w:eastAsia="宋体" w:hAnsi="Arial" w:cs="Arial"/>
                <w:b/>
                <w:bCs/>
                <w:color w:val="000000"/>
                <w:sz w:val="18"/>
                <w:szCs w:val="18"/>
              </w:rPr>
              <w:t>83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B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DB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B9" w14:textId="77777777" w:rsidR="00833634" w:rsidRDefault="00E15D51">
            <w:pPr>
              <w:jc w:val="right"/>
              <w:textAlignment w:val="bottom"/>
            </w:pPr>
            <w:r>
              <w:rPr>
                <w:rFonts w:ascii="Arial" w:eastAsia="宋体" w:hAnsi="Arial" w:cs="Arial"/>
                <w:color w:val="000000"/>
                <w:sz w:val="18"/>
                <w:szCs w:val="18"/>
              </w:rPr>
              <w:t>86 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BA" w14:textId="77777777" w:rsidR="00833634" w:rsidRDefault="00833634">
            <w:pPr>
              <w:jc w:val="right"/>
              <w:rPr>
                <w:rFonts w:ascii="宋体"/>
              </w:rPr>
            </w:pPr>
          </w:p>
        </w:tc>
      </w:tr>
      <w:tr w:rsidR="00833634" w14:paraId="4090DDC2" w14:textId="77777777">
        <w:trPr>
          <w:jc w:val="center"/>
        </w:trPr>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DDBC" w14:textId="77777777" w:rsidR="00833634" w:rsidRDefault="00E15D51">
            <w:pPr>
              <w:textAlignment w:val="bottom"/>
            </w:pPr>
            <w:r>
              <w:rPr>
                <w:rFonts w:ascii="Arial" w:eastAsia="宋体" w:hAnsi="Arial" w:cs="Arial"/>
                <w:b/>
                <w:bCs/>
                <w:color w:val="000000"/>
                <w:sz w:val="18"/>
                <w:szCs w:val="18"/>
              </w:rPr>
              <w:t xml:space="preserve">Cash and cash </w:t>
            </w:r>
            <w:r>
              <w:rPr>
                <w:rFonts w:ascii="Arial" w:eastAsia="宋体" w:hAnsi="Arial" w:cs="Arial"/>
                <w:b/>
                <w:bCs/>
                <w:color w:val="000000"/>
                <w:sz w:val="18"/>
                <w:szCs w:val="18"/>
              </w:rPr>
              <w:t>equivalents at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DDBD" w14:textId="77777777" w:rsidR="00833634" w:rsidRDefault="00E15D51">
            <w:pPr>
              <w:jc w:val="right"/>
              <w:textAlignment w:val="bottom"/>
            </w:pPr>
            <w:r>
              <w:rPr>
                <w:rFonts w:ascii="Arial" w:eastAsia="宋体" w:hAnsi="Arial" w:cs="Arial"/>
                <w:b/>
                <w:bCs/>
                <w:color w:val="000000"/>
                <w:sz w:val="18"/>
                <w:szCs w:val="18"/>
              </w:rPr>
              <w:t>$10,564</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DDBE"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DDBF"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DDC0" w14:textId="77777777" w:rsidR="00833634" w:rsidRDefault="00E15D51">
            <w:pPr>
              <w:jc w:val="right"/>
              <w:textAlignment w:val="bottom"/>
            </w:pPr>
            <w:r>
              <w:rPr>
                <w:rFonts w:ascii="Arial" w:eastAsia="宋体" w:hAnsi="Arial" w:cs="Arial"/>
                <w:color w:val="000000"/>
                <w:sz w:val="18"/>
                <w:szCs w:val="18"/>
              </w:rPr>
              <w:t>$9,763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DDC1" w14:textId="77777777" w:rsidR="00833634" w:rsidRDefault="00833634">
            <w:pPr>
              <w:jc w:val="right"/>
              <w:rPr>
                <w:rFonts w:ascii="宋体"/>
              </w:rPr>
            </w:pPr>
          </w:p>
        </w:tc>
      </w:tr>
    </w:tbl>
    <w:p w14:paraId="4090DDC3" w14:textId="77777777" w:rsidR="00833634" w:rsidRDefault="00E15D51">
      <w:pPr>
        <w:spacing w:after="100"/>
        <w:jc w:val="both"/>
      </w:pPr>
      <w:r>
        <w:rPr>
          <w:rFonts w:ascii="Arial" w:eastAsia="宋体" w:hAnsi="Arial" w:cs="Arial"/>
          <w:color w:val="000000"/>
          <w:sz w:val="20"/>
          <w:szCs w:val="20"/>
        </w:rPr>
        <w:t>See Notes to the Condensed Consolidated Financial Statements.</w:t>
      </w:r>
    </w:p>
    <w:p w14:paraId="4090DDC4" w14:textId="77777777" w:rsidR="00833634" w:rsidRDefault="00E15D51">
      <w:pPr>
        <w:spacing w:after="180"/>
        <w:jc w:val="center"/>
      </w:pPr>
      <w:r>
        <w:rPr>
          <w:rFonts w:ascii="Arial" w:eastAsia="宋体" w:hAnsi="Arial" w:cs="Arial"/>
          <w:color w:val="000000"/>
          <w:sz w:val="18"/>
          <w:szCs w:val="18"/>
        </w:rPr>
        <w:t>4</w:t>
      </w:r>
    </w:p>
    <w:p w14:paraId="4090DDC5" w14:textId="77777777" w:rsidR="00833634" w:rsidRDefault="00E15D51">
      <w:r>
        <w:pict w14:anchorId="4090FE24">
          <v:rect id="_x0000_i1030" style="width:415.3pt;height:1.5pt" o:hralign="center" o:hrstd="t" o:hr="t" fillcolor="#a0a0a0" stroked="f"/>
        </w:pict>
      </w:r>
    </w:p>
    <w:p w14:paraId="4090DDC6" w14:textId="77777777" w:rsidR="00833634" w:rsidRDefault="00E15D51">
      <w:pPr>
        <w:spacing w:after="180"/>
        <w:jc w:val="both"/>
      </w:pPr>
      <w:hyperlink r:id="rId107" w:anchor="i8d805bfb1e1c4815a1dcd5b6d1e0b117_10" w:history="1">
        <w:r>
          <w:rPr>
            <w:rStyle w:val="a5"/>
            <w:rFonts w:ascii="Arial" w:eastAsia="宋体" w:hAnsi="Arial" w:cs="Arial"/>
            <w:sz w:val="18"/>
            <w:szCs w:val="18"/>
          </w:rPr>
          <w:t>Table of Contents</w:t>
        </w:r>
      </w:hyperlink>
    </w:p>
    <w:p w14:paraId="4090DDC7" w14:textId="77777777" w:rsidR="00833634" w:rsidRDefault="00E15D51">
      <w:pPr>
        <w:jc w:val="center"/>
      </w:pPr>
      <w:r>
        <w:rPr>
          <w:rFonts w:ascii="Arial" w:eastAsia="宋体" w:hAnsi="Arial" w:cs="Arial"/>
          <w:b/>
          <w:bCs/>
          <w:color w:val="000000"/>
          <w:sz w:val="20"/>
          <w:szCs w:val="20"/>
        </w:rPr>
        <w:t>The Boeing Company and Subsidiaries</w:t>
      </w:r>
    </w:p>
    <w:p w14:paraId="4090DDC8" w14:textId="77777777" w:rsidR="00833634" w:rsidRDefault="00E15D51">
      <w:pPr>
        <w:jc w:val="center"/>
      </w:pPr>
      <w:r>
        <w:rPr>
          <w:rFonts w:ascii="Arial" w:eastAsia="宋体" w:hAnsi="Arial" w:cs="Arial"/>
          <w:b/>
          <w:bCs/>
          <w:color w:val="000000"/>
          <w:sz w:val="20"/>
          <w:szCs w:val="20"/>
        </w:rPr>
        <w:t>Condensed Consolidated Statements of Equity</w:t>
      </w:r>
    </w:p>
    <w:p w14:paraId="4090DDC9" w14:textId="77777777" w:rsidR="00833634" w:rsidRDefault="00E15D51">
      <w:pPr>
        <w:jc w:val="center"/>
      </w:pPr>
      <w:r>
        <w:rPr>
          <w:rFonts w:ascii="Arial" w:eastAsia="宋体" w:hAnsi="Arial" w:cs="Arial"/>
          <w:b/>
          <w:bCs/>
          <w:color w:val="000000"/>
          <w:sz w:val="20"/>
          <w:szCs w:val="20"/>
        </w:rPr>
        <w:t xml:space="preserve">For the nine months ended September 30, 2020 and 2019 </w:t>
      </w:r>
    </w:p>
    <w:p w14:paraId="4090DDCA" w14:textId="77777777" w:rsidR="00833634" w:rsidRDefault="00E15D51">
      <w:pPr>
        <w:spacing w:after="60"/>
        <w:jc w:val="center"/>
      </w:pPr>
      <w:r>
        <w:rPr>
          <w:rFonts w:ascii="Arial" w:eastAsia="宋体" w:hAnsi="Arial" w:cs="Arial"/>
          <w:color w:val="000000"/>
          <w:sz w:val="20"/>
          <w:szCs w:val="20"/>
        </w:rPr>
        <w:t>(Unaudited)</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2577"/>
        <w:gridCol w:w="38"/>
        <w:gridCol w:w="83"/>
        <w:gridCol w:w="599"/>
        <w:gridCol w:w="37"/>
        <w:gridCol w:w="83"/>
        <w:gridCol w:w="652"/>
        <w:gridCol w:w="36"/>
        <w:gridCol w:w="84"/>
        <w:gridCol w:w="622"/>
        <w:gridCol w:w="36"/>
        <w:gridCol w:w="82"/>
        <w:gridCol w:w="591"/>
        <w:gridCol w:w="36"/>
        <w:gridCol w:w="87"/>
        <w:gridCol w:w="1066"/>
        <w:gridCol w:w="36"/>
        <w:gridCol w:w="85"/>
        <w:gridCol w:w="677"/>
        <w:gridCol w:w="36"/>
        <w:gridCol w:w="78"/>
        <w:gridCol w:w="627"/>
        <w:gridCol w:w="36"/>
      </w:tblGrid>
      <w:tr w:rsidR="00833634" w14:paraId="4090DDE3" w14:textId="77777777">
        <w:trPr>
          <w:jc w:val="center"/>
        </w:trPr>
        <w:tc>
          <w:tcPr>
            <w:tcW w:w="50" w:type="pct"/>
            <w:shd w:val="clear" w:color="auto" w:fill="auto"/>
          </w:tcPr>
          <w:p w14:paraId="4090DDCB" w14:textId="77777777" w:rsidR="00833634" w:rsidRDefault="00833634">
            <w:pPr>
              <w:rPr>
                <w:rFonts w:ascii="宋体"/>
              </w:rPr>
            </w:pPr>
          </w:p>
        </w:tc>
        <w:tc>
          <w:tcPr>
            <w:tcW w:w="1646" w:type="pct"/>
            <w:shd w:val="clear" w:color="auto" w:fill="auto"/>
          </w:tcPr>
          <w:p w14:paraId="4090DDCC" w14:textId="77777777" w:rsidR="00833634" w:rsidRDefault="00833634">
            <w:pPr>
              <w:rPr>
                <w:rFonts w:ascii="宋体"/>
              </w:rPr>
            </w:pPr>
          </w:p>
        </w:tc>
        <w:tc>
          <w:tcPr>
            <w:tcW w:w="5" w:type="pct"/>
            <w:shd w:val="clear" w:color="auto" w:fill="auto"/>
          </w:tcPr>
          <w:p w14:paraId="4090DDCD" w14:textId="77777777" w:rsidR="00833634" w:rsidRDefault="00833634">
            <w:pPr>
              <w:rPr>
                <w:rFonts w:ascii="宋体"/>
              </w:rPr>
            </w:pPr>
          </w:p>
        </w:tc>
        <w:tc>
          <w:tcPr>
            <w:tcW w:w="50" w:type="pct"/>
            <w:shd w:val="clear" w:color="auto" w:fill="auto"/>
          </w:tcPr>
          <w:p w14:paraId="4090DDCE" w14:textId="77777777" w:rsidR="00833634" w:rsidRDefault="00833634">
            <w:pPr>
              <w:rPr>
                <w:rFonts w:ascii="宋体"/>
              </w:rPr>
            </w:pPr>
          </w:p>
        </w:tc>
        <w:tc>
          <w:tcPr>
            <w:tcW w:w="362" w:type="pct"/>
            <w:shd w:val="clear" w:color="auto" w:fill="auto"/>
          </w:tcPr>
          <w:p w14:paraId="4090DDCF" w14:textId="77777777" w:rsidR="00833634" w:rsidRDefault="00833634">
            <w:pPr>
              <w:rPr>
                <w:rFonts w:ascii="宋体"/>
              </w:rPr>
            </w:pPr>
          </w:p>
        </w:tc>
        <w:tc>
          <w:tcPr>
            <w:tcW w:w="5" w:type="pct"/>
            <w:shd w:val="clear" w:color="auto" w:fill="auto"/>
          </w:tcPr>
          <w:p w14:paraId="4090DDD0" w14:textId="77777777" w:rsidR="00833634" w:rsidRDefault="00833634">
            <w:pPr>
              <w:rPr>
                <w:rFonts w:ascii="宋体"/>
              </w:rPr>
            </w:pPr>
          </w:p>
        </w:tc>
        <w:tc>
          <w:tcPr>
            <w:tcW w:w="50" w:type="pct"/>
            <w:shd w:val="clear" w:color="auto" w:fill="auto"/>
          </w:tcPr>
          <w:p w14:paraId="4090DDD1" w14:textId="77777777" w:rsidR="00833634" w:rsidRDefault="00833634">
            <w:pPr>
              <w:rPr>
                <w:rFonts w:ascii="宋体"/>
              </w:rPr>
            </w:pPr>
          </w:p>
        </w:tc>
        <w:tc>
          <w:tcPr>
            <w:tcW w:w="394" w:type="pct"/>
            <w:shd w:val="clear" w:color="auto" w:fill="auto"/>
          </w:tcPr>
          <w:p w14:paraId="4090DDD2" w14:textId="77777777" w:rsidR="00833634" w:rsidRDefault="00833634">
            <w:pPr>
              <w:rPr>
                <w:rFonts w:ascii="宋体"/>
              </w:rPr>
            </w:pPr>
          </w:p>
        </w:tc>
        <w:tc>
          <w:tcPr>
            <w:tcW w:w="5" w:type="pct"/>
            <w:shd w:val="clear" w:color="auto" w:fill="auto"/>
          </w:tcPr>
          <w:p w14:paraId="4090DDD3" w14:textId="77777777" w:rsidR="00833634" w:rsidRDefault="00833634">
            <w:pPr>
              <w:rPr>
                <w:rFonts w:ascii="宋体"/>
              </w:rPr>
            </w:pPr>
          </w:p>
        </w:tc>
        <w:tc>
          <w:tcPr>
            <w:tcW w:w="50" w:type="pct"/>
            <w:shd w:val="clear" w:color="auto" w:fill="auto"/>
          </w:tcPr>
          <w:p w14:paraId="4090DDD4" w14:textId="77777777" w:rsidR="00833634" w:rsidRDefault="00833634">
            <w:pPr>
              <w:rPr>
                <w:rFonts w:ascii="宋体"/>
              </w:rPr>
            </w:pPr>
          </w:p>
        </w:tc>
        <w:tc>
          <w:tcPr>
            <w:tcW w:w="370" w:type="pct"/>
            <w:shd w:val="clear" w:color="auto" w:fill="auto"/>
          </w:tcPr>
          <w:p w14:paraId="4090DDD5" w14:textId="77777777" w:rsidR="00833634" w:rsidRDefault="00833634">
            <w:pPr>
              <w:rPr>
                <w:rFonts w:ascii="宋体"/>
              </w:rPr>
            </w:pPr>
          </w:p>
        </w:tc>
        <w:tc>
          <w:tcPr>
            <w:tcW w:w="5" w:type="pct"/>
            <w:shd w:val="clear" w:color="auto" w:fill="auto"/>
          </w:tcPr>
          <w:p w14:paraId="4090DDD6" w14:textId="77777777" w:rsidR="00833634" w:rsidRDefault="00833634">
            <w:pPr>
              <w:rPr>
                <w:rFonts w:ascii="宋体"/>
              </w:rPr>
            </w:pPr>
          </w:p>
        </w:tc>
        <w:tc>
          <w:tcPr>
            <w:tcW w:w="50" w:type="pct"/>
            <w:shd w:val="clear" w:color="auto" w:fill="auto"/>
          </w:tcPr>
          <w:p w14:paraId="4090DDD7" w14:textId="77777777" w:rsidR="00833634" w:rsidRDefault="00833634">
            <w:pPr>
              <w:rPr>
                <w:rFonts w:ascii="宋体"/>
              </w:rPr>
            </w:pPr>
          </w:p>
        </w:tc>
        <w:tc>
          <w:tcPr>
            <w:tcW w:w="362" w:type="pct"/>
            <w:shd w:val="clear" w:color="auto" w:fill="auto"/>
          </w:tcPr>
          <w:p w14:paraId="4090DDD8" w14:textId="77777777" w:rsidR="00833634" w:rsidRDefault="00833634">
            <w:pPr>
              <w:rPr>
                <w:rFonts w:ascii="宋体"/>
              </w:rPr>
            </w:pPr>
          </w:p>
        </w:tc>
        <w:tc>
          <w:tcPr>
            <w:tcW w:w="5" w:type="pct"/>
            <w:shd w:val="clear" w:color="auto" w:fill="auto"/>
          </w:tcPr>
          <w:p w14:paraId="4090DDD9" w14:textId="77777777" w:rsidR="00833634" w:rsidRDefault="00833634">
            <w:pPr>
              <w:rPr>
                <w:rFonts w:ascii="宋体"/>
              </w:rPr>
            </w:pPr>
          </w:p>
        </w:tc>
        <w:tc>
          <w:tcPr>
            <w:tcW w:w="50" w:type="pct"/>
            <w:shd w:val="clear" w:color="auto" w:fill="auto"/>
          </w:tcPr>
          <w:p w14:paraId="4090DDDA" w14:textId="77777777" w:rsidR="00833634" w:rsidRDefault="00833634">
            <w:pPr>
              <w:rPr>
                <w:rFonts w:ascii="宋体"/>
              </w:rPr>
            </w:pPr>
          </w:p>
        </w:tc>
        <w:tc>
          <w:tcPr>
            <w:tcW w:w="619" w:type="pct"/>
            <w:shd w:val="clear" w:color="auto" w:fill="auto"/>
          </w:tcPr>
          <w:p w14:paraId="4090DDDB" w14:textId="77777777" w:rsidR="00833634" w:rsidRDefault="00833634">
            <w:pPr>
              <w:rPr>
                <w:rFonts w:ascii="宋体"/>
              </w:rPr>
            </w:pPr>
          </w:p>
        </w:tc>
        <w:tc>
          <w:tcPr>
            <w:tcW w:w="5" w:type="pct"/>
            <w:shd w:val="clear" w:color="auto" w:fill="auto"/>
          </w:tcPr>
          <w:p w14:paraId="4090DDDC" w14:textId="77777777" w:rsidR="00833634" w:rsidRDefault="00833634">
            <w:pPr>
              <w:rPr>
                <w:rFonts w:ascii="宋体"/>
              </w:rPr>
            </w:pPr>
          </w:p>
        </w:tc>
        <w:tc>
          <w:tcPr>
            <w:tcW w:w="50" w:type="pct"/>
            <w:shd w:val="clear" w:color="auto" w:fill="auto"/>
          </w:tcPr>
          <w:p w14:paraId="4090DDDD" w14:textId="77777777" w:rsidR="00833634" w:rsidRDefault="00833634">
            <w:pPr>
              <w:rPr>
                <w:rFonts w:ascii="宋体"/>
              </w:rPr>
            </w:pPr>
          </w:p>
        </w:tc>
        <w:tc>
          <w:tcPr>
            <w:tcW w:w="402" w:type="pct"/>
            <w:shd w:val="clear" w:color="auto" w:fill="auto"/>
          </w:tcPr>
          <w:p w14:paraId="4090DDDE" w14:textId="77777777" w:rsidR="00833634" w:rsidRDefault="00833634">
            <w:pPr>
              <w:rPr>
                <w:rFonts w:ascii="宋体"/>
              </w:rPr>
            </w:pPr>
          </w:p>
        </w:tc>
        <w:tc>
          <w:tcPr>
            <w:tcW w:w="5" w:type="pct"/>
            <w:shd w:val="clear" w:color="auto" w:fill="auto"/>
          </w:tcPr>
          <w:p w14:paraId="4090DDDF" w14:textId="77777777" w:rsidR="00833634" w:rsidRDefault="00833634">
            <w:pPr>
              <w:rPr>
                <w:rFonts w:ascii="宋体"/>
              </w:rPr>
            </w:pPr>
          </w:p>
        </w:tc>
        <w:tc>
          <w:tcPr>
            <w:tcW w:w="50" w:type="pct"/>
            <w:shd w:val="clear" w:color="auto" w:fill="auto"/>
          </w:tcPr>
          <w:p w14:paraId="4090DDE0" w14:textId="77777777" w:rsidR="00833634" w:rsidRDefault="00833634">
            <w:pPr>
              <w:rPr>
                <w:rFonts w:ascii="宋体"/>
              </w:rPr>
            </w:pPr>
          </w:p>
        </w:tc>
        <w:tc>
          <w:tcPr>
            <w:tcW w:w="402" w:type="pct"/>
            <w:shd w:val="clear" w:color="auto" w:fill="auto"/>
          </w:tcPr>
          <w:p w14:paraId="4090DDE1" w14:textId="77777777" w:rsidR="00833634" w:rsidRDefault="00833634">
            <w:pPr>
              <w:rPr>
                <w:rFonts w:ascii="宋体"/>
              </w:rPr>
            </w:pPr>
          </w:p>
        </w:tc>
        <w:tc>
          <w:tcPr>
            <w:tcW w:w="5" w:type="pct"/>
            <w:shd w:val="clear" w:color="auto" w:fill="auto"/>
          </w:tcPr>
          <w:p w14:paraId="4090DDE2" w14:textId="77777777" w:rsidR="00833634" w:rsidRDefault="00833634">
            <w:pPr>
              <w:rPr>
                <w:rFonts w:ascii="宋体"/>
              </w:rPr>
            </w:pPr>
          </w:p>
        </w:tc>
      </w:tr>
      <w:tr w:rsidR="00833634" w14:paraId="4090DDE8" w14:textId="77777777">
        <w:trPr>
          <w:jc w:val="center"/>
        </w:trPr>
        <w:tc>
          <w:tcPr>
            <w:tcW w:w="0" w:type="auto"/>
            <w:gridSpan w:val="3"/>
            <w:shd w:val="clear" w:color="auto" w:fill="auto"/>
            <w:tcMar>
              <w:top w:w="40" w:type="dxa"/>
              <w:left w:w="20" w:type="dxa"/>
              <w:bottom w:w="40" w:type="dxa"/>
              <w:right w:w="20" w:type="dxa"/>
            </w:tcMar>
            <w:vAlign w:val="bottom"/>
          </w:tcPr>
          <w:p w14:paraId="4090DDE4" w14:textId="77777777" w:rsidR="00833634" w:rsidRDefault="00E15D51">
            <w:pPr>
              <w:textAlignment w:val="bottom"/>
            </w:pPr>
            <w:r>
              <w:rPr>
                <w:rFonts w:ascii="Times New Roman" w:eastAsia="宋体" w:hAnsi="Times New Roman"/>
                <w:color w:val="000000"/>
                <w:sz w:val="16"/>
                <w:szCs w:val="16"/>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4090DDE5" w14:textId="77777777" w:rsidR="00833634" w:rsidRDefault="00E15D51">
            <w:pPr>
              <w:jc w:val="center"/>
              <w:textAlignment w:val="bottom"/>
            </w:pPr>
            <w:r>
              <w:rPr>
                <w:rFonts w:ascii="Arial" w:eastAsia="宋体" w:hAnsi="Arial" w:cs="Arial"/>
                <w:color w:val="000000"/>
                <w:sz w:val="16"/>
                <w:szCs w:val="16"/>
              </w:rPr>
              <w:t>Boeing shareholders</w:t>
            </w:r>
          </w:p>
        </w:tc>
        <w:tc>
          <w:tcPr>
            <w:tcW w:w="0" w:type="auto"/>
            <w:gridSpan w:val="3"/>
            <w:shd w:val="clear" w:color="auto" w:fill="auto"/>
            <w:tcMar>
              <w:top w:w="40" w:type="dxa"/>
              <w:left w:w="20" w:type="dxa"/>
              <w:bottom w:w="40" w:type="dxa"/>
              <w:right w:w="20" w:type="dxa"/>
            </w:tcMar>
            <w:vAlign w:val="bottom"/>
          </w:tcPr>
          <w:p w14:paraId="4090DDE6" w14:textId="77777777" w:rsidR="00833634" w:rsidRDefault="00E15D51">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090DDE7" w14:textId="77777777" w:rsidR="00833634" w:rsidRDefault="00E15D51">
            <w:pPr>
              <w:textAlignment w:val="bottom"/>
            </w:pPr>
            <w:r>
              <w:rPr>
                <w:rFonts w:ascii="Times New Roman" w:eastAsia="宋体" w:hAnsi="Times New Roman"/>
                <w:color w:val="000000"/>
                <w:sz w:val="16"/>
                <w:szCs w:val="16"/>
              </w:rPr>
              <w:t> </w:t>
            </w:r>
          </w:p>
        </w:tc>
      </w:tr>
      <w:tr w:rsidR="00833634" w14:paraId="4090DDF1" w14:textId="77777777">
        <w:trPr>
          <w:jc w:val="center"/>
        </w:trPr>
        <w:tc>
          <w:tcPr>
            <w:tcW w:w="0" w:type="auto"/>
            <w:gridSpan w:val="3"/>
            <w:shd w:val="clear" w:color="auto" w:fill="FFFFFF"/>
            <w:tcMar>
              <w:top w:w="40" w:type="dxa"/>
              <w:left w:w="20" w:type="dxa"/>
              <w:bottom w:w="40" w:type="dxa"/>
              <w:right w:w="20" w:type="dxa"/>
            </w:tcMar>
            <w:vAlign w:val="bottom"/>
          </w:tcPr>
          <w:p w14:paraId="4090DDE9" w14:textId="77777777" w:rsidR="00833634" w:rsidRDefault="00E15D51">
            <w:pPr>
              <w:textAlignment w:val="bottom"/>
            </w:pPr>
            <w:r>
              <w:rPr>
                <w:rFonts w:ascii="Arial" w:eastAsia="宋体" w:hAnsi="Arial" w:cs="Arial"/>
                <w:i/>
                <w:iCs/>
                <w:color w:val="000000"/>
                <w:sz w:val="16"/>
                <w:szCs w:val="16"/>
              </w:rPr>
              <w:t>(Dollars in millions, except per share data)</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DEA" w14:textId="77777777" w:rsidR="00833634" w:rsidRDefault="00E15D51">
            <w:pPr>
              <w:jc w:val="right"/>
              <w:textAlignment w:val="bottom"/>
            </w:pPr>
            <w:r>
              <w:rPr>
                <w:rFonts w:ascii="Arial" w:eastAsia="宋体" w:hAnsi="Arial" w:cs="Arial"/>
                <w:color w:val="000000"/>
                <w:sz w:val="16"/>
                <w:szCs w:val="16"/>
              </w:rPr>
              <w:t>Common</w:t>
            </w:r>
            <w:r>
              <w:rPr>
                <w:rFonts w:ascii="Arial" w:eastAsia="宋体" w:hAnsi="Arial" w:cs="Arial"/>
                <w:color w:val="000000"/>
                <w:sz w:val="16"/>
                <w:szCs w:val="16"/>
              </w:rPr>
              <w:br/>
              <w:t>Stock</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DEB" w14:textId="77777777" w:rsidR="00833634" w:rsidRDefault="00E15D51">
            <w:pPr>
              <w:jc w:val="right"/>
              <w:textAlignment w:val="bottom"/>
            </w:pPr>
            <w:r>
              <w:rPr>
                <w:rFonts w:ascii="Arial" w:eastAsia="宋体" w:hAnsi="Arial" w:cs="Arial"/>
                <w:color w:val="000000"/>
                <w:sz w:val="16"/>
                <w:szCs w:val="16"/>
              </w:rPr>
              <w:t>Additional</w:t>
            </w:r>
            <w:r>
              <w:rPr>
                <w:rFonts w:ascii="Arial" w:eastAsia="宋体" w:hAnsi="Arial" w:cs="Arial"/>
                <w:color w:val="000000"/>
                <w:sz w:val="16"/>
                <w:szCs w:val="16"/>
              </w:rPr>
              <w:br/>
              <w:t>Paid-In</w:t>
            </w:r>
            <w:r>
              <w:rPr>
                <w:rFonts w:ascii="Arial" w:eastAsia="宋体" w:hAnsi="Arial" w:cs="Arial"/>
                <w:color w:val="000000"/>
                <w:sz w:val="16"/>
                <w:szCs w:val="16"/>
              </w:rPr>
              <w:br/>
              <w:t>Capital</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DEC" w14:textId="77777777" w:rsidR="00833634" w:rsidRDefault="00E15D51">
            <w:pPr>
              <w:jc w:val="right"/>
              <w:textAlignment w:val="bottom"/>
            </w:pPr>
            <w:r>
              <w:rPr>
                <w:rFonts w:ascii="Arial" w:eastAsia="宋体" w:hAnsi="Arial" w:cs="Arial"/>
                <w:color w:val="000000"/>
                <w:sz w:val="16"/>
                <w:szCs w:val="16"/>
              </w:rPr>
              <w:t>Treasury Stock</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DED" w14:textId="77777777" w:rsidR="00833634" w:rsidRDefault="00E15D51">
            <w:pPr>
              <w:jc w:val="right"/>
              <w:textAlignment w:val="bottom"/>
            </w:pPr>
            <w:r>
              <w:rPr>
                <w:rFonts w:ascii="Arial" w:eastAsia="宋体" w:hAnsi="Arial" w:cs="Arial"/>
                <w:color w:val="000000"/>
                <w:sz w:val="16"/>
                <w:szCs w:val="16"/>
              </w:rPr>
              <w:t>Retained</w:t>
            </w:r>
            <w:r>
              <w:rPr>
                <w:rFonts w:ascii="Arial" w:eastAsia="宋体" w:hAnsi="Arial" w:cs="Arial"/>
                <w:color w:val="000000"/>
                <w:sz w:val="16"/>
                <w:szCs w:val="16"/>
              </w:rPr>
              <w:br/>
              <w:t>Earnings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DEE" w14:textId="77777777" w:rsidR="00833634" w:rsidRDefault="00E15D51">
            <w:pPr>
              <w:jc w:val="right"/>
              <w:textAlignment w:val="bottom"/>
            </w:pPr>
            <w:r>
              <w:rPr>
                <w:rFonts w:ascii="Arial" w:eastAsia="宋体" w:hAnsi="Arial" w:cs="Arial"/>
                <w:color w:val="000000"/>
                <w:sz w:val="16"/>
                <w:szCs w:val="16"/>
              </w:rPr>
              <w:t>Accumulated Other Comprehensive Loss</w:t>
            </w:r>
          </w:p>
        </w:tc>
        <w:tc>
          <w:tcPr>
            <w:tcW w:w="0" w:type="auto"/>
            <w:gridSpan w:val="3"/>
            <w:shd w:val="clear" w:color="auto" w:fill="FFFFFF"/>
            <w:tcMar>
              <w:top w:w="40" w:type="dxa"/>
              <w:left w:w="20" w:type="dxa"/>
              <w:bottom w:w="40" w:type="dxa"/>
              <w:right w:w="20" w:type="dxa"/>
            </w:tcMar>
            <w:vAlign w:val="bottom"/>
          </w:tcPr>
          <w:p w14:paraId="4090DDEF" w14:textId="77777777" w:rsidR="00833634" w:rsidRDefault="00E15D51">
            <w:pPr>
              <w:jc w:val="right"/>
              <w:textAlignment w:val="bottom"/>
            </w:pPr>
            <w:r>
              <w:rPr>
                <w:rFonts w:ascii="Arial" w:eastAsia="宋体" w:hAnsi="Arial" w:cs="Arial"/>
                <w:color w:val="000000"/>
                <w:sz w:val="16"/>
                <w:szCs w:val="16"/>
              </w:rPr>
              <w:t>Non-</w:t>
            </w:r>
            <w:r>
              <w:rPr>
                <w:rFonts w:ascii="Arial" w:eastAsia="宋体" w:hAnsi="Arial" w:cs="Arial"/>
                <w:color w:val="000000"/>
                <w:sz w:val="16"/>
                <w:szCs w:val="16"/>
              </w:rPr>
              <w:br/>
            </w:r>
            <w:r>
              <w:rPr>
                <w:rFonts w:ascii="Arial" w:eastAsia="宋体" w:hAnsi="Arial" w:cs="Arial"/>
                <w:color w:val="000000"/>
                <w:sz w:val="16"/>
                <w:szCs w:val="16"/>
              </w:rPr>
              <w:t>controlling</w:t>
            </w:r>
            <w:r>
              <w:rPr>
                <w:rFonts w:ascii="Arial" w:eastAsia="宋体" w:hAnsi="Arial" w:cs="Arial"/>
                <w:color w:val="000000"/>
                <w:sz w:val="16"/>
                <w:szCs w:val="16"/>
              </w:rPr>
              <w:br/>
              <w:t>Interests</w:t>
            </w:r>
          </w:p>
        </w:tc>
        <w:tc>
          <w:tcPr>
            <w:tcW w:w="0" w:type="auto"/>
            <w:gridSpan w:val="3"/>
            <w:shd w:val="clear" w:color="auto" w:fill="FFFFFF"/>
            <w:tcMar>
              <w:top w:w="40" w:type="dxa"/>
              <w:left w:w="20" w:type="dxa"/>
              <w:bottom w:w="40" w:type="dxa"/>
              <w:right w:w="20" w:type="dxa"/>
            </w:tcMar>
            <w:vAlign w:val="bottom"/>
          </w:tcPr>
          <w:p w14:paraId="4090DDF0" w14:textId="77777777" w:rsidR="00833634" w:rsidRDefault="00E15D51">
            <w:pPr>
              <w:jc w:val="right"/>
              <w:textAlignment w:val="bottom"/>
            </w:pPr>
            <w:r>
              <w:rPr>
                <w:rFonts w:ascii="Arial" w:eastAsia="宋体" w:hAnsi="Arial" w:cs="Arial"/>
                <w:color w:val="000000"/>
                <w:sz w:val="16"/>
                <w:szCs w:val="16"/>
              </w:rPr>
              <w:t>Total</w:t>
            </w:r>
          </w:p>
        </w:tc>
      </w:tr>
      <w:tr w:rsidR="00833634" w14:paraId="4090DE01"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DF2" w14:textId="77777777" w:rsidR="00833634" w:rsidRDefault="00E15D51">
            <w:pPr>
              <w:textAlignment w:val="bottom"/>
            </w:pPr>
            <w:r>
              <w:rPr>
                <w:rFonts w:ascii="Arial" w:eastAsia="宋体" w:hAnsi="Arial" w:cs="Arial"/>
                <w:color w:val="000000"/>
                <w:sz w:val="16"/>
                <w:szCs w:val="16"/>
              </w:rPr>
              <w:t>Balance at January 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F3" w14:textId="77777777" w:rsidR="00833634" w:rsidRDefault="00E15D51">
            <w:pPr>
              <w:jc w:val="right"/>
              <w:textAlignment w:val="bottom"/>
            </w:pPr>
            <w:r>
              <w:rPr>
                <w:rFonts w:ascii="Arial" w:eastAsia="宋体" w:hAnsi="Arial" w:cs="Arial"/>
                <w:color w:val="000000"/>
                <w:sz w:val="16"/>
                <w:szCs w:val="16"/>
              </w:rPr>
              <w:t>$5,061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F4"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F5" w14:textId="77777777" w:rsidR="00833634" w:rsidRDefault="00E15D51">
            <w:pPr>
              <w:jc w:val="right"/>
              <w:textAlignment w:val="bottom"/>
            </w:pPr>
            <w:r>
              <w:rPr>
                <w:rFonts w:ascii="Arial" w:eastAsia="宋体" w:hAnsi="Arial" w:cs="Arial"/>
                <w:color w:val="000000"/>
                <w:sz w:val="16"/>
                <w:szCs w:val="16"/>
              </w:rPr>
              <w:t>$6,768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F6"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F7" w14:textId="77777777" w:rsidR="00833634" w:rsidRDefault="00E15D51">
            <w:pPr>
              <w:jc w:val="right"/>
              <w:textAlignment w:val="bottom"/>
            </w:pPr>
            <w:r>
              <w:rPr>
                <w:rFonts w:ascii="Arial" w:eastAsia="宋体" w:hAnsi="Arial" w:cs="Arial"/>
                <w:color w:val="000000"/>
                <w:sz w:val="16"/>
                <w:szCs w:val="16"/>
              </w:rPr>
              <w:t>($52,348)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F8"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F9" w14:textId="77777777" w:rsidR="00833634" w:rsidRDefault="00E15D51">
            <w:pPr>
              <w:jc w:val="right"/>
              <w:textAlignment w:val="bottom"/>
            </w:pPr>
            <w:r>
              <w:rPr>
                <w:rFonts w:ascii="Arial" w:eastAsia="宋体" w:hAnsi="Arial" w:cs="Arial"/>
                <w:color w:val="000000"/>
                <w:sz w:val="16"/>
                <w:szCs w:val="16"/>
              </w:rPr>
              <w:t>$55,941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FA"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FB" w14:textId="77777777" w:rsidR="00833634" w:rsidRDefault="00E15D51">
            <w:pPr>
              <w:jc w:val="right"/>
              <w:textAlignment w:val="bottom"/>
            </w:pPr>
            <w:r>
              <w:rPr>
                <w:rFonts w:ascii="Arial" w:eastAsia="宋体" w:hAnsi="Arial" w:cs="Arial"/>
                <w:color w:val="000000"/>
                <w:sz w:val="16"/>
                <w:szCs w:val="16"/>
              </w:rPr>
              <w:t>($15,083)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FC"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FD" w14:textId="77777777" w:rsidR="00833634" w:rsidRDefault="00E15D51">
            <w:pPr>
              <w:jc w:val="right"/>
              <w:textAlignment w:val="bottom"/>
            </w:pPr>
            <w:r>
              <w:rPr>
                <w:rFonts w:ascii="Arial" w:eastAsia="宋体" w:hAnsi="Arial" w:cs="Arial"/>
                <w:color w:val="000000"/>
                <w:sz w:val="16"/>
                <w:szCs w:val="16"/>
              </w:rPr>
              <w:t>$71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DFE"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DFF" w14:textId="77777777" w:rsidR="00833634" w:rsidRDefault="00E15D51">
            <w:pPr>
              <w:jc w:val="right"/>
              <w:textAlignment w:val="bottom"/>
            </w:pPr>
            <w:r>
              <w:rPr>
                <w:rFonts w:ascii="Arial" w:eastAsia="宋体" w:hAnsi="Arial" w:cs="Arial"/>
                <w:color w:val="000000"/>
                <w:sz w:val="16"/>
                <w:szCs w:val="16"/>
              </w:rPr>
              <w:t>$410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E00" w14:textId="77777777" w:rsidR="00833634" w:rsidRDefault="00833634">
            <w:pPr>
              <w:jc w:val="right"/>
              <w:rPr>
                <w:rFonts w:ascii="宋体"/>
              </w:rPr>
            </w:pPr>
          </w:p>
        </w:tc>
      </w:tr>
      <w:tr w:rsidR="00833634" w14:paraId="4090DE0D"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E02" w14:textId="77777777" w:rsidR="00833634" w:rsidRDefault="00E15D51">
            <w:pPr>
              <w:textAlignment w:val="bottom"/>
            </w:pPr>
            <w:r>
              <w:rPr>
                <w:rFonts w:ascii="Arial" w:eastAsia="宋体" w:hAnsi="Arial" w:cs="Arial"/>
                <w:color w:val="000000"/>
                <w:sz w:val="16"/>
                <w:szCs w:val="16"/>
              </w:rPr>
              <w:t>Net earnings</w:t>
            </w:r>
          </w:p>
        </w:tc>
        <w:tc>
          <w:tcPr>
            <w:tcW w:w="0" w:type="auto"/>
            <w:gridSpan w:val="3"/>
            <w:tcBorders>
              <w:top w:val="single" w:sz="8" w:space="0" w:color="000000"/>
            </w:tcBorders>
            <w:shd w:val="clear" w:color="auto" w:fill="FFFFFF"/>
            <w:tcMar>
              <w:top w:w="0" w:type="dxa"/>
              <w:left w:w="20" w:type="dxa"/>
              <w:bottom w:w="0" w:type="dxa"/>
              <w:right w:w="20" w:type="dxa"/>
            </w:tcMar>
          </w:tcPr>
          <w:p w14:paraId="4090DE03"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E04"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E05"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DE06" w14:textId="77777777" w:rsidR="00833634" w:rsidRDefault="00E15D51">
            <w:pPr>
              <w:jc w:val="right"/>
              <w:textAlignment w:val="bottom"/>
            </w:pPr>
            <w:r>
              <w:rPr>
                <w:rFonts w:ascii="Arial" w:eastAsia="宋体" w:hAnsi="Arial" w:cs="Arial"/>
                <w:color w:val="000000"/>
                <w:sz w:val="16"/>
                <w:szCs w:val="16"/>
              </w:rPr>
              <w:t>374 </w:t>
            </w:r>
          </w:p>
        </w:tc>
        <w:tc>
          <w:tcPr>
            <w:tcW w:w="0" w:type="auto"/>
            <w:tcBorders>
              <w:top w:val="single" w:sz="8" w:space="0" w:color="000000"/>
            </w:tcBorders>
            <w:shd w:val="clear" w:color="auto" w:fill="auto"/>
            <w:tcMar>
              <w:top w:w="40" w:type="dxa"/>
              <w:left w:w="0" w:type="dxa"/>
              <w:bottom w:w="40" w:type="dxa"/>
              <w:right w:w="20" w:type="dxa"/>
            </w:tcMar>
            <w:vAlign w:val="bottom"/>
          </w:tcPr>
          <w:p w14:paraId="4090DE07"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E08"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09" w14:textId="77777777" w:rsidR="00833634" w:rsidRDefault="00E15D51">
            <w:pPr>
              <w:jc w:val="right"/>
              <w:textAlignment w:val="bottom"/>
            </w:pPr>
            <w:r>
              <w:rPr>
                <w:rFonts w:ascii="Arial" w:eastAsia="宋体" w:hAnsi="Arial" w:cs="Arial"/>
                <w:color w:val="000000"/>
                <w:sz w:val="16"/>
                <w:szCs w:val="16"/>
              </w:rPr>
              <w:t>(22)</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0A"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0B" w14:textId="77777777" w:rsidR="00833634" w:rsidRDefault="00E15D51">
            <w:pPr>
              <w:jc w:val="right"/>
              <w:textAlignment w:val="bottom"/>
            </w:pPr>
            <w:r>
              <w:rPr>
                <w:rFonts w:ascii="Arial" w:eastAsia="宋体" w:hAnsi="Arial" w:cs="Arial"/>
                <w:color w:val="000000"/>
                <w:sz w:val="16"/>
                <w:szCs w:val="16"/>
              </w:rPr>
              <w:t>352 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0C" w14:textId="77777777" w:rsidR="00833634" w:rsidRDefault="00833634">
            <w:pPr>
              <w:jc w:val="right"/>
              <w:rPr>
                <w:rFonts w:ascii="宋体"/>
              </w:rPr>
            </w:pPr>
          </w:p>
        </w:tc>
      </w:tr>
      <w:tr w:rsidR="00833634" w14:paraId="4090DE18" w14:textId="77777777">
        <w:trPr>
          <w:jc w:val="center"/>
        </w:trPr>
        <w:tc>
          <w:tcPr>
            <w:tcW w:w="0" w:type="auto"/>
            <w:gridSpan w:val="3"/>
            <w:shd w:val="clear" w:color="auto" w:fill="CCEEFF"/>
            <w:tcMar>
              <w:top w:w="40" w:type="dxa"/>
              <w:left w:w="20" w:type="dxa"/>
              <w:bottom w:w="40" w:type="dxa"/>
              <w:right w:w="20" w:type="dxa"/>
            </w:tcMar>
            <w:vAlign w:val="bottom"/>
          </w:tcPr>
          <w:p w14:paraId="4090DE0E" w14:textId="77777777" w:rsidR="00833634" w:rsidRDefault="00E15D51">
            <w:pPr>
              <w:ind w:hanging="180"/>
              <w:textAlignment w:val="bottom"/>
            </w:pPr>
            <w:r>
              <w:rPr>
                <w:rFonts w:ascii="Arial" w:eastAsia="宋体" w:hAnsi="Arial" w:cs="Arial"/>
                <w:color w:val="000000"/>
                <w:sz w:val="16"/>
                <w:szCs w:val="16"/>
              </w:rPr>
              <w:t>Other comprehensive income, net of tax of ($60)</w:t>
            </w:r>
          </w:p>
        </w:tc>
        <w:tc>
          <w:tcPr>
            <w:tcW w:w="0" w:type="auto"/>
            <w:gridSpan w:val="3"/>
            <w:shd w:val="clear" w:color="auto" w:fill="CCEEFF"/>
            <w:tcMar>
              <w:top w:w="0" w:type="dxa"/>
              <w:left w:w="20" w:type="dxa"/>
              <w:bottom w:w="0" w:type="dxa"/>
              <w:right w:w="20" w:type="dxa"/>
            </w:tcMar>
          </w:tcPr>
          <w:p w14:paraId="4090DE0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1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1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1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13" w14:textId="77777777" w:rsidR="00833634" w:rsidRDefault="00E15D51">
            <w:pPr>
              <w:jc w:val="right"/>
              <w:textAlignment w:val="bottom"/>
            </w:pPr>
            <w:r>
              <w:rPr>
                <w:rFonts w:ascii="Arial" w:eastAsia="宋体" w:hAnsi="Arial" w:cs="Arial"/>
                <w:color w:val="000000"/>
                <w:sz w:val="16"/>
                <w:szCs w:val="16"/>
              </w:rPr>
              <w:t>156 </w:t>
            </w:r>
          </w:p>
        </w:tc>
        <w:tc>
          <w:tcPr>
            <w:tcW w:w="0" w:type="auto"/>
            <w:shd w:val="clear" w:color="auto" w:fill="CCEEFF"/>
            <w:tcMar>
              <w:top w:w="40" w:type="dxa"/>
              <w:left w:w="0" w:type="dxa"/>
              <w:bottom w:w="40" w:type="dxa"/>
              <w:right w:w="20" w:type="dxa"/>
            </w:tcMar>
            <w:vAlign w:val="bottom"/>
          </w:tcPr>
          <w:p w14:paraId="4090DE1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E1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16" w14:textId="77777777" w:rsidR="00833634" w:rsidRDefault="00E15D51">
            <w:pPr>
              <w:jc w:val="right"/>
              <w:textAlignment w:val="bottom"/>
            </w:pPr>
            <w:r>
              <w:rPr>
                <w:rFonts w:ascii="Arial" w:eastAsia="宋体" w:hAnsi="Arial" w:cs="Arial"/>
                <w:color w:val="000000"/>
                <w:sz w:val="16"/>
                <w:szCs w:val="16"/>
              </w:rPr>
              <w:t>156 </w:t>
            </w:r>
          </w:p>
        </w:tc>
        <w:tc>
          <w:tcPr>
            <w:tcW w:w="0" w:type="auto"/>
            <w:shd w:val="clear" w:color="auto" w:fill="CCEEFF"/>
            <w:tcMar>
              <w:top w:w="40" w:type="dxa"/>
              <w:left w:w="0" w:type="dxa"/>
              <w:bottom w:w="40" w:type="dxa"/>
              <w:right w:w="20" w:type="dxa"/>
            </w:tcMar>
            <w:vAlign w:val="bottom"/>
          </w:tcPr>
          <w:p w14:paraId="4090DE17" w14:textId="77777777" w:rsidR="00833634" w:rsidRDefault="00833634">
            <w:pPr>
              <w:jc w:val="right"/>
              <w:rPr>
                <w:rFonts w:ascii="宋体"/>
              </w:rPr>
            </w:pPr>
          </w:p>
        </w:tc>
      </w:tr>
      <w:tr w:rsidR="00833634" w14:paraId="4090DE24" w14:textId="77777777">
        <w:trPr>
          <w:jc w:val="center"/>
        </w:trPr>
        <w:tc>
          <w:tcPr>
            <w:tcW w:w="0" w:type="auto"/>
            <w:gridSpan w:val="3"/>
            <w:shd w:val="clear" w:color="auto" w:fill="FFFFFF"/>
            <w:tcMar>
              <w:top w:w="40" w:type="dxa"/>
              <w:left w:w="20" w:type="dxa"/>
              <w:bottom w:w="40" w:type="dxa"/>
              <w:right w:w="20" w:type="dxa"/>
            </w:tcMar>
            <w:vAlign w:val="bottom"/>
          </w:tcPr>
          <w:p w14:paraId="4090DE19" w14:textId="77777777" w:rsidR="00833634" w:rsidRDefault="00E15D51">
            <w:pPr>
              <w:ind w:hanging="180"/>
              <w:textAlignment w:val="bottom"/>
            </w:pPr>
            <w:r>
              <w:rPr>
                <w:rFonts w:ascii="Arial" w:eastAsia="宋体" w:hAnsi="Arial" w:cs="Arial"/>
                <w:color w:val="000000"/>
                <w:sz w:val="16"/>
                <w:szCs w:val="16"/>
              </w:rPr>
              <w:t xml:space="preserve">Share-based compensation and related dividend </w:t>
            </w:r>
            <w:r>
              <w:rPr>
                <w:rFonts w:ascii="Arial" w:eastAsia="宋体" w:hAnsi="Arial" w:cs="Arial"/>
                <w:color w:val="000000"/>
                <w:sz w:val="16"/>
                <w:szCs w:val="16"/>
              </w:rPr>
              <w:t>equivalents</w:t>
            </w:r>
          </w:p>
        </w:tc>
        <w:tc>
          <w:tcPr>
            <w:tcW w:w="0" w:type="auto"/>
            <w:gridSpan w:val="3"/>
            <w:shd w:val="clear" w:color="auto" w:fill="FFFFFF"/>
            <w:tcMar>
              <w:top w:w="0" w:type="dxa"/>
              <w:left w:w="20" w:type="dxa"/>
              <w:bottom w:w="0" w:type="dxa"/>
              <w:right w:w="20" w:type="dxa"/>
            </w:tcMar>
          </w:tcPr>
          <w:p w14:paraId="4090DE1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1B" w14:textId="77777777" w:rsidR="00833634" w:rsidRDefault="00E15D51">
            <w:pPr>
              <w:jc w:val="right"/>
              <w:textAlignment w:val="bottom"/>
            </w:pPr>
            <w:r>
              <w:rPr>
                <w:rFonts w:ascii="Arial" w:eastAsia="宋体" w:hAnsi="Arial" w:cs="Arial"/>
                <w:color w:val="000000"/>
                <w:sz w:val="16"/>
                <w:szCs w:val="16"/>
              </w:rPr>
              <w:t>176 </w:t>
            </w:r>
          </w:p>
        </w:tc>
        <w:tc>
          <w:tcPr>
            <w:tcW w:w="0" w:type="auto"/>
            <w:shd w:val="clear" w:color="auto" w:fill="FFFFFF"/>
            <w:tcMar>
              <w:top w:w="40" w:type="dxa"/>
              <w:left w:w="0" w:type="dxa"/>
              <w:bottom w:w="40" w:type="dxa"/>
              <w:right w:w="20" w:type="dxa"/>
            </w:tcMar>
            <w:vAlign w:val="bottom"/>
          </w:tcPr>
          <w:p w14:paraId="4090DE1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E1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1E" w14:textId="77777777" w:rsidR="00833634" w:rsidRDefault="00E15D51">
            <w:pPr>
              <w:jc w:val="right"/>
              <w:textAlignment w:val="bottom"/>
            </w:pPr>
            <w:r>
              <w:rPr>
                <w:rFonts w:ascii="Arial" w:eastAsia="宋体" w:hAnsi="Arial" w:cs="Arial"/>
                <w:color w:val="000000"/>
                <w:sz w:val="16"/>
                <w:szCs w:val="16"/>
              </w:rPr>
              <w:t>(16)</w:t>
            </w:r>
          </w:p>
        </w:tc>
        <w:tc>
          <w:tcPr>
            <w:tcW w:w="0" w:type="auto"/>
            <w:shd w:val="clear" w:color="auto" w:fill="FFFFFF"/>
            <w:tcMar>
              <w:top w:w="40" w:type="dxa"/>
              <w:left w:w="0" w:type="dxa"/>
              <w:bottom w:w="40" w:type="dxa"/>
              <w:right w:w="20" w:type="dxa"/>
            </w:tcMar>
            <w:vAlign w:val="bottom"/>
          </w:tcPr>
          <w:p w14:paraId="4090DE1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E2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2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22" w14:textId="77777777" w:rsidR="00833634" w:rsidRDefault="00E15D51">
            <w:pPr>
              <w:jc w:val="right"/>
              <w:textAlignment w:val="bottom"/>
            </w:pPr>
            <w:r>
              <w:rPr>
                <w:rFonts w:ascii="Arial" w:eastAsia="宋体" w:hAnsi="Arial" w:cs="Arial"/>
                <w:color w:val="000000"/>
                <w:sz w:val="16"/>
                <w:szCs w:val="16"/>
              </w:rPr>
              <w:t>160 </w:t>
            </w:r>
          </w:p>
        </w:tc>
        <w:tc>
          <w:tcPr>
            <w:tcW w:w="0" w:type="auto"/>
            <w:shd w:val="clear" w:color="auto" w:fill="FFFFFF"/>
            <w:tcMar>
              <w:top w:w="40" w:type="dxa"/>
              <w:left w:w="0" w:type="dxa"/>
              <w:bottom w:w="40" w:type="dxa"/>
              <w:right w:w="20" w:type="dxa"/>
            </w:tcMar>
            <w:vAlign w:val="bottom"/>
          </w:tcPr>
          <w:p w14:paraId="4090DE23" w14:textId="77777777" w:rsidR="00833634" w:rsidRDefault="00833634">
            <w:pPr>
              <w:jc w:val="right"/>
              <w:rPr>
                <w:rFonts w:ascii="宋体"/>
              </w:rPr>
            </w:pPr>
          </w:p>
        </w:tc>
      </w:tr>
      <w:tr w:rsidR="00833634" w14:paraId="4090DE2D" w14:textId="77777777">
        <w:trPr>
          <w:jc w:val="center"/>
          <w:hidden/>
        </w:trPr>
        <w:tc>
          <w:tcPr>
            <w:tcW w:w="0" w:type="auto"/>
            <w:gridSpan w:val="3"/>
            <w:shd w:val="clear" w:color="auto" w:fill="auto"/>
          </w:tcPr>
          <w:p w14:paraId="4090DE25" w14:textId="77777777" w:rsidR="00833634" w:rsidRDefault="00833634">
            <w:pPr>
              <w:rPr>
                <w:rFonts w:ascii="宋体"/>
                <w:vanish/>
              </w:rPr>
            </w:pPr>
          </w:p>
        </w:tc>
        <w:tc>
          <w:tcPr>
            <w:tcW w:w="0" w:type="auto"/>
            <w:gridSpan w:val="3"/>
            <w:shd w:val="clear" w:color="auto" w:fill="auto"/>
          </w:tcPr>
          <w:p w14:paraId="4090DE26" w14:textId="77777777" w:rsidR="00833634" w:rsidRDefault="00833634">
            <w:pPr>
              <w:rPr>
                <w:rFonts w:ascii="宋体"/>
                <w:vanish/>
              </w:rPr>
            </w:pPr>
          </w:p>
        </w:tc>
        <w:tc>
          <w:tcPr>
            <w:tcW w:w="0" w:type="auto"/>
            <w:gridSpan w:val="3"/>
            <w:shd w:val="clear" w:color="auto" w:fill="auto"/>
          </w:tcPr>
          <w:p w14:paraId="4090DE27" w14:textId="77777777" w:rsidR="00833634" w:rsidRDefault="00833634">
            <w:pPr>
              <w:rPr>
                <w:rFonts w:ascii="宋体"/>
                <w:vanish/>
              </w:rPr>
            </w:pPr>
          </w:p>
        </w:tc>
        <w:tc>
          <w:tcPr>
            <w:tcW w:w="0" w:type="auto"/>
            <w:gridSpan w:val="3"/>
            <w:shd w:val="clear" w:color="auto" w:fill="auto"/>
          </w:tcPr>
          <w:p w14:paraId="4090DE28" w14:textId="77777777" w:rsidR="00833634" w:rsidRDefault="00833634">
            <w:pPr>
              <w:rPr>
                <w:rFonts w:ascii="宋体"/>
                <w:vanish/>
              </w:rPr>
            </w:pPr>
          </w:p>
        </w:tc>
        <w:tc>
          <w:tcPr>
            <w:tcW w:w="0" w:type="auto"/>
            <w:gridSpan w:val="3"/>
            <w:shd w:val="clear" w:color="auto" w:fill="auto"/>
          </w:tcPr>
          <w:p w14:paraId="4090DE29" w14:textId="77777777" w:rsidR="00833634" w:rsidRDefault="00833634">
            <w:pPr>
              <w:rPr>
                <w:rFonts w:ascii="宋体"/>
                <w:vanish/>
              </w:rPr>
            </w:pPr>
          </w:p>
        </w:tc>
        <w:tc>
          <w:tcPr>
            <w:tcW w:w="0" w:type="auto"/>
            <w:gridSpan w:val="3"/>
            <w:shd w:val="clear" w:color="auto" w:fill="auto"/>
          </w:tcPr>
          <w:p w14:paraId="4090DE2A" w14:textId="77777777" w:rsidR="00833634" w:rsidRDefault="00833634">
            <w:pPr>
              <w:rPr>
                <w:rFonts w:ascii="宋体"/>
                <w:vanish/>
              </w:rPr>
            </w:pPr>
          </w:p>
        </w:tc>
        <w:tc>
          <w:tcPr>
            <w:tcW w:w="0" w:type="auto"/>
            <w:gridSpan w:val="3"/>
            <w:shd w:val="clear" w:color="auto" w:fill="auto"/>
          </w:tcPr>
          <w:p w14:paraId="4090DE2B" w14:textId="77777777" w:rsidR="00833634" w:rsidRDefault="00833634">
            <w:pPr>
              <w:rPr>
                <w:rFonts w:ascii="宋体"/>
                <w:vanish/>
              </w:rPr>
            </w:pPr>
          </w:p>
        </w:tc>
        <w:tc>
          <w:tcPr>
            <w:tcW w:w="0" w:type="auto"/>
            <w:gridSpan w:val="3"/>
            <w:shd w:val="clear" w:color="auto" w:fill="auto"/>
          </w:tcPr>
          <w:p w14:paraId="4090DE2C" w14:textId="77777777" w:rsidR="00833634" w:rsidRDefault="00833634">
            <w:pPr>
              <w:rPr>
                <w:rFonts w:ascii="宋体"/>
                <w:vanish/>
              </w:rPr>
            </w:pPr>
          </w:p>
        </w:tc>
      </w:tr>
      <w:tr w:rsidR="00833634" w14:paraId="4090DE39" w14:textId="77777777">
        <w:trPr>
          <w:jc w:val="center"/>
        </w:trPr>
        <w:tc>
          <w:tcPr>
            <w:tcW w:w="0" w:type="auto"/>
            <w:gridSpan w:val="3"/>
            <w:shd w:val="clear" w:color="auto" w:fill="CCEEFF"/>
            <w:tcMar>
              <w:top w:w="40" w:type="dxa"/>
              <w:left w:w="20" w:type="dxa"/>
              <w:bottom w:w="40" w:type="dxa"/>
              <w:right w:w="20" w:type="dxa"/>
            </w:tcMar>
            <w:vAlign w:val="bottom"/>
          </w:tcPr>
          <w:p w14:paraId="4090DE2E" w14:textId="77777777" w:rsidR="00833634" w:rsidRDefault="00E15D51">
            <w:pPr>
              <w:ind w:hanging="180"/>
              <w:textAlignment w:val="bottom"/>
            </w:pPr>
            <w:r>
              <w:rPr>
                <w:rFonts w:ascii="Arial" w:eastAsia="宋体" w:hAnsi="Arial" w:cs="Arial"/>
                <w:color w:val="000000"/>
                <w:sz w:val="16"/>
                <w:szCs w:val="16"/>
              </w:rPr>
              <w:t>Treasury shares issued for stock options exercised, net</w:t>
            </w:r>
          </w:p>
        </w:tc>
        <w:tc>
          <w:tcPr>
            <w:tcW w:w="0" w:type="auto"/>
            <w:gridSpan w:val="3"/>
            <w:shd w:val="clear" w:color="auto" w:fill="CCEEFF"/>
            <w:tcMar>
              <w:top w:w="0" w:type="dxa"/>
              <w:left w:w="20" w:type="dxa"/>
              <w:bottom w:w="0" w:type="dxa"/>
              <w:right w:w="20" w:type="dxa"/>
            </w:tcMar>
          </w:tcPr>
          <w:p w14:paraId="4090DE2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30" w14:textId="77777777" w:rsidR="00833634" w:rsidRDefault="00E15D51">
            <w:pPr>
              <w:jc w:val="right"/>
              <w:textAlignment w:val="bottom"/>
            </w:pPr>
            <w:r>
              <w:rPr>
                <w:rFonts w:ascii="Arial" w:eastAsia="宋体" w:hAnsi="Arial" w:cs="Arial"/>
                <w:color w:val="000000"/>
                <w:sz w:val="16"/>
                <w:szCs w:val="16"/>
              </w:rPr>
              <w:t>(42)</w:t>
            </w:r>
          </w:p>
        </w:tc>
        <w:tc>
          <w:tcPr>
            <w:tcW w:w="0" w:type="auto"/>
            <w:shd w:val="clear" w:color="auto" w:fill="CCEEFF"/>
            <w:tcMar>
              <w:top w:w="40" w:type="dxa"/>
              <w:left w:w="0" w:type="dxa"/>
              <w:bottom w:w="40" w:type="dxa"/>
              <w:right w:w="20" w:type="dxa"/>
            </w:tcMar>
            <w:vAlign w:val="bottom"/>
          </w:tcPr>
          <w:p w14:paraId="4090DE31"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DE32" w14:textId="77777777" w:rsidR="00833634" w:rsidRDefault="00E15D51">
            <w:pPr>
              <w:jc w:val="right"/>
              <w:textAlignment w:val="bottom"/>
            </w:pPr>
            <w:r>
              <w:rPr>
                <w:rFonts w:ascii="Arial" w:eastAsia="宋体" w:hAnsi="Arial" w:cs="Arial"/>
                <w:color w:val="000000"/>
                <w:sz w:val="16"/>
                <w:szCs w:val="16"/>
              </w:rPr>
              <w:t>82 </w:t>
            </w:r>
          </w:p>
        </w:tc>
        <w:tc>
          <w:tcPr>
            <w:tcW w:w="0" w:type="auto"/>
            <w:shd w:val="clear" w:color="auto" w:fill="CCEEFF"/>
            <w:tcMar>
              <w:top w:w="40" w:type="dxa"/>
              <w:left w:w="0" w:type="dxa"/>
              <w:bottom w:w="40" w:type="dxa"/>
              <w:right w:w="20" w:type="dxa"/>
            </w:tcMar>
            <w:vAlign w:val="bottom"/>
          </w:tcPr>
          <w:p w14:paraId="4090DE3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E34"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3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3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37" w14:textId="77777777" w:rsidR="00833634" w:rsidRDefault="00E15D51">
            <w:pPr>
              <w:jc w:val="right"/>
              <w:textAlignment w:val="bottom"/>
            </w:pPr>
            <w:r>
              <w:rPr>
                <w:rFonts w:ascii="Arial" w:eastAsia="宋体" w:hAnsi="Arial" w:cs="Arial"/>
                <w:color w:val="000000"/>
                <w:sz w:val="16"/>
                <w:szCs w:val="16"/>
              </w:rPr>
              <w:t>40 </w:t>
            </w:r>
          </w:p>
        </w:tc>
        <w:tc>
          <w:tcPr>
            <w:tcW w:w="0" w:type="auto"/>
            <w:shd w:val="clear" w:color="auto" w:fill="CCEEFF"/>
            <w:tcMar>
              <w:top w:w="40" w:type="dxa"/>
              <w:left w:w="0" w:type="dxa"/>
              <w:bottom w:w="40" w:type="dxa"/>
              <w:right w:w="20" w:type="dxa"/>
            </w:tcMar>
            <w:vAlign w:val="bottom"/>
          </w:tcPr>
          <w:p w14:paraId="4090DE38" w14:textId="77777777" w:rsidR="00833634" w:rsidRDefault="00833634">
            <w:pPr>
              <w:jc w:val="right"/>
              <w:rPr>
                <w:rFonts w:ascii="宋体"/>
              </w:rPr>
            </w:pPr>
          </w:p>
        </w:tc>
      </w:tr>
      <w:tr w:rsidR="00833634" w14:paraId="4090DE45" w14:textId="77777777">
        <w:trPr>
          <w:jc w:val="center"/>
        </w:trPr>
        <w:tc>
          <w:tcPr>
            <w:tcW w:w="0" w:type="auto"/>
            <w:gridSpan w:val="3"/>
            <w:shd w:val="clear" w:color="auto" w:fill="FFFFFF"/>
            <w:tcMar>
              <w:top w:w="40" w:type="dxa"/>
              <w:left w:w="20" w:type="dxa"/>
              <w:bottom w:w="40" w:type="dxa"/>
              <w:right w:w="20" w:type="dxa"/>
            </w:tcMar>
            <w:vAlign w:val="bottom"/>
          </w:tcPr>
          <w:p w14:paraId="4090DE3A" w14:textId="77777777" w:rsidR="00833634" w:rsidRDefault="00E15D51">
            <w:pPr>
              <w:ind w:hanging="180"/>
              <w:textAlignment w:val="bottom"/>
            </w:pPr>
            <w:r>
              <w:rPr>
                <w:rFonts w:ascii="Arial" w:eastAsia="宋体" w:hAnsi="Arial" w:cs="Arial"/>
                <w:color w:val="000000"/>
                <w:sz w:val="16"/>
                <w:szCs w:val="16"/>
              </w:rPr>
              <w:t>Treasury shares issued for other share-based plans, net</w:t>
            </w:r>
          </w:p>
        </w:tc>
        <w:tc>
          <w:tcPr>
            <w:tcW w:w="0" w:type="auto"/>
            <w:gridSpan w:val="3"/>
            <w:shd w:val="clear" w:color="auto" w:fill="FFFFFF"/>
            <w:tcMar>
              <w:top w:w="0" w:type="dxa"/>
              <w:left w:w="20" w:type="dxa"/>
              <w:bottom w:w="0" w:type="dxa"/>
              <w:right w:w="20" w:type="dxa"/>
            </w:tcMar>
          </w:tcPr>
          <w:p w14:paraId="4090DE3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3C" w14:textId="77777777" w:rsidR="00833634" w:rsidRDefault="00E15D51">
            <w:pPr>
              <w:jc w:val="right"/>
              <w:textAlignment w:val="bottom"/>
            </w:pPr>
            <w:r>
              <w:rPr>
                <w:rFonts w:ascii="Arial" w:eastAsia="宋体" w:hAnsi="Arial" w:cs="Arial"/>
                <w:color w:val="000000"/>
                <w:sz w:val="16"/>
                <w:szCs w:val="16"/>
              </w:rPr>
              <w:t>(214)</w:t>
            </w:r>
          </w:p>
        </w:tc>
        <w:tc>
          <w:tcPr>
            <w:tcW w:w="0" w:type="auto"/>
            <w:shd w:val="clear" w:color="auto" w:fill="FFFFFF"/>
            <w:tcMar>
              <w:top w:w="40" w:type="dxa"/>
              <w:left w:w="0" w:type="dxa"/>
              <w:bottom w:w="40" w:type="dxa"/>
              <w:right w:w="20" w:type="dxa"/>
            </w:tcMar>
            <w:vAlign w:val="bottom"/>
          </w:tcPr>
          <w:p w14:paraId="4090DE3D"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DE3E" w14:textId="77777777" w:rsidR="00833634" w:rsidRDefault="00E15D51">
            <w:pPr>
              <w:jc w:val="right"/>
              <w:textAlignment w:val="bottom"/>
            </w:pPr>
            <w:r>
              <w:rPr>
                <w:rFonts w:ascii="Arial" w:eastAsia="宋体" w:hAnsi="Arial" w:cs="Arial"/>
                <w:color w:val="000000"/>
                <w:sz w:val="16"/>
                <w:szCs w:val="16"/>
              </w:rPr>
              <w:t>(7)</w:t>
            </w:r>
          </w:p>
        </w:tc>
        <w:tc>
          <w:tcPr>
            <w:tcW w:w="0" w:type="auto"/>
            <w:shd w:val="clear" w:color="auto" w:fill="FFFFFF"/>
            <w:tcMar>
              <w:top w:w="40" w:type="dxa"/>
              <w:left w:w="0" w:type="dxa"/>
              <w:bottom w:w="40" w:type="dxa"/>
              <w:right w:w="20" w:type="dxa"/>
            </w:tcMar>
            <w:vAlign w:val="bottom"/>
          </w:tcPr>
          <w:p w14:paraId="4090DE3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E4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4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4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43" w14:textId="77777777" w:rsidR="00833634" w:rsidRDefault="00E15D51">
            <w:pPr>
              <w:jc w:val="right"/>
              <w:textAlignment w:val="bottom"/>
            </w:pPr>
            <w:r>
              <w:rPr>
                <w:rFonts w:ascii="Arial" w:eastAsia="宋体" w:hAnsi="Arial" w:cs="Arial"/>
                <w:color w:val="000000"/>
                <w:sz w:val="16"/>
                <w:szCs w:val="16"/>
              </w:rPr>
              <w:t>(221)</w:t>
            </w:r>
          </w:p>
        </w:tc>
        <w:tc>
          <w:tcPr>
            <w:tcW w:w="0" w:type="auto"/>
            <w:shd w:val="clear" w:color="auto" w:fill="FFFFFF"/>
            <w:tcMar>
              <w:top w:w="40" w:type="dxa"/>
              <w:left w:w="0" w:type="dxa"/>
              <w:bottom w:w="40" w:type="dxa"/>
              <w:right w:w="20" w:type="dxa"/>
            </w:tcMar>
            <w:vAlign w:val="bottom"/>
          </w:tcPr>
          <w:p w14:paraId="4090DE44" w14:textId="77777777" w:rsidR="00833634" w:rsidRDefault="00833634">
            <w:pPr>
              <w:jc w:val="right"/>
              <w:rPr>
                <w:rFonts w:ascii="宋体"/>
              </w:rPr>
            </w:pPr>
          </w:p>
        </w:tc>
      </w:tr>
      <w:tr w:rsidR="00833634" w14:paraId="4090DE4E" w14:textId="77777777">
        <w:trPr>
          <w:jc w:val="center"/>
          <w:hidden/>
        </w:trPr>
        <w:tc>
          <w:tcPr>
            <w:tcW w:w="0" w:type="auto"/>
            <w:gridSpan w:val="3"/>
            <w:shd w:val="clear" w:color="auto" w:fill="auto"/>
          </w:tcPr>
          <w:p w14:paraId="4090DE46" w14:textId="77777777" w:rsidR="00833634" w:rsidRDefault="00833634">
            <w:pPr>
              <w:rPr>
                <w:rFonts w:ascii="宋体"/>
                <w:vanish/>
              </w:rPr>
            </w:pPr>
          </w:p>
        </w:tc>
        <w:tc>
          <w:tcPr>
            <w:tcW w:w="0" w:type="auto"/>
            <w:gridSpan w:val="3"/>
            <w:shd w:val="clear" w:color="auto" w:fill="auto"/>
          </w:tcPr>
          <w:p w14:paraId="4090DE47" w14:textId="77777777" w:rsidR="00833634" w:rsidRDefault="00833634">
            <w:pPr>
              <w:rPr>
                <w:rFonts w:ascii="宋体"/>
                <w:vanish/>
              </w:rPr>
            </w:pPr>
          </w:p>
        </w:tc>
        <w:tc>
          <w:tcPr>
            <w:tcW w:w="0" w:type="auto"/>
            <w:gridSpan w:val="3"/>
            <w:shd w:val="clear" w:color="auto" w:fill="auto"/>
          </w:tcPr>
          <w:p w14:paraId="4090DE48" w14:textId="77777777" w:rsidR="00833634" w:rsidRDefault="00833634">
            <w:pPr>
              <w:rPr>
                <w:rFonts w:ascii="宋体"/>
                <w:vanish/>
              </w:rPr>
            </w:pPr>
          </w:p>
        </w:tc>
        <w:tc>
          <w:tcPr>
            <w:tcW w:w="0" w:type="auto"/>
            <w:gridSpan w:val="3"/>
            <w:shd w:val="clear" w:color="auto" w:fill="auto"/>
          </w:tcPr>
          <w:p w14:paraId="4090DE49" w14:textId="77777777" w:rsidR="00833634" w:rsidRDefault="00833634">
            <w:pPr>
              <w:rPr>
                <w:rFonts w:ascii="宋体"/>
                <w:vanish/>
              </w:rPr>
            </w:pPr>
          </w:p>
        </w:tc>
        <w:tc>
          <w:tcPr>
            <w:tcW w:w="0" w:type="auto"/>
            <w:gridSpan w:val="3"/>
            <w:shd w:val="clear" w:color="auto" w:fill="auto"/>
          </w:tcPr>
          <w:p w14:paraId="4090DE4A" w14:textId="77777777" w:rsidR="00833634" w:rsidRDefault="00833634">
            <w:pPr>
              <w:rPr>
                <w:rFonts w:ascii="宋体"/>
                <w:vanish/>
              </w:rPr>
            </w:pPr>
          </w:p>
        </w:tc>
        <w:tc>
          <w:tcPr>
            <w:tcW w:w="0" w:type="auto"/>
            <w:gridSpan w:val="3"/>
            <w:shd w:val="clear" w:color="auto" w:fill="auto"/>
          </w:tcPr>
          <w:p w14:paraId="4090DE4B" w14:textId="77777777" w:rsidR="00833634" w:rsidRDefault="00833634">
            <w:pPr>
              <w:rPr>
                <w:rFonts w:ascii="宋体"/>
                <w:vanish/>
              </w:rPr>
            </w:pPr>
          </w:p>
        </w:tc>
        <w:tc>
          <w:tcPr>
            <w:tcW w:w="0" w:type="auto"/>
            <w:gridSpan w:val="3"/>
            <w:shd w:val="clear" w:color="auto" w:fill="auto"/>
          </w:tcPr>
          <w:p w14:paraId="4090DE4C" w14:textId="77777777" w:rsidR="00833634" w:rsidRDefault="00833634">
            <w:pPr>
              <w:rPr>
                <w:rFonts w:ascii="宋体"/>
                <w:vanish/>
              </w:rPr>
            </w:pPr>
          </w:p>
        </w:tc>
        <w:tc>
          <w:tcPr>
            <w:tcW w:w="0" w:type="auto"/>
            <w:gridSpan w:val="3"/>
            <w:shd w:val="clear" w:color="auto" w:fill="auto"/>
          </w:tcPr>
          <w:p w14:paraId="4090DE4D" w14:textId="77777777" w:rsidR="00833634" w:rsidRDefault="00833634">
            <w:pPr>
              <w:rPr>
                <w:rFonts w:ascii="宋体"/>
                <w:vanish/>
              </w:rPr>
            </w:pPr>
          </w:p>
        </w:tc>
      </w:tr>
      <w:tr w:rsidR="00833634" w14:paraId="4090DE59" w14:textId="77777777">
        <w:trPr>
          <w:jc w:val="center"/>
        </w:trPr>
        <w:tc>
          <w:tcPr>
            <w:tcW w:w="0" w:type="auto"/>
            <w:gridSpan w:val="3"/>
            <w:shd w:val="clear" w:color="auto" w:fill="CCEEFF"/>
            <w:tcMar>
              <w:top w:w="40" w:type="dxa"/>
              <w:left w:w="20" w:type="dxa"/>
              <w:bottom w:w="40" w:type="dxa"/>
              <w:right w:w="20" w:type="dxa"/>
            </w:tcMar>
            <w:vAlign w:val="bottom"/>
          </w:tcPr>
          <w:p w14:paraId="4090DE4F" w14:textId="77777777" w:rsidR="00833634" w:rsidRDefault="00E15D51">
            <w:pPr>
              <w:ind w:hanging="180"/>
              <w:textAlignment w:val="bottom"/>
            </w:pPr>
            <w:r>
              <w:rPr>
                <w:rFonts w:ascii="Arial" w:eastAsia="宋体" w:hAnsi="Arial" w:cs="Arial"/>
                <w:color w:val="000000"/>
                <w:sz w:val="16"/>
                <w:szCs w:val="16"/>
              </w:rPr>
              <w:t>Common shares repurchased</w:t>
            </w:r>
          </w:p>
        </w:tc>
        <w:tc>
          <w:tcPr>
            <w:tcW w:w="0" w:type="auto"/>
            <w:gridSpan w:val="3"/>
            <w:shd w:val="clear" w:color="auto" w:fill="CCEEFF"/>
            <w:tcMar>
              <w:top w:w="0" w:type="dxa"/>
              <w:left w:w="20" w:type="dxa"/>
              <w:bottom w:w="0" w:type="dxa"/>
              <w:right w:w="20" w:type="dxa"/>
            </w:tcMar>
          </w:tcPr>
          <w:p w14:paraId="4090DE5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5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52" w14:textId="77777777" w:rsidR="00833634" w:rsidRDefault="00E15D51">
            <w:pPr>
              <w:jc w:val="right"/>
              <w:textAlignment w:val="bottom"/>
            </w:pPr>
            <w:r>
              <w:rPr>
                <w:rFonts w:ascii="Arial" w:eastAsia="宋体" w:hAnsi="Arial" w:cs="Arial"/>
                <w:color w:val="000000"/>
                <w:sz w:val="16"/>
                <w:szCs w:val="16"/>
              </w:rPr>
              <w:t>(2,651)</w:t>
            </w:r>
          </w:p>
        </w:tc>
        <w:tc>
          <w:tcPr>
            <w:tcW w:w="0" w:type="auto"/>
            <w:shd w:val="clear" w:color="auto" w:fill="CCEEFF"/>
            <w:tcMar>
              <w:top w:w="40" w:type="dxa"/>
              <w:left w:w="0" w:type="dxa"/>
              <w:bottom w:w="40" w:type="dxa"/>
              <w:right w:w="20" w:type="dxa"/>
            </w:tcMar>
            <w:vAlign w:val="bottom"/>
          </w:tcPr>
          <w:p w14:paraId="4090DE5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E54"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5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5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57" w14:textId="77777777" w:rsidR="00833634" w:rsidRDefault="00E15D51">
            <w:pPr>
              <w:jc w:val="right"/>
              <w:textAlignment w:val="bottom"/>
            </w:pPr>
            <w:r>
              <w:rPr>
                <w:rFonts w:ascii="Arial" w:eastAsia="宋体" w:hAnsi="Arial" w:cs="Arial"/>
                <w:color w:val="000000"/>
                <w:sz w:val="16"/>
                <w:szCs w:val="16"/>
              </w:rPr>
              <w:t>(2,651)</w:t>
            </w:r>
          </w:p>
        </w:tc>
        <w:tc>
          <w:tcPr>
            <w:tcW w:w="0" w:type="auto"/>
            <w:shd w:val="clear" w:color="auto" w:fill="CCEEFF"/>
            <w:tcMar>
              <w:top w:w="40" w:type="dxa"/>
              <w:left w:w="0" w:type="dxa"/>
              <w:bottom w:w="40" w:type="dxa"/>
              <w:right w:w="20" w:type="dxa"/>
            </w:tcMar>
            <w:vAlign w:val="bottom"/>
          </w:tcPr>
          <w:p w14:paraId="4090DE58" w14:textId="77777777" w:rsidR="00833634" w:rsidRDefault="00833634">
            <w:pPr>
              <w:jc w:val="right"/>
              <w:rPr>
                <w:rFonts w:ascii="宋体"/>
              </w:rPr>
            </w:pPr>
          </w:p>
        </w:tc>
      </w:tr>
      <w:tr w:rsidR="00833634" w14:paraId="4090DE64" w14:textId="77777777">
        <w:trPr>
          <w:jc w:val="center"/>
        </w:trPr>
        <w:tc>
          <w:tcPr>
            <w:tcW w:w="0" w:type="auto"/>
            <w:gridSpan w:val="3"/>
            <w:shd w:val="clear" w:color="auto" w:fill="FFFFFF"/>
            <w:tcMar>
              <w:top w:w="40" w:type="dxa"/>
              <w:left w:w="20" w:type="dxa"/>
              <w:bottom w:w="40" w:type="dxa"/>
              <w:right w:w="20" w:type="dxa"/>
            </w:tcMar>
            <w:vAlign w:val="bottom"/>
          </w:tcPr>
          <w:p w14:paraId="4090DE5A" w14:textId="77777777" w:rsidR="00833634" w:rsidRDefault="00E15D51">
            <w:pPr>
              <w:textAlignment w:val="bottom"/>
            </w:pPr>
            <w:r>
              <w:rPr>
                <w:rFonts w:ascii="Arial" w:eastAsia="宋体" w:hAnsi="Arial" w:cs="Arial"/>
                <w:color w:val="000000"/>
                <w:sz w:val="16"/>
                <w:szCs w:val="16"/>
              </w:rPr>
              <w:t xml:space="preserve">Cash dividends declared </w:t>
            </w:r>
            <w:r>
              <w:rPr>
                <w:rFonts w:ascii="Arial" w:eastAsia="宋体" w:hAnsi="Arial" w:cs="Arial"/>
                <w:color w:val="000000"/>
                <w:sz w:val="16"/>
                <w:szCs w:val="16"/>
              </w:rPr>
              <w:t>($4.11 per share)</w:t>
            </w:r>
          </w:p>
        </w:tc>
        <w:tc>
          <w:tcPr>
            <w:tcW w:w="0" w:type="auto"/>
            <w:gridSpan w:val="3"/>
            <w:shd w:val="clear" w:color="auto" w:fill="FFFFFF"/>
            <w:tcMar>
              <w:top w:w="0" w:type="dxa"/>
              <w:left w:w="20" w:type="dxa"/>
              <w:bottom w:w="0" w:type="dxa"/>
              <w:right w:w="20" w:type="dxa"/>
            </w:tcMar>
          </w:tcPr>
          <w:p w14:paraId="4090DE5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5C"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5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5E" w14:textId="77777777" w:rsidR="00833634" w:rsidRDefault="00E15D51">
            <w:pPr>
              <w:jc w:val="right"/>
              <w:textAlignment w:val="bottom"/>
            </w:pPr>
            <w:r>
              <w:rPr>
                <w:rFonts w:ascii="Arial" w:eastAsia="宋体" w:hAnsi="Arial" w:cs="Arial"/>
                <w:color w:val="000000"/>
                <w:sz w:val="16"/>
                <w:szCs w:val="16"/>
              </w:rPr>
              <w:t>(2,313)</w:t>
            </w:r>
          </w:p>
        </w:tc>
        <w:tc>
          <w:tcPr>
            <w:tcW w:w="0" w:type="auto"/>
            <w:shd w:val="clear" w:color="auto" w:fill="FFFFFF"/>
            <w:tcMar>
              <w:top w:w="40" w:type="dxa"/>
              <w:left w:w="0" w:type="dxa"/>
              <w:bottom w:w="40" w:type="dxa"/>
              <w:right w:w="20" w:type="dxa"/>
            </w:tcMar>
            <w:vAlign w:val="bottom"/>
          </w:tcPr>
          <w:p w14:paraId="4090DE5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E6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6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62" w14:textId="77777777" w:rsidR="00833634" w:rsidRDefault="00E15D51">
            <w:pPr>
              <w:jc w:val="right"/>
              <w:textAlignment w:val="bottom"/>
            </w:pPr>
            <w:r>
              <w:rPr>
                <w:rFonts w:ascii="Arial" w:eastAsia="宋体" w:hAnsi="Arial" w:cs="Arial"/>
                <w:color w:val="000000"/>
                <w:sz w:val="16"/>
                <w:szCs w:val="16"/>
              </w:rPr>
              <w:t>(2,313)</w:t>
            </w:r>
          </w:p>
        </w:tc>
        <w:tc>
          <w:tcPr>
            <w:tcW w:w="0" w:type="auto"/>
            <w:shd w:val="clear" w:color="auto" w:fill="FFFFFF"/>
            <w:tcMar>
              <w:top w:w="40" w:type="dxa"/>
              <w:left w:w="0" w:type="dxa"/>
              <w:bottom w:w="40" w:type="dxa"/>
              <w:right w:w="20" w:type="dxa"/>
            </w:tcMar>
            <w:vAlign w:val="bottom"/>
          </w:tcPr>
          <w:p w14:paraId="4090DE63" w14:textId="77777777" w:rsidR="00833634" w:rsidRDefault="00833634">
            <w:pPr>
              <w:jc w:val="right"/>
              <w:rPr>
                <w:rFonts w:ascii="宋体"/>
              </w:rPr>
            </w:pPr>
          </w:p>
        </w:tc>
      </w:tr>
      <w:tr w:rsidR="00833634" w14:paraId="4090DE6F" w14:textId="77777777">
        <w:trPr>
          <w:jc w:val="center"/>
        </w:trPr>
        <w:tc>
          <w:tcPr>
            <w:tcW w:w="0" w:type="auto"/>
            <w:gridSpan w:val="3"/>
            <w:shd w:val="clear" w:color="auto" w:fill="CCEEFF"/>
            <w:tcMar>
              <w:top w:w="40" w:type="dxa"/>
              <w:left w:w="20" w:type="dxa"/>
              <w:bottom w:w="40" w:type="dxa"/>
              <w:right w:w="20" w:type="dxa"/>
            </w:tcMar>
            <w:vAlign w:val="bottom"/>
          </w:tcPr>
          <w:p w14:paraId="4090DE65" w14:textId="77777777" w:rsidR="00833634" w:rsidRDefault="00E15D51">
            <w:pPr>
              <w:textAlignment w:val="bottom"/>
            </w:pPr>
            <w:r>
              <w:rPr>
                <w:rFonts w:ascii="Arial" w:eastAsia="宋体" w:hAnsi="Arial" w:cs="Arial"/>
                <w:color w:val="000000"/>
                <w:sz w:val="16"/>
                <w:szCs w:val="16"/>
              </w:rPr>
              <w:t>Changes in noncontrolling interests</w:t>
            </w:r>
          </w:p>
        </w:tc>
        <w:tc>
          <w:tcPr>
            <w:tcW w:w="0" w:type="auto"/>
            <w:gridSpan w:val="3"/>
            <w:shd w:val="clear" w:color="auto" w:fill="CCEEFF"/>
            <w:tcMar>
              <w:top w:w="0" w:type="dxa"/>
              <w:left w:w="20" w:type="dxa"/>
              <w:bottom w:w="0" w:type="dxa"/>
              <w:right w:w="20" w:type="dxa"/>
            </w:tcMar>
          </w:tcPr>
          <w:p w14:paraId="4090DE6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6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6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6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6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6B" w14:textId="77777777" w:rsidR="00833634" w:rsidRDefault="00E15D51">
            <w:pPr>
              <w:jc w:val="right"/>
              <w:textAlignment w:val="bottom"/>
            </w:pPr>
            <w:r>
              <w:rPr>
                <w:rFonts w:ascii="Arial" w:eastAsia="宋体" w:hAnsi="Arial" w:cs="Arial"/>
                <w:color w:val="000000"/>
                <w:sz w:val="16"/>
                <w:szCs w:val="16"/>
              </w:rPr>
              <w:t>258 </w:t>
            </w:r>
          </w:p>
        </w:tc>
        <w:tc>
          <w:tcPr>
            <w:tcW w:w="0" w:type="auto"/>
            <w:shd w:val="clear" w:color="auto" w:fill="CCEEFF"/>
            <w:tcMar>
              <w:top w:w="40" w:type="dxa"/>
              <w:left w:w="0" w:type="dxa"/>
              <w:bottom w:w="40" w:type="dxa"/>
              <w:right w:w="20" w:type="dxa"/>
            </w:tcMar>
            <w:vAlign w:val="bottom"/>
          </w:tcPr>
          <w:p w14:paraId="4090DE6C"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DE6D" w14:textId="77777777" w:rsidR="00833634" w:rsidRDefault="00E15D51">
            <w:pPr>
              <w:jc w:val="right"/>
              <w:textAlignment w:val="bottom"/>
            </w:pPr>
            <w:r>
              <w:rPr>
                <w:rFonts w:ascii="Arial" w:eastAsia="宋体" w:hAnsi="Arial" w:cs="Arial"/>
                <w:color w:val="000000"/>
                <w:sz w:val="16"/>
                <w:szCs w:val="16"/>
              </w:rPr>
              <w:t>258 </w:t>
            </w:r>
          </w:p>
        </w:tc>
        <w:tc>
          <w:tcPr>
            <w:tcW w:w="0" w:type="auto"/>
            <w:shd w:val="clear" w:color="auto" w:fill="CCEEFF"/>
            <w:tcMar>
              <w:top w:w="40" w:type="dxa"/>
              <w:left w:w="0" w:type="dxa"/>
              <w:bottom w:w="40" w:type="dxa"/>
              <w:right w:w="20" w:type="dxa"/>
            </w:tcMar>
            <w:vAlign w:val="bottom"/>
          </w:tcPr>
          <w:p w14:paraId="4090DE6E" w14:textId="77777777" w:rsidR="00833634" w:rsidRDefault="00833634">
            <w:pPr>
              <w:jc w:val="right"/>
              <w:rPr>
                <w:rFonts w:ascii="宋体"/>
              </w:rPr>
            </w:pPr>
          </w:p>
        </w:tc>
      </w:tr>
      <w:tr w:rsidR="00833634" w14:paraId="4090DE7F"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E70" w14:textId="77777777" w:rsidR="00833634" w:rsidRDefault="00E15D51">
            <w:pPr>
              <w:textAlignment w:val="bottom"/>
            </w:pPr>
            <w:r>
              <w:rPr>
                <w:rFonts w:ascii="Arial" w:eastAsia="宋体" w:hAnsi="Arial" w:cs="Arial"/>
                <w:color w:val="000000"/>
                <w:sz w:val="16"/>
                <w:szCs w:val="16"/>
              </w:rPr>
              <w:t>Balance at September 30,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71" w14:textId="77777777" w:rsidR="00833634" w:rsidRDefault="00E15D51">
            <w:pPr>
              <w:jc w:val="right"/>
              <w:textAlignment w:val="bottom"/>
            </w:pPr>
            <w:r>
              <w:rPr>
                <w:rFonts w:ascii="Arial" w:eastAsia="宋体" w:hAnsi="Arial" w:cs="Arial"/>
                <w:color w:val="000000"/>
                <w:sz w:val="16"/>
                <w:szCs w:val="16"/>
              </w:rPr>
              <w:t>$5,061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72"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73" w14:textId="77777777" w:rsidR="00833634" w:rsidRDefault="00E15D51">
            <w:pPr>
              <w:jc w:val="right"/>
              <w:textAlignment w:val="bottom"/>
            </w:pPr>
            <w:r>
              <w:rPr>
                <w:rFonts w:ascii="Arial" w:eastAsia="宋体" w:hAnsi="Arial" w:cs="Arial"/>
                <w:color w:val="000000"/>
                <w:sz w:val="16"/>
                <w:szCs w:val="16"/>
              </w:rPr>
              <w:t>$6,688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74"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75" w14:textId="77777777" w:rsidR="00833634" w:rsidRDefault="00E15D51">
            <w:pPr>
              <w:jc w:val="right"/>
              <w:textAlignment w:val="bottom"/>
            </w:pPr>
            <w:r>
              <w:rPr>
                <w:rFonts w:ascii="Arial" w:eastAsia="宋体" w:hAnsi="Arial" w:cs="Arial"/>
                <w:color w:val="000000"/>
                <w:sz w:val="16"/>
                <w:szCs w:val="16"/>
              </w:rPr>
              <w:t>($54,924)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76"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77" w14:textId="77777777" w:rsidR="00833634" w:rsidRDefault="00E15D51">
            <w:pPr>
              <w:jc w:val="right"/>
              <w:textAlignment w:val="bottom"/>
            </w:pPr>
            <w:r>
              <w:rPr>
                <w:rFonts w:ascii="Arial" w:eastAsia="宋体" w:hAnsi="Arial" w:cs="Arial"/>
                <w:color w:val="000000"/>
                <w:sz w:val="16"/>
                <w:szCs w:val="16"/>
              </w:rPr>
              <w:t>$53,986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78"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79" w14:textId="77777777" w:rsidR="00833634" w:rsidRDefault="00E15D51">
            <w:pPr>
              <w:jc w:val="right"/>
              <w:textAlignment w:val="bottom"/>
            </w:pPr>
            <w:r>
              <w:rPr>
                <w:rFonts w:ascii="Arial" w:eastAsia="宋体" w:hAnsi="Arial" w:cs="Arial"/>
                <w:color w:val="000000"/>
                <w:sz w:val="16"/>
                <w:szCs w:val="16"/>
              </w:rPr>
              <w:t>($14,927)</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7A"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7B" w14:textId="77777777" w:rsidR="00833634" w:rsidRDefault="00E15D51">
            <w:pPr>
              <w:jc w:val="right"/>
              <w:textAlignment w:val="bottom"/>
            </w:pPr>
            <w:r>
              <w:rPr>
                <w:rFonts w:ascii="Arial" w:eastAsia="宋体" w:hAnsi="Arial" w:cs="Arial"/>
                <w:color w:val="000000"/>
                <w:sz w:val="16"/>
                <w:szCs w:val="16"/>
              </w:rPr>
              <w:t>$307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7C"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7D" w14:textId="77777777" w:rsidR="00833634" w:rsidRDefault="00E15D51">
            <w:pPr>
              <w:jc w:val="right"/>
              <w:textAlignment w:val="bottom"/>
            </w:pPr>
            <w:r>
              <w:rPr>
                <w:rFonts w:ascii="Arial" w:eastAsia="宋体" w:hAnsi="Arial" w:cs="Arial"/>
                <w:color w:val="000000"/>
                <w:sz w:val="16"/>
                <w:szCs w:val="16"/>
              </w:rPr>
              <w:t>($3,809)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7E" w14:textId="77777777" w:rsidR="00833634" w:rsidRDefault="00833634">
            <w:pPr>
              <w:jc w:val="right"/>
              <w:rPr>
                <w:rFonts w:ascii="宋体"/>
              </w:rPr>
            </w:pPr>
          </w:p>
        </w:tc>
      </w:tr>
      <w:tr w:rsidR="00833634" w14:paraId="4090DE88" w14:textId="77777777">
        <w:trPr>
          <w:trHeight w:val="220"/>
          <w:jc w:val="center"/>
        </w:trPr>
        <w:tc>
          <w:tcPr>
            <w:tcW w:w="0" w:type="auto"/>
            <w:gridSpan w:val="3"/>
            <w:tcBorders>
              <w:top w:val="double" w:sz="6" w:space="0" w:color="000000"/>
            </w:tcBorders>
            <w:shd w:val="clear" w:color="auto" w:fill="CCEEFF"/>
            <w:tcMar>
              <w:top w:w="0" w:type="dxa"/>
              <w:left w:w="20" w:type="dxa"/>
              <w:bottom w:w="0" w:type="dxa"/>
              <w:right w:w="20" w:type="dxa"/>
            </w:tcMar>
          </w:tcPr>
          <w:p w14:paraId="4090DE80"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E81"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E82"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E83"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E84"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E85"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E86"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E87" w14:textId="77777777" w:rsidR="00833634" w:rsidRDefault="00833634">
            <w:pPr>
              <w:rPr>
                <w:rFonts w:ascii="宋体"/>
              </w:rPr>
            </w:pPr>
          </w:p>
        </w:tc>
      </w:tr>
      <w:tr w:rsidR="00833634" w14:paraId="4090DE98"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E89" w14:textId="77777777" w:rsidR="00833634" w:rsidRDefault="00E15D51">
            <w:pPr>
              <w:textAlignment w:val="bottom"/>
            </w:pPr>
            <w:r>
              <w:rPr>
                <w:rFonts w:ascii="Arial" w:eastAsia="宋体" w:hAnsi="Arial" w:cs="Arial"/>
                <w:b/>
                <w:bCs/>
                <w:color w:val="000000"/>
                <w:sz w:val="16"/>
                <w:szCs w:val="16"/>
              </w:rPr>
              <w:t>Balance at December 31,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8A" w14:textId="77777777" w:rsidR="00833634" w:rsidRDefault="00E15D51">
            <w:pPr>
              <w:jc w:val="right"/>
              <w:textAlignment w:val="bottom"/>
            </w:pPr>
            <w:r>
              <w:rPr>
                <w:rFonts w:ascii="Arial" w:eastAsia="宋体" w:hAnsi="Arial" w:cs="Arial"/>
                <w:b/>
                <w:bCs/>
                <w:color w:val="000000"/>
                <w:sz w:val="16"/>
                <w:szCs w:val="16"/>
              </w:rPr>
              <w:t>$5,061</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8B"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8C" w14:textId="77777777" w:rsidR="00833634" w:rsidRDefault="00E15D51">
            <w:pPr>
              <w:jc w:val="right"/>
              <w:textAlignment w:val="bottom"/>
            </w:pPr>
            <w:r>
              <w:rPr>
                <w:rFonts w:ascii="Arial" w:eastAsia="宋体" w:hAnsi="Arial" w:cs="Arial"/>
                <w:b/>
                <w:bCs/>
                <w:color w:val="000000"/>
                <w:sz w:val="16"/>
                <w:szCs w:val="16"/>
              </w:rPr>
              <w:t>$6,745</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8D"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8E" w14:textId="77777777" w:rsidR="00833634" w:rsidRDefault="00E15D51">
            <w:pPr>
              <w:jc w:val="right"/>
              <w:textAlignment w:val="bottom"/>
            </w:pPr>
            <w:r>
              <w:rPr>
                <w:rFonts w:ascii="Arial" w:eastAsia="宋体" w:hAnsi="Arial" w:cs="Arial"/>
                <w:b/>
                <w:bCs/>
                <w:color w:val="000000"/>
                <w:sz w:val="16"/>
                <w:szCs w:val="16"/>
              </w:rPr>
              <w:t>($54,914)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8F"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90" w14:textId="77777777" w:rsidR="00833634" w:rsidRDefault="00E15D51">
            <w:pPr>
              <w:jc w:val="right"/>
              <w:textAlignment w:val="bottom"/>
            </w:pPr>
            <w:r>
              <w:rPr>
                <w:rFonts w:ascii="Arial" w:eastAsia="宋体" w:hAnsi="Arial" w:cs="Arial"/>
                <w:b/>
                <w:bCs/>
                <w:color w:val="000000"/>
                <w:sz w:val="16"/>
                <w:szCs w:val="16"/>
              </w:rPr>
              <w:t>$50,644</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91"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92" w14:textId="77777777" w:rsidR="00833634" w:rsidRDefault="00E15D51">
            <w:pPr>
              <w:jc w:val="right"/>
              <w:textAlignment w:val="bottom"/>
            </w:pPr>
            <w:r>
              <w:rPr>
                <w:rFonts w:ascii="Arial" w:eastAsia="宋体" w:hAnsi="Arial" w:cs="Arial"/>
                <w:b/>
                <w:bCs/>
                <w:color w:val="000000"/>
                <w:sz w:val="16"/>
                <w:szCs w:val="16"/>
              </w:rPr>
              <w:t>($16,153)</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93"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94" w14:textId="77777777" w:rsidR="00833634" w:rsidRDefault="00E15D51">
            <w:pPr>
              <w:jc w:val="right"/>
              <w:textAlignment w:val="bottom"/>
            </w:pPr>
            <w:r>
              <w:rPr>
                <w:rFonts w:ascii="Arial" w:eastAsia="宋体" w:hAnsi="Arial" w:cs="Arial"/>
                <w:b/>
                <w:bCs/>
                <w:color w:val="000000"/>
                <w:sz w:val="16"/>
                <w:szCs w:val="16"/>
              </w:rPr>
              <w:t>$317</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95"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96" w14:textId="77777777" w:rsidR="00833634" w:rsidRDefault="00E15D51">
            <w:pPr>
              <w:jc w:val="right"/>
              <w:textAlignment w:val="bottom"/>
            </w:pPr>
            <w:r>
              <w:rPr>
                <w:rFonts w:ascii="Arial" w:eastAsia="宋体" w:hAnsi="Arial" w:cs="Arial"/>
                <w:b/>
                <w:bCs/>
                <w:color w:val="000000"/>
                <w:sz w:val="16"/>
                <w:szCs w:val="16"/>
              </w:rPr>
              <w:t>($8,300)</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97" w14:textId="77777777" w:rsidR="00833634" w:rsidRDefault="00833634">
            <w:pPr>
              <w:jc w:val="right"/>
              <w:rPr>
                <w:rFonts w:ascii="宋体"/>
              </w:rPr>
            </w:pPr>
          </w:p>
        </w:tc>
      </w:tr>
      <w:tr w:rsidR="00833634" w14:paraId="4090DEA3" w14:textId="77777777">
        <w:trPr>
          <w:jc w:val="center"/>
        </w:trPr>
        <w:tc>
          <w:tcPr>
            <w:tcW w:w="0" w:type="auto"/>
            <w:gridSpan w:val="3"/>
            <w:shd w:val="clear" w:color="auto" w:fill="CCEEFF"/>
            <w:tcMar>
              <w:top w:w="40" w:type="dxa"/>
              <w:left w:w="20" w:type="dxa"/>
              <w:bottom w:w="40" w:type="dxa"/>
              <w:right w:w="20" w:type="dxa"/>
            </w:tcMar>
            <w:vAlign w:val="bottom"/>
          </w:tcPr>
          <w:p w14:paraId="4090DE99" w14:textId="77777777" w:rsidR="00833634" w:rsidRDefault="00E15D51">
            <w:pPr>
              <w:textAlignment w:val="bottom"/>
            </w:pPr>
            <w:r>
              <w:rPr>
                <w:rFonts w:ascii="Arial" w:eastAsia="宋体" w:hAnsi="Arial" w:cs="Arial"/>
                <w:b/>
                <w:bCs/>
                <w:color w:val="000000"/>
                <w:sz w:val="16"/>
                <w:szCs w:val="16"/>
              </w:rPr>
              <w:t>Impact of ASU 2016-13</w:t>
            </w:r>
          </w:p>
        </w:tc>
        <w:tc>
          <w:tcPr>
            <w:tcW w:w="0" w:type="auto"/>
            <w:gridSpan w:val="3"/>
            <w:shd w:val="clear" w:color="auto" w:fill="CCEEFF"/>
            <w:tcMar>
              <w:top w:w="0" w:type="dxa"/>
              <w:left w:w="20" w:type="dxa"/>
              <w:bottom w:w="0" w:type="dxa"/>
              <w:right w:w="20" w:type="dxa"/>
            </w:tcMar>
          </w:tcPr>
          <w:p w14:paraId="4090DE9A"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9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9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9D" w14:textId="77777777" w:rsidR="00833634" w:rsidRDefault="00E15D51">
            <w:pPr>
              <w:jc w:val="right"/>
              <w:textAlignment w:val="bottom"/>
            </w:pPr>
            <w:r>
              <w:rPr>
                <w:rFonts w:ascii="Arial" w:eastAsia="宋体" w:hAnsi="Arial" w:cs="Arial"/>
                <w:b/>
                <w:bCs/>
                <w:color w:val="000000"/>
                <w:sz w:val="16"/>
                <w:szCs w:val="16"/>
              </w:rPr>
              <w:t>(162)</w:t>
            </w:r>
          </w:p>
        </w:tc>
        <w:tc>
          <w:tcPr>
            <w:tcW w:w="0" w:type="auto"/>
            <w:shd w:val="clear" w:color="auto" w:fill="CCEEFF"/>
            <w:tcMar>
              <w:top w:w="40" w:type="dxa"/>
              <w:left w:w="0" w:type="dxa"/>
              <w:bottom w:w="40" w:type="dxa"/>
              <w:right w:w="20" w:type="dxa"/>
            </w:tcMar>
            <w:vAlign w:val="bottom"/>
          </w:tcPr>
          <w:p w14:paraId="4090DE9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E9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A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A1" w14:textId="77777777" w:rsidR="00833634" w:rsidRDefault="00E15D51">
            <w:pPr>
              <w:jc w:val="right"/>
              <w:textAlignment w:val="bottom"/>
            </w:pPr>
            <w:r>
              <w:rPr>
                <w:rFonts w:ascii="Arial" w:eastAsia="宋体" w:hAnsi="Arial" w:cs="Arial"/>
                <w:b/>
                <w:bCs/>
                <w:color w:val="000000"/>
                <w:sz w:val="16"/>
                <w:szCs w:val="16"/>
              </w:rPr>
              <w:t>(162)</w:t>
            </w:r>
          </w:p>
        </w:tc>
        <w:tc>
          <w:tcPr>
            <w:tcW w:w="0" w:type="auto"/>
            <w:shd w:val="clear" w:color="auto" w:fill="CCEEFF"/>
            <w:tcMar>
              <w:top w:w="40" w:type="dxa"/>
              <w:left w:w="0" w:type="dxa"/>
              <w:bottom w:w="40" w:type="dxa"/>
              <w:right w:w="20" w:type="dxa"/>
            </w:tcMar>
            <w:vAlign w:val="bottom"/>
          </w:tcPr>
          <w:p w14:paraId="4090DEA2" w14:textId="77777777" w:rsidR="00833634" w:rsidRDefault="00833634">
            <w:pPr>
              <w:jc w:val="right"/>
              <w:rPr>
                <w:rFonts w:ascii="宋体"/>
              </w:rPr>
            </w:pPr>
          </w:p>
        </w:tc>
      </w:tr>
      <w:tr w:rsidR="00833634" w14:paraId="4090DEB3"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EA4" w14:textId="77777777" w:rsidR="00833634" w:rsidRDefault="00E15D51">
            <w:pPr>
              <w:textAlignment w:val="bottom"/>
            </w:pPr>
            <w:r>
              <w:rPr>
                <w:rFonts w:ascii="Arial" w:eastAsia="宋体" w:hAnsi="Arial" w:cs="Arial"/>
                <w:b/>
                <w:bCs/>
                <w:color w:val="000000"/>
                <w:sz w:val="16"/>
                <w:szCs w:val="16"/>
              </w:rPr>
              <w:t>Balance at January 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A5" w14:textId="77777777" w:rsidR="00833634" w:rsidRDefault="00E15D51">
            <w:pPr>
              <w:jc w:val="right"/>
              <w:textAlignment w:val="bottom"/>
            </w:pPr>
            <w:r>
              <w:rPr>
                <w:rFonts w:ascii="Arial" w:eastAsia="宋体" w:hAnsi="Arial" w:cs="Arial"/>
                <w:b/>
                <w:bCs/>
                <w:color w:val="000000"/>
                <w:sz w:val="16"/>
                <w:szCs w:val="16"/>
              </w:rPr>
              <w:t>$5,061</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A6"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A7" w14:textId="77777777" w:rsidR="00833634" w:rsidRDefault="00E15D51">
            <w:pPr>
              <w:jc w:val="right"/>
              <w:textAlignment w:val="bottom"/>
            </w:pPr>
            <w:r>
              <w:rPr>
                <w:rFonts w:ascii="Arial" w:eastAsia="宋体" w:hAnsi="Arial" w:cs="Arial"/>
                <w:b/>
                <w:bCs/>
                <w:color w:val="000000"/>
                <w:sz w:val="16"/>
                <w:szCs w:val="16"/>
              </w:rPr>
              <w:t>$6,745</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A8"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A9" w14:textId="77777777" w:rsidR="00833634" w:rsidRDefault="00E15D51">
            <w:pPr>
              <w:jc w:val="right"/>
              <w:textAlignment w:val="bottom"/>
            </w:pPr>
            <w:r>
              <w:rPr>
                <w:rFonts w:ascii="Arial" w:eastAsia="宋体" w:hAnsi="Arial" w:cs="Arial"/>
                <w:b/>
                <w:bCs/>
                <w:color w:val="000000"/>
                <w:sz w:val="16"/>
                <w:szCs w:val="16"/>
              </w:rPr>
              <w:t>($54,914)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AA"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AB" w14:textId="77777777" w:rsidR="00833634" w:rsidRDefault="00E15D51">
            <w:pPr>
              <w:jc w:val="right"/>
              <w:textAlignment w:val="bottom"/>
            </w:pPr>
            <w:r>
              <w:rPr>
                <w:rFonts w:ascii="Arial" w:eastAsia="宋体" w:hAnsi="Arial" w:cs="Arial"/>
                <w:b/>
                <w:bCs/>
                <w:color w:val="000000"/>
                <w:sz w:val="16"/>
                <w:szCs w:val="16"/>
              </w:rPr>
              <w:t>$50,482</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AC"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AD" w14:textId="77777777" w:rsidR="00833634" w:rsidRDefault="00E15D51">
            <w:pPr>
              <w:jc w:val="right"/>
              <w:textAlignment w:val="bottom"/>
            </w:pPr>
            <w:r>
              <w:rPr>
                <w:rFonts w:ascii="Arial" w:eastAsia="宋体" w:hAnsi="Arial" w:cs="Arial"/>
                <w:b/>
                <w:bCs/>
                <w:color w:val="000000"/>
                <w:sz w:val="16"/>
                <w:szCs w:val="16"/>
              </w:rPr>
              <w:t>($16,153)</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AE"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AF" w14:textId="77777777" w:rsidR="00833634" w:rsidRDefault="00E15D51">
            <w:pPr>
              <w:jc w:val="right"/>
              <w:textAlignment w:val="bottom"/>
            </w:pPr>
            <w:r>
              <w:rPr>
                <w:rFonts w:ascii="Arial" w:eastAsia="宋体" w:hAnsi="Arial" w:cs="Arial"/>
                <w:b/>
                <w:bCs/>
                <w:color w:val="000000"/>
                <w:sz w:val="16"/>
                <w:szCs w:val="16"/>
              </w:rPr>
              <w:t>$317</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B0"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EB1" w14:textId="77777777" w:rsidR="00833634" w:rsidRDefault="00E15D51">
            <w:pPr>
              <w:jc w:val="right"/>
              <w:textAlignment w:val="bottom"/>
            </w:pPr>
            <w:r>
              <w:rPr>
                <w:rFonts w:ascii="Arial" w:eastAsia="宋体" w:hAnsi="Arial" w:cs="Arial"/>
                <w:b/>
                <w:bCs/>
                <w:color w:val="000000"/>
                <w:sz w:val="16"/>
                <w:szCs w:val="16"/>
              </w:rPr>
              <w:t>($8,462)</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EB2" w14:textId="77777777" w:rsidR="00833634" w:rsidRDefault="00833634">
            <w:pPr>
              <w:jc w:val="right"/>
              <w:rPr>
                <w:rFonts w:ascii="宋体"/>
              </w:rPr>
            </w:pPr>
          </w:p>
        </w:tc>
      </w:tr>
      <w:tr w:rsidR="00833634" w14:paraId="4090DEBF"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EB4" w14:textId="77777777" w:rsidR="00833634" w:rsidRDefault="00E15D51">
            <w:pPr>
              <w:ind w:hanging="90"/>
              <w:textAlignment w:val="bottom"/>
            </w:pPr>
            <w:r>
              <w:rPr>
                <w:rFonts w:ascii="Arial" w:eastAsia="宋体" w:hAnsi="Arial" w:cs="Arial"/>
                <w:b/>
                <w:bCs/>
                <w:color w:val="000000"/>
                <w:sz w:val="16"/>
                <w:szCs w:val="16"/>
              </w:rPr>
              <w:t>Net loss</w:t>
            </w:r>
          </w:p>
        </w:tc>
        <w:tc>
          <w:tcPr>
            <w:tcW w:w="0" w:type="auto"/>
            <w:gridSpan w:val="3"/>
            <w:tcBorders>
              <w:top w:val="single" w:sz="8" w:space="0" w:color="000000"/>
            </w:tcBorders>
            <w:shd w:val="clear" w:color="auto" w:fill="CCEEFF"/>
            <w:tcMar>
              <w:top w:w="0" w:type="dxa"/>
              <w:left w:w="20" w:type="dxa"/>
              <w:bottom w:w="0" w:type="dxa"/>
              <w:right w:w="20" w:type="dxa"/>
            </w:tcMar>
          </w:tcPr>
          <w:p w14:paraId="4090DEB5"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EB6"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EB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EB8" w14:textId="77777777" w:rsidR="00833634" w:rsidRDefault="00E15D51">
            <w:pPr>
              <w:jc w:val="right"/>
              <w:textAlignment w:val="bottom"/>
            </w:pPr>
            <w:r>
              <w:rPr>
                <w:rFonts w:ascii="Arial" w:eastAsia="宋体" w:hAnsi="Arial" w:cs="Arial"/>
                <w:b/>
                <w:bCs/>
                <w:color w:val="000000"/>
                <w:sz w:val="16"/>
                <w:szCs w:val="16"/>
              </w:rPr>
              <w:t>(3,453)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EB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EB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EBB" w14:textId="77777777" w:rsidR="00833634" w:rsidRDefault="00E15D51">
            <w:pPr>
              <w:jc w:val="right"/>
              <w:textAlignment w:val="bottom"/>
            </w:pPr>
            <w:r>
              <w:rPr>
                <w:rFonts w:ascii="Arial" w:eastAsia="宋体" w:hAnsi="Arial" w:cs="Arial"/>
                <w:b/>
                <w:bCs/>
                <w:color w:val="000000"/>
                <w:sz w:val="16"/>
                <w:szCs w:val="16"/>
              </w:rPr>
              <w:t>(49)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EBC"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EBD" w14:textId="77777777" w:rsidR="00833634" w:rsidRDefault="00E15D51">
            <w:pPr>
              <w:jc w:val="right"/>
              <w:textAlignment w:val="bottom"/>
            </w:pPr>
            <w:r>
              <w:rPr>
                <w:rFonts w:ascii="Arial" w:eastAsia="宋体" w:hAnsi="Arial" w:cs="Arial"/>
                <w:b/>
                <w:bCs/>
                <w:color w:val="000000"/>
                <w:sz w:val="16"/>
                <w:szCs w:val="16"/>
              </w:rPr>
              <w:t>(3,502)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EBE" w14:textId="77777777" w:rsidR="00833634" w:rsidRDefault="00833634">
            <w:pPr>
              <w:jc w:val="right"/>
              <w:rPr>
                <w:rFonts w:ascii="宋体"/>
              </w:rPr>
            </w:pPr>
          </w:p>
        </w:tc>
      </w:tr>
      <w:tr w:rsidR="00833634" w14:paraId="4090DECA" w14:textId="77777777">
        <w:trPr>
          <w:jc w:val="center"/>
        </w:trPr>
        <w:tc>
          <w:tcPr>
            <w:tcW w:w="0" w:type="auto"/>
            <w:gridSpan w:val="3"/>
            <w:shd w:val="clear" w:color="auto" w:fill="FFFFFF"/>
            <w:tcMar>
              <w:top w:w="40" w:type="dxa"/>
              <w:left w:w="20" w:type="dxa"/>
              <w:bottom w:w="40" w:type="dxa"/>
              <w:right w:w="20" w:type="dxa"/>
            </w:tcMar>
            <w:vAlign w:val="bottom"/>
          </w:tcPr>
          <w:p w14:paraId="4090DEC0" w14:textId="77777777" w:rsidR="00833634" w:rsidRDefault="00E15D51">
            <w:pPr>
              <w:ind w:hanging="180"/>
              <w:textAlignment w:val="bottom"/>
            </w:pPr>
            <w:r>
              <w:rPr>
                <w:rFonts w:ascii="Arial" w:eastAsia="宋体" w:hAnsi="Arial" w:cs="Arial"/>
                <w:b/>
                <w:bCs/>
                <w:color w:val="000000"/>
                <w:sz w:val="16"/>
                <w:szCs w:val="16"/>
              </w:rPr>
              <w:t>Other co</w:t>
            </w:r>
            <w:r>
              <w:rPr>
                <w:rFonts w:ascii="Arial" w:eastAsia="宋体" w:hAnsi="Arial" w:cs="Arial"/>
                <w:b/>
                <w:bCs/>
                <w:color w:val="000000"/>
                <w:sz w:val="16"/>
                <w:szCs w:val="16"/>
              </w:rPr>
              <w:t>mprehensive income, net of tax of ($118)</w:t>
            </w:r>
          </w:p>
        </w:tc>
        <w:tc>
          <w:tcPr>
            <w:tcW w:w="0" w:type="auto"/>
            <w:gridSpan w:val="3"/>
            <w:shd w:val="clear" w:color="auto" w:fill="FFFFFF"/>
            <w:tcMar>
              <w:top w:w="0" w:type="dxa"/>
              <w:left w:w="20" w:type="dxa"/>
              <w:bottom w:w="0" w:type="dxa"/>
              <w:right w:w="20" w:type="dxa"/>
            </w:tcMar>
          </w:tcPr>
          <w:p w14:paraId="4090DEC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C2"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C3"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C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C5" w14:textId="77777777" w:rsidR="00833634" w:rsidRDefault="00E15D51">
            <w:pPr>
              <w:jc w:val="right"/>
              <w:textAlignment w:val="bottom"/>
            </w:pPr>
            <w:r>
              <w:rPr>
                <w:rFonts w:ascii="Arial" w:eastAsia="宋体" w:hAnsi="Arial" w:cs="Arial"/>
                <w:b/>
                <w:bCs/>
                <w:color w:val="000000"/>
                <w:sz w:val="16"/>
                <w:szCs w:val="16"/>
              </w:rPr>
              <w:t>374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DEC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EC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C8" w14:textId="77777777" w:rsidR="00833634" w:rsidRDefault="00E15D51">
            <w:pPr>
              <w:jc w:val="right"/>
              <w:textAlignment w:val="bottom"/>
            </w:pPr>
            <w:r>
              <w:rPr>
                <w:rFonts w:ascii="Arial" w:eastAsia="宋体" w:hAnsi="Arial" w:cs="Arial"/>
                <w:b/>
                <w:bCs/>
                <w:color w:val="000000"/>
                <w:sz w:val="16"/>
                <w:szCs w:val="16"/>
              </w:rPr>
              <w:t>374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DEC9" w14:textId="77777777" w:rsidR="00833634" w:rsidRDefault="00833634">
            <w:pPr>
              <w:jc w:val="right"/>
              <w:rPr>
                <w:rFonts w:ascii="宋体"/>
              </w:rPr>
            </w:pPr>
          </w:p>
        </w:tc>
      </w:tr>
      <w:tr w:rsidR="00833634" w14:paraId="4090DED5" w14:textId="77777777">
        <w:trPr>
          <w:jc w:val="center"/>
        </w:trPr>
        <w:tc>
          <w:tcPr>
            <w:tcW w:w="0" w:type="auto"/>
            <w:gridSpan w:val="3"/>
            <w:shd w:val="clear" w:color="auto" w:fill="CCEEFF"/>
            <w:tcMar>
              <w:top w:w="40" w:type="dxa"/>
              <w:left w:w="20" w:type="dxa"/>
              <w:bottom w:w="40" w:type="dxa"/>
              <w:right w:w="20" w:type="dxa"/>
            </w:tcMar>
            <w:vAlign w:val="bottom"/>
          </w:tcPr>
          <w:p w14:paraId="4090DECB" w14:textId="77777777" w:rsidR="00833634" w:rsidRDefault="00E15D51">
            <w:pPr>
              <w:ind w:hanging="180"/>
              <w:textAlignment w:val="bottom"/>
            </w:pPr>
            <w:r>
              <w:rPr>
                <w:rFonts w:ascii="Arial" w:eastAsia="宋体" w:hAnsi="Arial" w:cs="Arial"/>
                <w:b/>
                <w:bCs/>
                <w:color w:val="000000"/>
                <w:sz w:val="16"/>
                <w:szCs w:val="16"/>
              </w:rPr>
              <w:t>Share-based compensation and related dividend equivalents</w:t>
            </w:r>
          </w:p>
        </w:tc>
        <w:tc>
          <w:tcPr>
            <w:tcW w:w="0" w:type="auto"/>
            <w:gridSpan w:val="3"/>
            <w:shd w:val="clear" w:color="auto" w:fill="CCEEFF"/>
            <w:tcMar>
              <w:top w:w="0" w:type="dxa"/>
              <w:left w:w="20" w:type="dxa"/>
              <w:bottom w:w="0" w:type="dxa"/>
              <w:right w:w="20" w:type="dxa"/>
            </w:tcMar>
          </w:tcPr>
          <w:p w14:paraId="4090DEC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CD" w14:textId="77777777" w:rsidR="00833634" w:rsidRDefault="00E15D51">
            <w:pPr>
              <w:jc w:val="right"/>
              <w:textAlignment w:val="bottom"/>
            </w:pPr>
            <w:r>
              <w:rPr>
                <w:rFonts w:ascii="Arial" w:eastAsia="宋体" w:hAnsi="Arial" w:cs="Arial"/>
                <w:b/>
                <w:bCs/>
                <w:color w:val="000000"/>
                <w:sz w:val="16"/>
                <w:szCs w:val="16"/>
              </w:rPr>
              <w:t>165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DEC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EC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D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D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D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D3" w14:textId="77777777" w:rsidR="00833634" w:rsidRDefault="00E15D51">
            <w:pPr>
              <w:jc w:val="right"/>
              <w:textAlignment w:val="bottom"/>
            </w:pPr>
            <w:r>
              <w:rPr>
                <w:rFonts w:ascii="Arial" w:eastAsia="宋体" w:hAnsi="Arial" w:cs="Arial"/>
                <w:b/>
                <w:bCs/>
                <w:color w:val="000000"/>
                <w:sz w:val="16"/>
                <w:szCs w:val="16"/>
              </w:rPr>
              <w:t>165</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DED4" w14:textId="77777777" w:rsidR="00833634" w:rsidRDefault="00833634">
            <w:pPr>
              <w:jc w:val="right"/>
              <w:rPr>
                <w:rFonts w:ascii="宋体"/>
              </w:rPr>
            </w:pPr>
          </w:p>
        </w:tc>
      </w:tr>
      <w:tr w:rsidR="00833634" w14:paraId="4090DEDE" w14:textId="77777777">
        <w:trPr>
          <w:jc w:val="center"/>
          <w:hidden/>
        </w:trPr>
        <w:tc>
          <w:tcPr>
            <w:tcW w:w="0" w:type="auto"/>
            <w:gridSpan w:val="3"/>
            <w:shd w:val="clear" w:color="auto" w:fill="auto"/>
          </w:tcPr>
          <w:p w14:paraId="4090DED6" w14:textId="77777777" w:rsidR="00833634" w:rsidRDefault="00833634">
            <w:pPr>
              <w:rPr>
                <w:rFonts w:ascii="宋体"/>
                <w:vanish/>
              </w:rPr>
            </w:pPr>
          </w:p>
        </w:tc>
        <w:tc>
          <w:tcPr>
            <w:tcW w:w="0" w:type="auto"/>
            <w:gridSpan w:val="3"/>
            <w:shd w:val="clear" w:color="auto" w:fill="auto"/>
          </w:tcPr>
          <w:p w14:paraId="4090DED7" w14:textId="77777777" w:rsidR="00833634" w:rsidRDefault="00833634">
            <w:pPr>
              <w:rPr>
                <w:rFonts w:ascii="宋体"/>
                <w:vanish/>
              </w:rPr>
            </w:pPr>
          </w:p>
        </w:tc>
        <w:tc>
          <w:tcPr>
            <w:tcW w:w="0" w:type="auto"/>
            <w:gridSpan w:val="3"/>
            <w:shd w:val="clear" w:color="auto" w:fill="auto"/>
          </w:tcPr>
          <w:p w14:paraId="4090DED8" w14:textId="77777777" w:rsidR="00833634" w:rsidRDefault="00833634">
            <w:pPr>
              <w:rPr>
                <w:rFonts w:ascii="宋体"/>
                <w:vanish/>
              </w:rPr>
            </w:pPr>
          </w:p>
        </w:tc>
        <w:tc>
          <w:tcPr>
            <w:tcW w:w="0" w:type="auto"/>
            <w:gridSpan w:val="3"/>
            <w:shd w:val="clear" w:color="auto" w:fill="auto"/>
          </w:tcPr>
          <w:p w14:paraId="4090DED9" w14:textId="77777777" w:rsidR="00833634" w:rsidRDefault="00833634">
            <w:pPr>
              <w:rPr>
                <w:rFonts w:ascii="宋体"/>
                <w:vanish/>
              </w:rPr>
            </w:pPr>
          </w:p>
        </w:tc>
        <w:tc>
          <w:tcPr>
            <w:tcW w:w="0" w:type="auto"/>
            <w:gridSpan w:val="3"/>
            <w:shd w:val="clear" w:color="auto" w:fill="auto"/>
          </w:tcPr>
          <w:p w14:paraId="4090DEDA" w14:textId="77777777" w:rsidR="00833634" w:rsidRDefault="00833634">
            <w:pPr>
              <w:rPr>
                <w:rFonts w:ascii="宋体"/>
                <w:vanish/>
              </w:rPr>
            </w:pPr>
          </w:p>
        </w:tc>
        <w:tc>
          <w:tcPr>
            <w:tcW w:w="0" w:type="auto"/>
            <w:gridSpan w:val="3"/>
            <w:shd w:val="clear" w:color="auto" w:fill="auto"/>
          </w:tcPr>
          <w:p w14:paraId="4090DEDB" w14:textId="77777777" w:rsidR="00833634" w:rsidRDefault="00833634">
            <w:pPr>
              <w:rPr>
                <w:rFonts w:ascii="宋体"/>
                <w:vanish/>
              </w:rPr>
            </w:pPr>
          </w:p>
        </w:tc>
        <w:tc>
          <w:tcPr>
            <w:tcW w:w="0" w:type="auto"/>
            <w:gridSpan w:val="3"/>
            <w:shd w:val="clear" w:color="auto" w:fill="auto"/>
          </w:tcPr>
          <w:p w14:paraId="4090DEDC" w14:textId="77777777" w:rsidR="00833634" w:rsidRDefault="00833634">
            <w:pPr>
              <w:rPr>
                <w:rFonts w:ascii="宋体"/>
                <w:vanish/>
              </w:rPr>
            </w:pPr>
          </w:p>
        </w:tc>
        <w:tc>
          <w:tcPr>
            <w:tcW w:w="0" w:type="auto"/>
            <w:gridSpan w:val="3"/>
            <w:shd w:val="clear" w:color="auto" w:fill="auto"/>
          </w:tcPr>
          <w:p w14:paraId="4090DEDD" w14:textId="77777777" w:rsidR="00833634" w:rsidRDefault="00833634">
            <w:pPr>
              <w:rPr>
                <w:rFonts w:ascii="宋体"/>
                <w:vanish/>
              </w:rPr>
            </w:pPr>
          </w:p>
        </w:tc>
      </w:tr>
      <w:tr w:rsidR="00833634" w14:paraId="4090DEEA" w14:textId="77777777">
        <w:trPr>
          <w:jc w:val="center"/>
        </w:trPr>
        <w:tc>
          <w:tcPr>
            <w:tcW w:w="0" w:type="auto"/>
            <w:gridSpan w:val="3"/>
            <w:shd w:val="clear" w:color="auto" w:fill="FFFFFF"/>
            <w:tcMar>
              <w:top w:w="40" w:type="dxa"/>
              <w:left w:w="20" w:type="dxa"/>
              <w:bottom w:w="40" w:type="dxa"/>
              <w:right w:w="20" w:type="dxa"/>
            </w:tcMar>
            <w:vAlign w:val="bottom"/>
          </w:tcPr>
          <w:p w14:paraId="4090DEDF" w14:textId="77777777" w:rsidR="00833634" w:rsidRDefault="00E15D51">
            <w:pPr>
              <w:ind w:hanging="180"/>
              <w:textAlignment w:val="bottom"/>
            </w:pPr>
            <w:r>
              <w:rPr>
                <w:rFonts w:ascii="Arial" w:eastAsia="宋体" w:hAnsi="Arial" w:cs="Arial"/>
                <w:b/>
                <w:bCs/>
                <w:color w:val="000000"/>
                <w:sz w:val="16"/>
                <w:szCs w:val="16"/>
              </w:rPr>
              <w:t>Treasury shares issued for stock options exercised, net</w:t>
            </w:r>
          </w:p>
        </w:tc>
        <w:tc>
          <w:tcPr>
            <w:tcW w:w="0" w:type="auto"/>
            <w:gridSpan w:val="3"/>
            <w:shd w:val="clear" w:color="auto" w:fill="FFFFFF"/>
            <w:tcMar>
              <w:top w:w="0" w:type="dxa"/>
              <w:left w:w="20" w:type="dxa"/>
              <w:bottom w:w="0" w:type="dxa"/>
              <w:right w:w="20" w:type="dxa"/>
            </w:tcMar>
          </w:tcPr>
          <w:p w14:paraId="4090DEE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E1" w14:textId="77777777" w:rsidR="00833634" w:rsidRDefault="00E15D51">
            <w:pPr>
              <w:jc w:val="right"/>
              <w:textAlignment w:val="bottom"/>
            </w:pPr>
            <w:r>
              <w:rPr>
                <w:rFonts w:ascii="Arial" w:eastAsia="宋体" w:hAnsi="Arial" w:cs="Arial"/>
                <w:b/>
                <w:bCs/>
                <w:color w:val="000000"/>
                <w:sz w:val="16"/>
                <w:szCs w:val="16"/>
              </w:rPr>
              <w:t>(22)</w:t>
            </w:r>
          </w:p>
        </w:tc>
        <w:tc>
          <w:tcPr>
            <w:tcW w:w="0" w:type="auto"/>
            <w:shd w:val="clear" w:color="auto" w:fill="FFFFFF"/>
            <w:tcMar>
              <w:top w:w="40" w:type="dxa"/>
              <w:left w:w="0" w:type="dxa"/>
              <w:bottom w:w="40" w:type="dxa"/>
              <w:right w:w="20" w:type="dxa"/>
            </w:tcMar>
            <w:vAlign w:val="bottom"/>
          </w:tcPr>
          <w:p w14:paraId="4090DEE2"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DEE3" w14:textId="77777777" w:rsidR="00833634" w:rsidRDefault="00E15D51">
            <w:pPr>
              <w:jc w:val="right"/>
              <w:textAlignment w:val="bottom"/>
            </w:pPr>
            <w:r>
              <w:rPr>
                <w:rFonts w:ascii="Arial" w:eastAsia="宋体" w:hAnsi="Arial" w:cs="Arial"/>
                <w:b/>
                <w:bCs/>
                <w:color w:val="000000"/>
                <w:sz w:val="16"/>
                <w:szCs w:val="16"/>
              </w:rPr>
              <w:t>53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DEE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EE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E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EE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EE8" w14:textId="77777777" w:rsidR="00833634" w:rsidRDefault="00E15D51">
            <w:pPr>
              <w:jc w:val="right"/>
              <w:textAlignment w:val="bottom"/>
            </w:pPr>
            <w:r>
              <w:rPr>
                <w:rFonts w:ascii="Arial" w:eastAsia="宋体" w:hAnsi="Arial" w:cs="Arial"/>
                <w:b/>
                <w:bCs/>
                <w:color w:val="000000"/>
                <w:sz w:val="16"/>
                <w:szCs w:val="16"/>
              </w:rPr>
              <w:t>31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DEE9" w14:textId="77777777" w:rsidR="00833634" w:rsidRDefault="00833634">
            <w:pPr>
              <w:jc w:val="right"/>
              <w:rPr>
                <w:rFonts w:ascii="宋体"/>
              </w:rPr>
            </w:pPr>
          </w:p>
        </w:tc>
      </w:tr>
      <w:tr w:rsidR="00833634" w14:paraId="4090DEF5" w14:textId="77777777">
        <w:trPr>
          <w:jc w:val="center"/>
        </w:trPr>
        <w:tc>
          <w:tcPr>
            <w:tcW w:w="0" w:type="auto"/>
            <w:gridSpan w:val="3"/>
            <w:shd w:val="clear" w:color="auto" w:fill="CCEEFF"/>
            <w:tcMar>
              <w:top w:w="40" w:type="dxa"/>
              <w:left w:w="20" w:type="dxa"/>
              <w:bottom w:w="40" w:type="dxa"/>
              <w:right w:w="20" w:type="dxa"/>
            </w:tcMar>
            <w:vAlign w:val="bottom"/>
          </w:tcPr>
          <w:p w14:paraId="4090DEEB" w14:textId="77777777" w:rsidR="00833634" w:rsidRDefault="00E15D51">
            <w:pPr>
              <w:ind w:hanging="180"/>
              <w:textAlignment w:val="bottom"/>
            </w:pPr>
            <w:r>
              <w:rPr>
                <w:rFonts w:ascii="Arial" w:eastAsia="宋体" w:hAnsi="Arial" w:cs="Arial"/>
                <w:b/>
                <w:bCs/>
                <w:color w:val="000000"/>
                <w:sz w:val="16"/>
                <w:szCs w:val="16"/>
              </w:rPr>
              <w:t xml:space="preserve">Treasury shares issued for </w:t>
            </w:r>
            <w:r>
              <w:rPr>
                <w:rFonts w:ascii="Arial" w:eastAsia="宋体" w:hAnsi="Arial" w:cs="Arial"/>
                <w:b/>
                <w:bCs/>
                <w:color w:val="000000"/>
                <w:sz w:val="16"/>
                <w:szCs w:val="16"/>
              </w:rPr>
              <w:t>other share-based plans, net</w:t>
            </w:r>
          </w:p>
        </w:tc>
        <w:tc>
          <w:tcPr>
            <w:tcW w:w="0" w:type="auto"/>
            <w:gridSpan w:val="3"/>
            <w:shd w:val="clear" w:color="auto" w:fill="CCEEFF"/>
            <w:tcMar>
              <w:top w:w="0" w:type="dxa"/>
              <w:left w:w="20" w:type="dxa"/>
              <w:bottom w:w="0" w:type="dxa"/>
              <w:right w:w="20" w:type="dxa"/>
            </w:tcMar>
          </w:tcPr>
          <w:p w14:paraId="4090DEE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ED" w14:textId="77777777" w:rsidR="00833634" w:rsidRDefault="00E15D51">
            <w:pPr>
              <w:jc w:val="right"/>
              <w:textAlignment w:val="bottom"/>
            </w:pPr>
            <w:r>
              <w:rPr>
                <w:rFonts w:ascii="Arial" w:eastAsia="宋体" w:hAnsi="Arial" w:cs="Arial"/>
                <w:b/>
                <w:bCs/>
                <w:color w:val="000000"/>
                <w:sz w:val="16"/>
                <w:szCs w:val="16"/>
              </w:rPr>
              <w:t>(201)</w:t>
            </w:r>
          </w:p>
        </w:tc>
        <w:tc>
          <w:tcPr>
            <w:tcW w:w="0" w:type="auto"/>
            <w:shd w:val="clear" w:color="auto" w:fill="CCEEFF"/>
            <w:tcMar>
              <w:top w:w="40" w:type="dxa"/>
              <w:left w:w="0" w:type="dxa"/>
              <w:bottom w:w="40" w:type="dxa"/>
              <w:right w:w="20" w:type="dxa"/>
            </w:tcMar>
            <w:vAlign w:val="bottom"/>
          </w:tcPr>
          <w:p w14:paraId="4090DEEE" w14:textId="77777777" w:rsidR="00833634" w:rsidRDefault="00833634">
            <w:pPr>
              <w:jc w:val="right"/>
              <w:rPr>
                <w:rFonts w:ascii="宋体"/>
              </w:rPr>
            </w:pPr>
          </w:p>
        </w:tc>
        <w:tc>
          <w:tcPr>
            <w:tcW w:w="0" w:type="auto"/>
            <w:gridSpan w:val="3"/>
            <w:shd w:val="clear" w:color="auto" w:fill="CCEEFF"/>
            <w:tcMar>
              <w:top w:w="40" w:type="dxa"/>
              <w:left w:w="20" w:type="dxa"/>
              <w:bottom w:w="40" w:type="dxa"/>
              <w:right w:w="20" w:type="dxa"/>
            </w:tcMar>
            <w:vAlign w:val="bottom"/>
          </w:tcPr>
          <w:p w14:paraId="4090DEEF" w14:textId="77777777" w:rsidR="00833634" w:rsidRDefault="00E15D51">
            <w:pPr>
              <w:jc w:val="right"/>
              <w:textAlignment w:val="bottom"/>
            </w:pPr>
            <w:r>
              <w:rPr>
                <w:rFonts w:ascii="Arial" w:eastAsia="宋体" w:hAnsi="Arial" w:cs="Arial"/>
                <w:b/>
                <w:bCs/>
                <w:color w:val="000000"/>
                <w:sz w:val="16"/>
                <w:szCs w:val="16"/>
              </w:rPr>
              <w:t>42</w:t>
            </w:r>
          </w:p>
        </w:tc>
        <w:tc>
          <w:tcPr>
            <w:tcW w:w="0" w:type="auto"/>
            <w:gridSpan w:val="3"/>
            <w:shd w:val="clear" w:color="auto" w:fill="CCEEFF"/>
            <w:tcMar>
              <w:top w:w="0" w:type="dxa"/>
              <w:left w:w="20" w:type="dxa"/>
              <w:bottom w:w="0" w:type="dxa"/>
              <w:right w:w="20" w:type="dxa"/>
            </w:tcMar>
          </w:tcPr>
          <w:p w14:paraId="4090DEF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F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EF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EF3" w14:textId="77777777" w:rsidR="00833634" w:rsidRDefault="00E15D51">
            <w:pPr>
              <w:jc w:val="right"/>
              <w:textAlignment w:val="bottom"/>
            </w:pPr>
            <w:r>
              <w:rPr>
                <w:rFonts w:ascii="Arial" w:eastAsia="宋体" w:hAnsi="Arial" w:cs="Arial"/>
                <w:b/>
                <w:bCs/>
                <w:color w:val="000000"/>
                <w:sz w:val="16"/>
                <w:szCs w:val="16"/>
              </w:rPr>
              <w:t>(159)</w:t>
            </w:r>
          </w:p>
        </w:tc>
        <w:tc>
          <w:tcPr>
            <w:tcW w:w="0" w:type="auto"/>
            <w:shd w:val="clear" w:color="auto" w:fill="CCEEFF"/>
            <w:tcMar>
              <w:top w:w="40" w:type="dxa"/>
              <w:left w:w="0" w:type="dxa"/>
              <w:bottom w:w="40" w:type="dxa"/>
              <w:right w:w="20" w:type="dxa"/>
            </w:tcMar>
            <w:vAlign w:val="bottom"/>
          </w:tcPr>
          <w:p w14:paraId="4090DEF4" w14:textId="77777777" w:rsidR="00833634" w:rsidRDefault="00833634">
            <w:pPr>
              <w:jc w:val="right"/>
              <w:rPr>
                <w:rFonts w:ascii="宋体"/>
              </w:rPr>
            </w:pPr>
          </w:p>
        </w:tc>
      </w:tr>
      <w:tr w:rsidR="00833634" w14:paraId="4090DEFE" w14:textId="77777777">
        <w:trPr>
          <w:jc w:val="center"/>
          <w:hidden/>
        </w:trPr>
        <w:tc>
          <w:tcPr>
            <w:tcW w:w="0" w:type="auto"/>
            <w:gridSpan w:val="3"/>
            <w:shd w:val="clear" w:color="auto" w:fill="auto"/>
          </w:tcPr>
          <w:p w14:paraId="4090DEF6" w14:textId="77777777" w:rsidR="00833634" w:rsidRDefault="00833634">
            <w:pPr>
              <w:rPr>
                <w:rFonts w:ascii="宋体"/>
                <w:vanish/>
              </w:rPr>
            </w:pPr>
          </w:p>
        </w:tc>
        <w:tc>
          <w:tcPr>
            <w:tcW w:w="0" w:type="auto"/>
            <w:gridSpan w:val="3"/>
            <w:shd w:val="clear" w:color="auto" w:fill="auto"/>
          </w:tcPr>
          <w:p w14:paraId="4090DEF7" w14:textId="77777777" w:rsidR="00833634" w:rsidRDefault="00833634">
            <w:pPr>
              <w:rPr>
                <w:rFonts w:ascii="宋体"/>
                <w:vanish/>
              </w:rPr>
            </w:pPr>
          </w:p>
        </w:tc>
        <w:tc>
          <w:tcPr>
            <w:tcW w:w="0" w:type="auto"/>
            <w:gridSpan w:val="3"/>
            <w:shd w:val="clear" w:color="auto" w:fill="auto"/>
          </w:tcPr>
          <w:p w14:paraId="4090DEF8" w14:textId="77777777" w:rsidR="00833634" w:rsidRDefault="00833634">
            <w:pPr>
              <w:rPr>
                <w:rFonts w:ascii="宋体"/>
                <w:vanish/>
              </w:rPr>
            </w:pPr>
          </w:p>
        </w:tc>
        <w:tc>
          <w:tcPr>
            <w:tcW w:w="0" w:type="auto"/>
            <w:gridSpan w:val="3"/>
            <w:shd w:val="clear" w:color="auto" w:fill="auto"/>
          </w:tcPr>
          <w:p w14:paraId="4090DEF9" w14:textId="77777777" w:rsidR="00833634" w:rsidRDefault="00833634">
            <w:pPr>
              <w:rPr>
                <w:rFonts w:ascii="宋体"/>
                <w:vanish/>
              </w:rPr>
            </w:pPr>
          </w:p>
        </w:tc>
        <w:tc>
          <w:tcPr>
            <w:tcW w:w="0" w:type="auto"/>
            <w:gridSpan w:val="3"/>
            <w:shd w:val="clear" w:color="auto" w:fill="auto"/>
          </w:tcPr>
          <w:p w14:paraId="4090DEFA" w14:textId="77777777" w:rsidR="00833634" w:rsidRDefault="00833634">
            <w:pPr>
              <w:rPr>
                <w:rFonts w:ascii="宋体"/>
                <w:vanish/>
              </w:rPr>
            </w:pPr>
          </w:p>
        </w:tc>
        <w:tc>
          <w:tcPr>
            <w:tcW w:w="0" w:type="auto"/>
            <w:gridSpan w:val="3"/>
            <w:shd w:val="clear" w:color="auto" w:fill="auto"/>
          </w:tcPr>
          <w:p w14:paraId="4090DEFB" w14:textId="77777777" w:rsidR="00833634" w:rsidRDefault="00833634">
            <w:pPr>
              <w:rPr>
                <w:rFonts w:ascii="宋体"/>
                <w:vanish/>
              </w:rPr>
            </w:pPr>
          </w:p>
        </w:tc>
        <w:tc>
          <w:tcPr>
            <w:tcW w:w="0" w:type="auto"/>
            <w:gridSpan w:val="3"/>
            <w:shd w:val="clear" w:color="auto" w:fill="auto"/>
          </w:tcPr>
          <w:p w14:paraId="4090DEFC" w14:textId="77777777" w:rsidR="00833634" w:rsidRDefault="00833634">
            <w:pPr>
              <w:rPr>
                <w:rFonts w:ascii="宋体"/>
                <w:vanish/>
              </w:rPr>
            </w:pPr>
          </w:p>
        </w:tc>
        <w:tc>
          <w:tcPr>
            <w:tcW w:w="0" w:type="auto"/>
            <w:gridSpan w:val="3"/>
            <w:shd w:val="clear" w:color="auto" w:fill="auto"/>
          </w:tcPr>
          <w:p w14:paraId="4090DEFD" w14:textId="77777777" w:rsidR="00833634" w:rsidRDefault="00833634">
            <w:pPr>
              <w:rPr>
                <w:rFonts w:ascii="宋体"/>
                <w:vanish/>
              </w:rPr>
            </w:pPr>
          </w:p>
        </w:tc>
      </w:tr>
      <w:tr w:rsidR="00833634" w14:paraId="4090DF07" w14:textId="77777777">
        <w:trPr>
          <w:jc w:val="center"/>
          <w:hidden/>
        </w:trPr>
        <w:tc>
          <w:tcPr>
            <w:tcW w:w="0" w:type="auto"/>
            <w:gridSpan w:val="3"/>
            <w:shd w:val="clear" w:color="auto" w:fill="auto"/>
          </w:tcPr>
          <w:p w14:paraId="4090DEFF" w14:textId="77777777" w:rsidR="00833634" w:rsidRDefault="00833634">
            <w:pPr>
              <w:rPr>
                <w:rFonts w:ascii="宋体"/>
                <w:vanish/>
              </w:rPr>
            </w:pPr>
          </w:p>
        </w:tc>
        <w:tc>
          <w:tcPr>
            <w:tcW w:w="0" w:type="auto"/>
            <w:gridSpan w:val="3"/>
            <w:shd w:val="clear" w:color="auto" w:fill="auto"/>
          </w:tcPr>
          <w:p w14:paraId="4090DF00" w14:textId="77777777" w:rsidR="00833634" w:rsidRDefault="00833634">
            <w:pPr>
              <w:rPr>
                <w:rFonts w:ascii="宋体"/>
                <w:vanish/>
              </w:rPr>
            </w:pPr>
          </w:p>
        </w:tc>
        <w:tc>
          <w:tcPr>
            <w:tcW w:w="0" w:type="auto"/>
            <w:gridSpan w:val="3"/>
            <w:shd w:val="clear" w:color="auto" w:fill="auto"/>
          </w:tcPr>
          <w:p w14:paraId="4090DF01" w14:textId="77777777" w:rsidR="00833634" w:rsidRDefault="00833634">
            <w:pPr>
              <w:rPr>
                <w:rFonts w:ascii="宋体"/>
                <w:vanish/>
              </w:rPr>
            </w:pPr>
          </w:p>
        </w:tc>
        <w:tc>
          <w:tcPr>
            <w:tcW w:w="0" w:type="auto"/>
            <w:gridSpan w:val="3"/>
            <w:shd w:val="clear" w:color="auto" w:fill="auto"/>
          </w:tcPr>
          <w:p w14:paraId="4090DF02" w14:textId="77777777" w:rsidR="00833634" w:rsidRDefault="00833634">
            <w:pPr>
              <w:rPr>
                <w:rFonts w:ascii="宋体"/>
                <w:vanish/>
              </w:rPr>
            </w:pPr>
          </w:p>
        </w:tc>
        <w:tc>
          <w:tcPr>
            <w:tcW w:w="0" w:type="auto"/>
            <w:gridSpan w:val="3"/>
            <w:shd w:val="clear" w:color="auto" w:fill="auto"/>
          </w:tcPr>
          <w:p w14:paraId="4090DF03" w14:textId="77777777" w:rsidR="00833634" w:rsidRDefault="00833634">
            <w:pPr>
              <w:rPr>
                <w:rFonts w:ascii="宋体"/>
                <w:vanish/>
              </w:rPr>
            </w:pPr>
          </w:p>
        </w:tc>
        <w:tc>
          <w:tcPr>
            <w:tcW w:w="0" w:type="auto"/>
            <w:gridSpan w:val="3"/>
            <w:shd w:val="clear" w:color="auto" w:fill="auto"/>
          </w:tcPr>
          <w:p w14:paraId="4090DF04" w14:textId="77777777" w:rsidR="00833634" w:rsidRDefault="00833634">
            <w:pPr>
              <w:rPr>
                <w:rFonts w:ascii="宋体"/>
                <w:vanish/>
              </w:rPr>
            </w:pPr>
          </w:p>
        </w:tc>
        <w:tc>
          <w:tcPr>
            <w:tcW w:w="0" w:type="auto"/>
            <w:gridSpan w:val="3"/>
            <w:shd w:val="clear" w:color="auto" w:fill="auto"/>
          </w:tcPr>
          <w:p w14:paraId="4090DF05" w14:textId="77777777" w:rsidR="00833634" w:rsidRDefault="00833634">
            <w:pPr>
              <w:rPr>
                <w:rFonts w:ascii="宋体"/>
                <w:vanish/>
              </w:rPr>
            </w:pPr>
          </w:p>
        </w:tc>
        <w:tc>
          <w:tcPr>
            <w:tcW w:w="0" w:type="auto"/>
            <w:gridSpan w:val="3"/>
            <w:shd w:val="clear" w:color="auto" w:fill="auto"/>
          </w:tcPr>
          <w:p w14:paraId="4090DF06" w14:textId="77777777" w:rsidR="00833634" w:rsidRDefault="00833634">
            <w:pPr>
              <w:rPr>
                <w:rFonts w:ascii="宋体"/>
                <w:vanish/>
              </w:rPr>
            </w:pPr>
          </w:p>
        </w:tc>
      </w:tr>
      <w:tr w:rsidR="00833634" w14:paraId="4090DF10" w14:textId="77777777">
        <w:trPr>
          <w:jc w:val="center"/>
          <w:hidden/>
        </w:trPr>
        <w:tc>
          <w:tcPr>
            <w:tcW w:w="0" w:type="auto"/>
            <w:gridSpan w:val="3"/>
            <w:shd w:val="clear" w:color="auto" w:fill="auto"/>
          </w:tcPr>
          <w:p w14:paraId="4090DF08" w14:textId="77777777" w:rsidR="00833634" w:rsidRDefault="00833634">
            <w:pPr>
              <w:rPr>
                <w:rFonts w:ascii="宋体"/>
                <w:vanish/>
              </w:rPr>
            </w:pPr>
          </w:p>
        </w:tc>
        <w:tc>
          <w:tcPr>
            <w:tcW w:w="0" w:type="auto"/>
            <w:gridSpan w:val="3"/>
            <w:shd w:val="clear" w:color="auto" w:fill="auto"/>
          </w:tcPr>
          <w:p w14:paraId="4090DF09" w14:textId="77777777" w:rsidR="00833634" w:rsidRDefault="00833634">
            <w:pPr>
              <w:rPr>
                <w:rFonts w:ascii="宋体"/>
                <w:vanish/>
              </w:rPr>
            </w:pPr>
          </w:p>
        </w:tc>
        <w:tc>
          <w:tcPr>
            <w:tcW w:w="0" w:type="auto"/>
            <w:gridSpan w:val="3"/>
            <w:shd w:val="clear" w:color="auto" w:fill="auto"/>
          </w:tcPr>
          <w:p w14:paraId="4090DF0A" w14:textId="77777777" w:rsidR="00833634" w:rsidRDefault="00833634">
            <w:pPr>
              <w:rPr>
                <w:rFonts w:ascii="宋体"/>
                <w:vanish/>
              </w:rPr>
            </w:pPr>
          </w:p>
        </w:tc>
        <w:tc>
          <w:tcPr>
            <w:tcW w:w="0" w:type="auto"/>
            <w:gridSpan w:val="3"/>
            <w:shd w:val="clear" w:color="auto" w:fill="auto"/>
          </w:tcPr>
          <w:p w14:paraId="4090DF0B" w14:textId="77777777" w:rsidR="00833634" w:rsidRDefault="00833634">
            <w:pPr>
              <w:rPr>
                <w:rFonts w:ascii="宋体"/>
                <w:vanish/>
              </w:rPr>
            </w:pPr>
          </w:p>
        </w:tc>
        <w:tc>
          <w:tcPr>
            <w:tcW w:w="0" w:type="auto"/>
            <w:gridSpan w:val="3"/>
            <w:shd w:val="clear" w:color="auto" w:fill="auto"/>
          </w:tcPr>
          <w:p w14:paraId="4090DF0C" w14:textId="77777777" w:rsidR="00833634" w:rsidRDefault="00833634">
            <w:pPr>
              <w:rPr>
                <w:rFonts w:ascii="宋体"/>
                <w:vanish/>
              </w:rPr>
            </w:pPr>
          </w:p>
        </w:tc>
        <w:tc>
          <w:tcPr>
            <w:tcW w:w="0" w:type="auto"/>
            <w:gridSpan w:val="3"/>
            <w:shd w:val="clear" w:color="auto" w:fill="auto"/>
          </w:tcPr>
          <w:p w14:paraId="4090DF0D" w14:textId="77777777" w:rsidR="00833634" w:rsidRDefault="00833634">
            <w:pPr>
              <w:rPr>
                <w:rFonts w:ascii="宋体"/>
                <w:vanish/>
              </w:rPr>
            </w:pPr>
          </w:p>
        </w:tc>
        <w:tc>
          <w:tcPr>
            <w:tcW w:w="0" w:type="auto"/>
            <w:gridSpan w:val="3"/>
            <w:shd w:val="clear" w:color="auto" w:fill="auto"/>
          </w:tcPr>
          <w:p w14:paraId="4090DF0E" w14:textId="77777777" w:rsidR="00833634" w:rsidRDefault="00833634">
            <w:pPr>
              <w:rPr>
                <w:rFonts w:ascii="宋体"/>
                <w:vanish/>
              </w:rPr>
            </w:pPr>
          </w:p>
        </w:tc>
        <w:tc>
          <w:tcPr>
            <w:tcW w:w="0" w:type="auto"/>
            <w:gridSpan w:val="3"/>
            <w:shd w:val="clear" w:color="auto" w:fill="auto"/>
          </w:tcPr>
          <w:p w14:paraId="4090DF0F" w14:textId="77777777" w:rsidR="00833634" w:rsidRDefault="00833634">
            <w:pPr>
              <w:rPr>
                <w:rFonts w:ascii="宋体"/>
                <w:vanish/>
              </w:rPr>
            </w:pPr>
          </w:p>
        </w:tc>
      </w:tr>
      <w:tr w:rsidR="00833634" w14:paraId="4090DF19" w14:textId="77777777">
        <w:trPr>
          <w:jc w:val="center"/>
          <w:hidden/>
        </w:trPr>
        <w:tc>
          <w:tcPr>
            <w:tcW w:w="0" w:type="auto"/>
            <w:gridSpan w:val="3"/>
            <w:shd w:val="clear" w:color="auto" w:fill="auto"/>
          </w:tcPr>
          <w:p w14:paraId="4090DF11" w14:textId="77777777" w:rsidR="00833634" w:rsidRDefault="00833634">
            <w:pPr>
              <w:rPr>
                <w:rFonts w:ascii="宋体"/>
                <w:vanish/>
              </w:rPr>
            </w:pPr>
          </w:p>
        </w:tc>
        <w:tc>
          <w:tcPr>
            <w:tcW w:w="0" w:type="auto"/>
            <w:gridSpan w:val="3"/>
            <w:shd w:val="clear" w:color="auto" w:fill="auto"/>
          </w:tcPr>
          <w:p w14:paraId="4090DF12" w14:textId="77777777" w:rsidR="00833634" w:rsidRDefault="00833634">
            <w:pPr>
              <w:rPr>
                <w:rFonts w:ascii="宋体"/>
                <w:vanish/>
              </w:rPr>
            </w:pPr>
          </w:p>
        </w:tc>
        <w:tc>
          <w:tcPr>
            <w:tcW w:w="0" w:type="auto"/>
            <w:gridSpan w:val="3"/>
            <w:shd w:val="clear" w:color="auto" w:fill="auto"/>
          </w:tcPr>
          <w:p w14:paraId="4090DF13" w14:textId="77777777" w:rsidR="00833634" w:rsidRDefault="00833634">
            <w:pPr>
              <w:rPr>
                <w:rFonts w:ascii="宋体"/>
                <w:vanish/>
              </w:rPr>
            </w:pPr>
          </w:p>
        </w:tc>
        <w:tc>
          <w:tcPr>
            <w:tcW w:w="0" w:type="auto"/>
            <w:gridSpan w:val="3"/>
            <w:shd w:val="clear" w:color="auto" w:fill="auto"/>
          </w:tcPr>
          <w:p w14:paraId="4090DF14" w14:textId="77777777" w:rsidR="00833634" w:rsidRDefault="00833634">
            <w:pPr>
              <w:rPr>
                <w:rFonts w:ascii="宋体"/>
                <w:vanish/>
              </w:rPr>
            </w:pPr>
          </w:p>
        </w:tc>
        <w:tc>
          <w:tcPr>
            <w:tcW w:w="0" w:type="auto"/>
            <w:gridSpan w:val="3"/>
            <w:shd w:val="clear" w:color="auto" w:fill="auto"/>
          </w:tcPr>
          <w:p w14:paraId="4090DF15" w14:textId="77777777" w:rsidR="00833634" w:rsidRDefault="00833634">
            <w:pPr>
              <w:rPr>
                <w:rFonts w:ascii="宋体"/>
                <w:vanish/>
              </w:rPr>
            </w:pPr>
          </w:p>
        </w:tc>
        <w:tc>
          <w:tcPr>
            <w:tcW w:w="0" w:type="auto"/>
            <w:gridSpan w:val="3"/>
            <w:shd w:val="clear" w:color="auto" w:fill="auto"/>
          </w:tcPr>
          <w:p w14:paraId="4090DF16" w14:textId="77777777" w:rsidR="00833634" w:rsidRDefault="00833634">
            <w:pPr>
              <w:rPr>
                <w:rFonts w:ascii="宋体"/>
                <w:vanish/>
              </w:rPr>
            </w:pPr>
          </w:p>
        </w:tc>
        <w:tc>
          <w:tcPr>
            <w:tcW w:w="0" w:type="auto"/>
            <w:gridSpan w:val="3"/>
            <w:shd w:val="clear" w:color="auto" w:fill="auto"/>
          </w:tcPr>
          <w:p w14:paraId="4090DF17" w14:textId="77777777" w:rsidR="00833634" w:rsidRDefault="00833634">
            <w:pPr>
              <w:rPr>
                <w:rFonts w:ascii="宋体"/>
                <w:vanish/>
              </w:rPr>
            </w:pPr>
          </w:p>
        </w:tc>
        <w:tc>
          <w:tcPr>
            <w:tcW w:w="0" w:type="auto"/>
            <w:gridSpan w:val="3"/>
            <w:shd w:val="clear" w:color="auto" w:fill="auto"/>
          </w:tcPr>
          <w:p w14:paraId="4090DF18" w14:textId="77777777" w:rsidR="00833634" w:rsidRDefault="00833634">
            <w:pPr>
              <w:rPr>
                <w:rFonts w:ascii="宋体"/>
                <w:vanish/>
              </w:rPr>
            </w:pPr>
          </w:p>
        </w:tc>
      </w:tr>
      <w:tr w:rsidR="00833634" w14:paraId="4090DF29" w14:textId="77777777">
        <w:trPr>
          <w:jc w:val="center"/>
        </w:trPr>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DF1A" w14:textId="77777777" w:rsidR="00833634" w:rsidRDefault="00E15D51">
            <w:pPr>
              <w:textAlignment w:val="bottom"/>
            </w:pPr>
            <w:r>
              <w:rPr>
                <w:rFonts w:ascii="Arial" w:eastAsia="宋体" w:hAnsi="Arial" w:cs="Arial"/>
                <w:b/>
                <w:bCs/>
                <w:color w:val="000000"/>
                <w:sz w:val="16"/>
                <w:szCs w:val="16"/>
              </w:rPr>
              <w:t>Balance at September 30,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DF1B" w14:textId="77777777" w:rsidR="00833634" w:rsidRDefault="00E15D51">
            <w:pPr>
              <w:jc w:val="right"/>
              <w:textAlignment w:val="bottom"/>
            </w:pPr>
            <w:r>
              <w:rPr>
                <w:rFonts w:ascii="Arial" w:eastAsia="宋体" w:hAnsi="Arial" w:cs="Arial"/>
                <w:b/>
                <w:bCs/>
                <w:color w:val="000000"/>
                <w:sz w:val="16"/>
                <w:szCs w:val="16"/>
              </w:rPr>
              <w:t>$5,061</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DF1C"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DF1D" w14:textId="77777777" w:rsidR="00833634" w:rsidRDefault="00E15D51">
            <w:pPr>
              <w:jc w:val="right"/>
              <w:textAlignment w:val="bottom"/>
            </w:pPr>
            <w:r>
              <w:rPr>
                <w:rFonts w:ascii="Arial" w:eastAsia="宋体" w:hAnsi="Arial" w:cs="Arial"/>
                <w:b/>
                <w:bCs/>
                <w:color w:val="000000"/>
                <w:sz w:val="16"/>
                <w:szCs w:val="16"/>
              </w:rPr>
              <w:t>$6,687</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DF1E"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DF1F" w14:textId="77777777" w:rsidR="00833634" w:rsidRDefault="00E15D51">
            <w:pPr>
              <w:jc w:val="right"/>
              <w:textAlignment w:val="bottom"/>
            </w:pPr>
            <w:r>
              <w:rPr>
                <w:rFonts w:ascii="Arial" w:eastAsia="宋体" w:hAnsi="Arial" w:cs="Arial"/>
                <w:b/>
                <w:bCs/>
                <w:color w:val="000000"/>
                <w:sz w:val="16"/>
                <w:szCs w:val="16"/>
              </w:rPr>
              <w:t>($54,819)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DF20"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DF21" w14:textId="77777777" w:rsidR="00833634" w:rsidRDefault="00E15D51">
            <w:pPr>
              <w:jc w:val="right"/>
              <w:textAlignment w:val="bottom"/>
            </w:pPr>
            <w:r>
              <w:rPr>
                <w:rFonts w:ascii="Arial" w:eastAsia="宋体" w:hAnsi="Arial" w:cs="Arial"/>
                <w:b/>
                <w:bCs/>
                <w:color w:val="000000"/>
                <w:sz w:val="16"/>
                <w:szCs w:val="16"/>
              </w:rPr>
              <w:t>$47,029</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DF22"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DF23" w14:textId="77777777" w:rsidR="00833634" w:rsidRDefault="00E15D51">
            <w:pPr>
              <w:jc w:val="right"/>
              <w:textAlignment w:val="bottom"/>
            </w:pPr>
            <w:r>
              <w:rPr>
                <w:rFonts w:ascii="Arial" w:eastAsia="宋体" w:hAnsi="Arial" w:cs="Arial"/>
                <w:b/>
                <w:bCs/>
                <w:color w:val="000000"/>
                <w:sz w:val="16"/>
                <w:szCs w:val="16"/>
              </w:rPr>
              <w:t>($15,779)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DF24"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DF25" w14:textId="77777777" w:rsidR="00833634" w:rsidRDefault="00E15D51">
            <w:pPr>
              <w:jc w:val="right"/>
              <w:textAlignment w:val="bottom"/>
            </w:pPr>
            <w:r>
              <w:rPr>
                <w:rFonts w:ascii="Arial" w:eastAsia="宋体" w:hAnsi="Arial" w:cs="Arial"/>
                <w:b/>
                <w:bCs/>
                <w:color w:val="000000"/>
                <w:sz w:val="16"/>
                <w:szCs w:val="16"/>
              </w:rPr>
              <w:t>$268</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DF26"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DF27" w14:textId="77777777" w:rsidR="00833634" w:rsidRDefault="00E15D51">
            <w:pPr>
              <w:jc w:val="right"/>
              <w:textAlignment w:val="bottom"/>
            </w:pPr>
            <w:r>
              <w:rPr>
                <w:rFonts w:ascii="Arial" w:eastAsia="宋体" w:hAnsi="Arial" w:cs="Arial"/>
                <w:b/>
                <w:bCs/>
                <w:color w:val="000000"/>
                <w:sz w:val="16"/>
                <w:szCs w:val="16"/>
              </w:rPr>
              <w:t>($11,553)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DF28" w14:textId="77777777" w:rsidR="00833634" w:rsidRDefault="00833634">
            <w:pPr>
              <w:jc w:val="right"/>
              <w:rPr>
                <w:rFonts w:ascii="宋体"/>
              </w:rPr>
            </w:pPr>
          </w:p>
        </w:tc>
      </w:tr>
    </w:tbl>
    <w:p w14:paraId="4090DF2A" w14:textId="77777777" w:rsidR="00833634" w:rsidRDefault="00E15D51">
      <w:pPr>
        <w:spacing w:after="180"/>
        <w:jc w:val="both"/>
      </w:pPr>
      <w:r>
        <w:rPr>
          <w:rFonts w:ascii="Arial" w:eastAsia="宋体" w:hAnsi="Arial" w:cs="Arial"/>
          <w:color w:val="000000"/>
          <w:sz w:val="20"/>
          <w:szCs w:val="20"/>
        </w:rPr>
        <w:t>See Notes to the Condensed Consolidated Financial Statements.</w:t>
      </w:r>
    </w:p>
    <w:p w14:paraId="4090DF2B" w14:textId="77777777" w:rsidR="00833634" w:rsidRDefault="00833634">
      <w:pPr>
        <w:spacing w:after="60"/>
        <w:jc w:val="center"/>
      </w:pPr>
    </w:p>
    <w:p w14:paraId="4090DF2C" w14:textId="77777777" w:rsidR="00833634" w:rsidRDefault="00E15D51">
      <w:pPr>
        <w:spacing w:after="180"/>
        <w:jc w:val="center"/>
      </w:pPr>
      <w:r>
        <w:rPr>
          <w:rFonts w:ascii="Arial" w:eastAsia="宋体" w:hAnsi="Arial" w:cs="Arial"/>
          <w:color w:val="000000"/>
          <w:sz w:val="18"/>
          <w:szCs w:val="18"/>
        </w:rPr>
        <w:t>5</w:t>
      </w:r>
    </w:p>
    <w:p w14:paraId="4090DF2D" w14:textId="77777777" w:rsidR="00833634" w:rsidRDefault="00E15D51">
      <w:r>
        <w:pict w14:anchorId="4090FE25">
          <v:rect id="_x0000_i1031" style="width:415.3pt;height:1.5pt" o:hralign="center" o:hrstd="t" o:hr="t" fillcolor="#a0a0a0" stroked="f"/>
        </w:pict>
      </w:r>
    </w:p>
    <w:p w14:paraId="4090DF2E" w14:textId="77777777" w:rsidR="00833634" w:rsidRDefault="00E15D51">
      <w:pPr>
        <w:spacing w:after="180"/>
        <w:jc w:val="both"/>
      </w:pPr>
      <w:hyperlink r:id="rId108" w:anchor="i8d805bfb1e1c4815a1dcd5b6d1e0b117_10" w:history="1">
        <w:r>
          <w:rPr>
            <w:rStyle w:val="a5"/>
            <w:rFonts w:ascii="Arial" w:eastAsia="宋体" w:hAnsi="Arial" w:cs="Arial"/>
            <w:sz w:val="18"/>
            <w:szCs w:val="18"/>
          </w:rPr>
          <w:t>Table of Contents</w:t>
        </w:r>
      </w:hyperlink>
    </w:p>
    <w:p w14:paraId="4090DF2F" w14:textId="77777777" w:rsidR="00833634" w:rsidRDefault="00E15D51">
      <w:pPr>
        <w:jc w:val="center"/>
      </w:pPr>
      <w:r>
        <w:rPr>
          <w:rFonts w:ascii="Arial" w:eastAsia="宋体" w:hAnsi="Arial" w:cs="Arial"/>
          <w:b/>
          <w:bCs/>
          <w:color w:val="000000"/>
          <w:sz w:val="20"/>
          <w:szCs w:val="20"/>
        </w:rPr>
        <w:t>The Boeing Company and Subsidiaries</w:t>
      </w:r>
    </w:p>
    <w:p w14:paraId="4090DF30" w14:textId="77777777" w:rsidR="00833634" w:rsidRDefault="00E15D51">
      <w:pPr>
        <w:jc w:val="center"/>
      </w:pPr>
      <w:r>
        <w:rPr>
          <w:rFonts w:ascii="Arial" w:eastAsia="宋体" w:hAnsi="Arial" w:cs="Arial"/>
          <w:b/>
          <w:bCs/>
          <w:color w:val="000000"/>
          <w:sz w:val="20"/>
          <w:szCs w:val="20"/>
        </w:rPr>
        <w:t>Condensed Consolidated Statements of Equity</w:t>
      </w:r>
    </w:p>
    <w:p w14:paraId="4090DF31" w14:textId="77777777" w:rsidR="00833634" w:rsidRDefault="00E15D51">
      <w:pPr>
        <w:jc w:val="center"/>
      </w:pPr>
      <w:r>
        <w:rPr>
          <w:rFonts w:ascii="Arial" w:eastAsia="宋体" w:hAnsi="Arial" w:cs="Arial"/>
          <w:b/>
          <w:bCs/>
          <w:color w:val="000000"/>
          <w:sz w:val="20"/>
          <w:szCs w:val="20"/>
        </w:rPr>
        <w:t xml:space="preserve">For the three months ended September 30, 2020 and 2019 </w:t>
      </w:r>
    </w:p>
    <w:p w14:paraId="4090DF32" w14:textId="77777777" w:rsidR="00833634" w:rsidRDefault="00E15D51">
      <w:pPr>
        <w:jc w:val="center"/>
      </w:pPr>
      <w:r>
        <w:rPr>
          <w:rFonts w:ascii="Arial" w:eastAsia="宋体" w:hAnsi="Arial" w:cs="Arial"/>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2588"/>
        <w:gridCol w:w="39"/>
        <w:gridCol w:w="83"/>
        <w:gridCol w:w="599"/>
        <w:gridCol w:w="37"/>
        <w:gridCol w:w="83"/>
        <w:gridCol w:w="652"/>
        <w:gridCol w:w="36"/>
        <w:gridCol w:w="80"/>
        <w:gridCol w:w="626"/>
        <w:gridCol w:w="36"/>
        <w:gridCol w:w="82"/>
        <w:gridCol w:w="591"/>
        <w:gridCol w:w="36"/>
        <w:gridCol w:w="87"/>
        <w:gridCol w:w="1066"/>
        <w:gridCol w:w="36"/>
        <w:gridCol w:w="85"/>
        <w:gridCol w:w="677"/>
        <w:gridCol w:w="36"/>
        <w:gridCol w:w="82"/>
        <w:gridCol w:w="623"/>
        <w:gridCol w:w="36"/>
      </w:tblGrid>
      <w:tr w:rsidR="00833634" w14:paraId="4090DF4B" w14:textId="77777777">
        <w:trPr>
          <w:jc w:val="center"/>
        </w:trPr>
        <w:tc>
          <w:tcPr>
            <w:tcW w:w="50" w:type="pct"/>
            <w:shd w:val="clear" w:color="auto" w:fill="auto"/>
          </w:tcPr>
          <w:p w14:paraId="4090DF33" w14:textId="77777777" w:rsidR="00833634" w:rsidRDefault="00833634">
            <w:pPr>
              <w:rPr>
                <w:rFonts w:ascii="宋体"/>
              </w:rPr>
            </w:pPr>
          </w:p>
        </w:tc>
        <w:tc>
          <w:tcPr>
            <w:tcW w:w="1643" w:type="pct"/>
            <w:shd w:val="clear" w:color="auto" w:fill="auto"/>
          </w:tcPr>
          <w:p w14:paraId="4090DF34" w14:textId="77777777" w:rsidR="00833634" w:rsidRDefault="00833634">
            <w:pPr>
              <w:rPr>
                <w:rFonts w:ascii="宋体"/>
              </w:rPr>
            </w:pPr>
          </w:p>
        </w:tc>
        <w:tc>
          <w:tcPr>
            <w:tcW w:w="5" w:type="pct"/>
            <w:shd w:val="clear" w:color="auto" w:fill="auto"/>
          </w:tcPr>
          <w:p w14:paraId="4090DF35" w14:textId="77777777" w:rsidR="00833634" w:rsidRDefault="00833634">
            <w:pPr>
              <w:rPr>
                <w:rFonts w:ascii="宋体"/>
              </w:rPr>
            </w:pPr>
          </w:p>
        </w:tc>
        <w:tc>
          <w:tcPr>
            <w:tcW w:w="50" w:type="pct"/>
            <w:shd w:val="clear" w:color="auto" w:fill="auto"/>
          </w:tcPr>
          <w:p w14:paraId="4090DF36" w14:textId="77777777" w:rsidR="00833634" w:rsidRDefault="00833634">
            <w:pPr>
              <w:rPr>
                <w:rFonts w:ascii="宋体"/>
              </w:rPr>
            </w:pPr>
          </w:p>
        </w:tc>
        <w:tc>
          <w:tcPr>
            <w:tcW w:w="361" w:type="pct"/>
            <w:shd w:val="clear" w:color="auto" w:fill="auto"/>
          </w:tcPr>
          <w:p w14:paraId="4090DF37" w14:textId="77777777" w:rsidR="00833634" w:rsidRDefault="00833634">
            <w:pPr>
              <w:rPr>
                <w:rFonts w:ascii="宋体"/>
              </w:rPr>
            </w:pPr>
          </w:p>
        </w:tc>
        <w:tc>
          <w:tcPr>
            <w:tcW w:w="5" w:type="pct"/>
            <w:shd w:val="clear" w:color="auto" w:fill="auto"/>
          </w:tcPr>
          <w:p w14:paraId="4090DF38" w14:textId="77777777" w:rsidR="00833634" w:rsidRDefault="00833634">
            <w:pPr>
              <w:rPr>
                <w:rFonts w:ascii="宋体"/>
              </w:rPr>
            </w:pPr>
          </w:p>
        </w:tc>
        <w:tc>
          <w:tcPr>
            <w:tcW w:w="50" w:type="pct"/>
            <w:shd w:val="clear" w:color="auto" w:fill="auto"/>
          </w:tcPr>
          <w:p w14:paraId="4090DF39" w14:textId="77777777" w:rsidR="00833634" w:rsidRDefault="00833634">
            <w:pPr>
              <w:rPr>
                <w:rFonts w:ascii="宋体"/>
              </w:rPr>
            </w:pPr>
          </w:p>
        </w:tc>
        <w:tc>
          <w:tcPr>
            <w:tcW w:w="393" w:type="pct"/>
            <w:shd w:val="clear" w:color="auto" w:fill="auto"/>
          </w:tcPr>
          <w:p w14:paraId="4090DF3A" w14:textId="77777777" w:rsidR="00833634" w:rsidRDefault="00833634">
            <w:pPr>
              <w:rPr>
                <w:rFonts w:ascii="宋体"/>
              </w:rPr>
            </w:pPr>
          </w:p>
        </w:tc>
        <w:tc>
          <w:tcPr>
            <w:tcW w:w="5" w:type="pct"/>
            <w:shd w:val="clear" w:color="auto" w:fill="auto"/>
          </w:tcPr>
          <w:p w14:paraId="4090DF3B" w14:textId="77777777" w:rsidR="00833634" w:rsidRDefault="00833634">
            <w:pPr>
              <w:rPr>
                <w:rFonts w:ascii="宋体"/>
              </w:rPr>
            </w:pPr>
          </w:p>
        </w:tc>
        <w:tc>
          <w:tcPr>
            <w:tcW w:w="50" w:type="pct"/>
            <w:shd w:val="clear" w:color="auto" w:fill="auto"/>
          </w:tcPr>
          <w:p w14:paraId="4090DF3C" w14:textId="77777777" w:rsidR="00833634" w:rsidRDefault="00833634">
            <w:pPr>
              <w:rPr>
                <w:rFonts w:ascii="宋体"/>
              </w:rPr>
            </w:pPr>
          </w:p>
        </w:tc>
        <w:tc>
          <w:tcPr>
            <w:tcW w:w="393" w:type="pct"/>
            <w:shd w:val="clear" w:color="auto" w:fill="auto"/>
          </w:tcPr>
          <w:p w14:paraId="4090DF3D" w14:textId="77777777" w:rsidR="00833634" w:rsidRDefault="00833634">
            <w:pPr>
              <w:rPr>
                <w:rFonts w:ascii="宋体"/>
              </w:rPr>
            </w:pPr>
          </w:p>
        </w:tc>
        <w:tc>
          <w:tcPr>
            <w:tcW w:w="5" w:type="pct"/>
            <w:shd w:val="clear" w:color="auto" w:fill="auto"/>
          </w:tcPr>
          <w:p w14:paraId="4090DF3E" w14:textId="77777777" w:rsidR="00833634" w:rsidRDefault="00833634">
            <w:pPr>
              <w:rPr>
                <w:rFonts w:ascii="宋体"/>
              </w:rPr>
            </w:pPr>
          </w:p>
        </w:tc>
        <w:tc>
          <w:tcPr>
            <w:tcW w:w="50" w:type="pct"/>
            <w:shd w:val="clear" w:color="auto" w:fill="auto"/>
          </w:tcPr>
          <w:p w14:paraId="4090DF3F" w14:textId="77777777" w:rsidR="00833634" w:rsidRDefault="00833634">
            <w:pPr>
              <w:rPr>
                <w:rFonts w:ascii="宋体"/>
              </w:rPr>
            </w:pPr>
          </w:p>
        </w:tc>
        <w:tc>
          <w:tcPr>
            <w:tcW w:w="361" w:type="pct"/>
            <w:shd w:val="clear" w:color="auto" w:fill="auto"/>
          </w:tcPr>
          <w:p w14:paraId="4090DF40" w14:textId="77777777" w:rsidR="00833634" w:rsidRDefault="00833634">
            <w:pPr>
              <w:rPr>
                <w:rFonts w:ascii="宋体"/>
              </w:rPr>
            </w:pPr>
          </w:p>
        </w:tc>
        <w:tc>
          <w:tcPr>
            <w:tcW w:w="5" w:type="pct"/>
            <w:shd w:val="clear" w:color="auto" w:fill="auto"/>
          </w:tcPr>
          <w:p w14:paraId="4090DF41" w14:textId="77777777" w:rsidR="00833634" w:rsidRDefault="00833634">
            <w:pPr>
              <w:rPr>
                <w:rFonts w:ascii="宋体"/>
              </w:rPr>
            </w:pPr>
          </w:p>
        </w:tc>
        <w:tc>
          <w:tcPr>
            <w:tcW w:w="50" w:type="pct"/>
            <w:shd w:val="clear" w:color="auto" w:fill="auto"/>
          </w:tcPr>
          <w:p w14:paraId="4090DF42" w14:textId="77777777" w:rsidR="00833634" w:rsidRDefault="00833634">
            <w:pPr>
              <w:rPr>
                <w:rFonts w:ascii="宋体"/>
              </w:rPr>
            </w:pPr>
          </w:p>
        </w:tc>
        <w:tc>
          <w:tcPr>
            <w:tcW w:w="618" w:type="pct"/>
            <w:shd w:val="clear" w:color="auto" w:fill="auto"/>
          </w:tcPr>
          <w:p w14:paraId="4090DF43" w14:textId="77777777" w:rsidR="00833634" w:rsidRDefault="00833634">
            <w:pPr>
              <w:rPr>
                <w:rFonts w:ascii="宋体"/>
              </w:rPr>
            </w:pPr>
          </w:p>
        </w:tc>
        <w:tc>
          <w:tcPr>
            <w:tcW w:w="5" w:type="pct"/>
            <w:shd w:val="clear" w:color="auto" w:fill="auto"/>
          </w:tcPr>
          <w:p w14:paraId="4090DF44" w14:textId="77777777" w:rsidR="00833634" w:rsidRDefault="00833634">
            <w:pPr>
              <w:rPr>
                <w:rFonts w:ascii="宋体"/>
              </w:rPr>
            </w:pPr>
          </w:p>
        </w:tc>
        <w:tc>
          <w:tcPr>
            <w:tcW w:w="50" w:type="pct"/>
            <w:shd w:val="clear" w:color="auto" w:fill="auto"/>
          </w:tcPr>
          <w:p w14:paraId="4090DF45" w14:textId="77777777" w:rsidR="00833634" w:rsidRDefault="00833634">
            <w:pPr>
              <w:rPr>
                <w:rFonts w:ascii="宋体"/>
              </w:rPr>
            </w:pPr>
          </w:p>
        </w:tc>
        <w:tc>
          <w:tcPr>
            <w:tcW w:w="401" w:type="pct"/>
            <w:shd w:val="clear" w:color="auto" w:fill="auto"/>
          </w:tcPr>
          <w:p w14:paraId="4090DF46" w14:textId="77777777" w:rsidR="00833634" w:rsidRDefault="00833634">
            <w:pPr>
              <w:rPr>
                <w:rFonts w:ascii="宋体"/>
              </w:rPr>
            </w:pPr>
          </w:p>
        </w:tc>
        <w:tc>
          <w:tcPr>
            <w:tcW w:w="5" w:type="pct"/>
            <w:shd w:val="clear" w:color="auto" w:fill="auto"/>
          </w:tcPr>
          <w:p w14:paraId="4090DF47" w14:textId="77777777" w:rsidR="00833634" w:rsidRDefault="00833634">
            <w:pPr>
              <w:rPr>
                <w:rFonts w:ascii="宋体"/>
              </w:rPr>
            </w:pPr>
          </w:p>
        </w:tc>
        <w:tc>
          <w:tcPr>
            <w:tcW w:w="50" w:type="pct"/>
            <w:shd w:val="clear" w:color="auto" w:fill="auto"/>
          </w:tcPr>
          <w:p w14:paraId="4090DF48" w14:textId="77777777" w:rsidR="00833634" w:rsidRDefault="00833634">
            <w:pPr>
              <w:rPr>
                <w:rFonts w:ascii="宋体"/>
              </w:rPr>
            </w:pPr>
          </w:p>
        </w:tc>
        <w:tc>
          <w:tcPr>
            <w:tcW w:w="385" w:type="pct"/>
            <w:shd w:val="clear" w:color="auto" w:fill="auto"/>
          </w:tcPr>
          <w:p w14:paraId="4090DF49" w14:textId="77777777" w:rsidR="00833634" w:rsidRDefault="00833634">
            <w:pPr>
              <w:rPr>
                <w:rFonts w:ascii="宋体"/>
              </w:rPr>
            </w:pPr>
          </w:p>
        </w:tc>
        <w:tc>
          <w:tcPr>
            <w:tcW w:w="5" w:type="pct"/>
            <w:shd w:val="clear" w:color="auto" w:fill="auto"/>
          </w:tcPr>
          <w:p w14:paraId="4090DF4A" w14:textId="77777777" w:rsidR="00833634" w:rsidRDefault="00833634">
            <w:pPr>
              <w:rPr>
                <w:rFonts w:ascii="宋体"/>
              </w:rPr>
            </w:pPr>
          </w:p>
        </w:tc>
      </w:tr>
      <w:tr w:rsidR="00833634" w14:paraId="4090DF50" w14:textId="77777777">
        <w:trPr>
          <w:jc w:val="center"/>
        </w:trPr>
        <w:tc>
          <w:tcPr>
            <w:tcW w:w="0" w:type="auto"/>
            <w:gridSpan w:val="3"/>
            <w:shd w:val="clear" w:color="auto" w:fill="auto"/>
            <w:tcMar>
              <w:top w:w="0" w:type="dxa"/>
              <w:left w:w="20" w:type="dxa"/>
              <w:bottom w:w="0" w:type="dxa"/>
              <w:right w:w="20" w:type="dxa"/>
            </w:tcMar>
          </w:tcPr>
          <w:p w14:paraId="4090DF4C" w14:textId="77777777" w:rsidR="00833634" w:rsidRDefault="00833634">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4090DF4D" w14:textId="77777777" w:rsidR="00833634" w:rsidRDefault="00E15D51">
            <w:pPr>
              <w:jc w:val="center"/>
              <w:textAlignment w:val="bottom"/>
            </w:pPr>
            <w:r>
              <w:rPr>
                <w:rFonts w:ascii="Arial" w:eastAsia="宋体" w:hAnsi="Arial" w:cs="Arial"/>
                <w:color w:val="000000"/>
                <w:sz w:val="16"/>
                <w:szCs w:val="16"/>
              </w:rPr>
              <w:t>Boeing shareholders</w:t>
            </w:r>
          </w:p>
        </w:tc>
        <w:tc>
          <w:tcPr>
            <w:tcW w:w="0" w:type="auto"/>
            <w:gridSpan w:val="3"/>
            <w:shd w:val="clear" w:color="auto" w:fill="auto"/>
            <w:tcMar>
              <w:top w:w="40" w:type="dxa"/>
              <w:left w:w="20" w:type="dxa"/>
              <w:bottom w:w="40" w:type="dxa"/>
              <w:right w:w="20" w:type="dxa"/>
            </w:tcMar>
            <w:vAlign w:val="bottom"/>
          </w:tcPr>
          <w:p w14:paraId="4090DF4E" w14:textId="77777777" w:rsidR="00833634" w:rsidRDefault="00E15D51">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090DF4F" w14:textId="77777777" w:rsidR="00833634" w:rsidRDefault="00E15D51">
            <w:pPr>
              <w:textAlignment w:val="bottom"/>
            </w:pPr>
            <w:r>
              <w:rPr>
                <w:rFonts w:ascii="Times New Roman" w:eastAsia="宋体" w:hAnsi="Times New Roman"/>
                <w:color w:val="000000"/>
                <w:sz w:val="16"/>
                <w:szCs w:val="16"/>
              </w:rPr>
              <w:t> </w:t>
            </w:r>
          </w:p>
        </w:tc>
      </w:tr>
      <w:tr w:rsidR="00833634" w14:paraId="4090DF59" w14:textId="77777777">
        <w:trPr>
          <w:jc w:val="center"/>
        </w:trPr>
        <w:tc>
          <w:tcPr>
            <w:tcW w:w="0" w:type="auto"/>
            <w:gridSpan w:val="3"/>
            <w:shd w:val="clear" w:color="auto" w:fill="FFFFFF"/>
            <w:tcMar>
              <w:top w:w="40" w:type="dxa"/>
              <w:left w:w="20" w:type="dxa"/>
              <w:bottom w:w="40" w:type="dxa"/>
              <w:right w:w="20" w:type="dxa"/>
            </w:tcMar>
            <w:vAlign w:val="bottom"/>
          </w:tcPr>
          <w:p w14:paraId="4090DF51" w14:textId="77777777" w:rsidR="00833634" w:rsidRDefault="00E15D51">
            <w:pPr>
              <w:textAlignment w:val="bottom"/>
            </w:pPr>
            <w:r>
              <w:rPr>
                <w:rFonts w:ascii="Arial" w:eastAsia="宋体" w:hAnsi="Arial" w:cs="Arial"/>
                <w:i/>
                <w:iCs/>
                <w:color w:val="000000"/>
                <w:sz w:val="16"/>
                <w:szCs w:val="16"/>
              </w:rPr>
              <w:t>(Dollars in millions, except per share data)</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F52" w14:textId="77777777" w:rsidR="00833634" w:rsidRDefault="00E15D51">
            <w:pPr>
              <w:jc w:val="right"/>
              <w:textAlignment w:val="bottom"/>
            </w:pPr>
            <w:r>
              <w:rPr>
                <w:rFonts w:ascii="Arial" w:eastAsia="宋体" w:hAnsi="Arial" w:cs="Arial"/>
                <w:color w:val="000000"/>
                <w:sz w:val="16"/>
                <w:szCs w:val="16"/>
              </w:rPr>
              <w:t>Common</w:t>
            </w:r>
            <w:r>
              <w:rPr>
                <w:rFonts w:ascii="Arial" w:eastAsia="宋体" w:hAnsi="Arial" w:cs="Arial"/>
                <w:color w:val="000000"/>
                <w:sz w:val="16"/>
                <w:szCs w:val="16"/>
              </w:rPr>
              <w:br/>
              <w:t>Stock</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F53" w14:textId="77777777" w:rsidR="00833634" w:rsidRDefault="00E15D51">
            <w:pPr>
              <w:jc w:val="right"/>
              <w:textAlignment w:val="bottom"/>
            </w:pPr>
            <w:r>
              <w:rPr>
                <w:rFonts w:ascii="Arial" w:eastAsia="宋体" w:hAnsi="Arial" w:cs="Arial"/>
                <w:color w:val="000000"/>
                <w:sz w:val="16"/>
                <w:szCs w:val="16"/>
              </w:rPr>
              <w:t>Additional</w:t>
            </w:r>
            <w:r>
              <w:rPr>
                <w:rFonts w:ascii="Arial" w:eastAsia="宋体" w:hAnsi="Arial" w:cs="Arial"/>
                <w:color w:val="000000"/>
                <w:sz w:val="16"/>
                <w:szCs w:val="16"/>
              </w:rPr>
              <w:br/>
              <w:t>Paid-In</w:t>
            </w:r>
            <w:r>
              <w:rPr>
                <w:rFonts w:ascii="Arial" w:eastAsia="宋体" w:hAnsi="Arial" w:cs="Arial"/>
                <w:color w:val="000000"/>
                <w:sz w:val="16"/>
                <w:szCs w:val="16"/>
              </w:rPr>
              <w:br/>
              <w:t>Capital</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F54" w14:textId="77777777" w:rsidR="00833634" w:rsidRDefault="00E15D51">
            <w:pPr>
              <w:jc w:val="right"/>
              <w:textAlignment w:val="bottom"/>
            </w:pPr>
            <w:r>
              <w:rPr>
                <w:rFonts w:ascii="Arial" w:eastAsia="宋体" w:hAnsi="Arial" w:cs="Arial"/>
                <w:color w:val="000000"/>
                <w:sz w:val="16"/>
                <w:szCs w:val="16"/>
              </w:rPr>
              <w:t>Treasury Stock</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F55" w14:textId="77777777" w:rsidR="00833634" w:rsidRDefault="00E15D51">
            <w:pPr>
              <w:jc w:val="right"/>
              <w:textAlignment w:val="bottom"/>
            </w:pPr>
            <w:r>
              <w:rPr>
                <w:rFonts w:ascii="Arial" w:eastAsia="宋体" w:hAnsi="Arial" w:cs="Arial"/>
                <w:color w:val="000000"/>
                <w:sz w:val="16"/>
                <w:szCs w:val="16"/>
              </w:rPr>
              <w:t>Retained</w:t>
            </w:r>
            <w:r>
              <w:rPr>
                <w:rFonts w:ascii="Arial" w:eastAsia="宋体" w:hAnsi="Arial" w:cs="Arial"/>
                <w:color w:val="000000"/>
                <w:sz w:val="16"/>
                <w:szCs w:val="16"/>
              </w:rPr>
              <w:br/>
              <w:t>Earnings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F56" w14:textId="77777777" w:rsidR="00833634" w:rsidRDefault="00E15D51">
            <w:pPr>
              <w:jc w:val="right"/>
              <w:textAlignment w:val="bottom"/>
            </w:pPr>
            <w:r>
              <w:rPr>
                <w:rFonts w:ascii="Arial" w:eastAsia="宋体" w:hAnsi="Arial" w:cs="Arial"/>
                <w:color w:val="000000"/>
                <w:sz w:val="16"/>
                <w:szCs w:val="16"/>
              </w:rPr>
              <w:t xml:space="preserve">Accumulated Other </w:t>
            </w:r>
            <w:r>
              <w:rPr>
                <w:rFonts w:ascii="Arial" w:eastAsia="宋体" w:hAnsi="Arial" w:cs="Arial"/>
                <w:color w:val="000000"/>
                <w:sz w:val="16"/>
                <w:szCs w:val="16"/>
              </w:rPr>
              <w:t>Comprehensive Loss</w:t>
            </w:r>
          </w:p>
        </w:tc>
        <w:tc>
          <w:tcPr>
            <w:tcW w:w="0" w:type="auto"/>
            <w:gridSpan w:val="3"/>
            <w:shd w:val="clear" w:color="auto" w:fill="FFFFFF"/>
            <w:tcMar>
              <w:top w:w="40" w:type="dxa"/>
              <w:left w:w="20" w:type="dxa"/>
              <w:bottom w:w="40" w:type="dxa"/>
              <w:right w:w="20" w:type="dxa"/>
            </w:tcMar>
            <w:vAlign w:val="bottom"/>
          </w:tcPr>
          <w:p w14:paraId="4090DF57" w14:textId="77777777" w:rsidR="00833634" w:rsidRDefault="00E15D51">
            <w:pPr>
              <w:jc w:val="right"/>
              <w:textAlignment w:val="bottom"/>
            </w:pPr>
            <w:r>
              <w:rPr>
                <w:rFonts w:ascii="Arial" w:eastAsia="宋体" w:hAnsi="Arial" w:cs="Arial"/>
                <w:color w:val="000000"/>
                <w:sz w:val="16"/>
                <w:szCs w:val="16"/>
              </w:rPr>
              <w:t>Non-</w:t>
            </w:r>
            <w:r>
              <w:rPr>
                <w:rFonts w:ascii="Arial" w:eastAsia="宋体" w:hAnsi="Arial" w:cs="Arial"/>
                <w:color w:val="000000"/>
                <w:sz w:val="16"/>
                <w:szCs w:val="16"/>
              </w:rPr>
              <w:br/>
              <w:t>controlling</w:t>
            </w:r>
            <w:r>
              <w:rPr>
                <w:rFonts w:ascii="Arial" w:eastAsia="宋体" w:hAnsi="Arial" w:cs="Arial"/>
                <w:color w:val="000000"/>
                <w:sz w:val="16"/>
                <w:szCs w:val="16"/>
              </w:rPr>
              <w:br/>
              <w:t>Interests</w:t>
            </w:r>
          </w:p>
        </w:tc>
        <w:tc>
          <w:tcPr>
            <w:tcW w:w="0" w:type="auto"/>
            <w:gridSpan w:val="3"/>
            <w:shd w:val="clear" w:color="auto" w:fill="FFFFFF"/>
            <w:tcMar>
              <w:top w:w="40" w:type="dxa"/>
              <w:left w:w="20" w:type="dxa"/>
              <w:bottom w:w="40" w:type="dxa"/>
              <w:right w:w="20" w:type="dxa"/>
            </w:tcMar>
            <w:vAlign w:val="bottom"/>
          </w:tcPr>
          <w:p w14:paraId="4090DF58" w14:textId="77777777" w:rsidR="00833634" w:rsidRDefault="00E15D51">
            <w:pPr>
              <w:jc w:val="right"/>
              <w:textAlignment w:val="bottom"/>
            </w:pPr>
            <w:r>
              <w:rPr>
                <w:rFonts w:ascii="Arial" w:eastAsia="宋体" w:hAnsi="Arial" w:cs="Arial"/>
                <w:color w:val="000000"/>
                <w:sz w:val="16"/>
                <w:szCs w:val="16"/>
              </w:rPr>
              <w:t>Total</w:t>
            </w:r>
          </w:p>
        </w:tc>
      </w:tr>
      <w:tr w:rsidR="00833634" w14:paraId="4090DF69"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F5A" w14:textId="77777777" w:rsidR="00833634" w:rsidRDefault="00E15D51">
            <w:pPr>
              <w:textAlignment w:val="bottom"/>
            </w:pPr>
            <w:r>
              <w:rPr>
                <w:rFonts w:ascii="Arial" w:eastAsia="宋体" w:hAnsi="Arial" w:cs="Arial"/>
                <w:color w:val="000000"/>
                <w:sz w:val="16"/>
                <w:szCs w:val="16"/>
              </w:rPr>
              <w:t>Balance at July 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F5B" w14:textId="77777777" w:rsidR="00833634" w:rsidRDefault="00E15D51">
            <w:pPr>
              <w:jc w:val="right"/>
              <w:textAlignment w:val="bottom"/>
            </w:pPr>
            <w:r>
              <w:rPr>
                <w:rFonts w:ascii="Arial" w:eastAsia="宋体" w:hAnsi="Arial" w:cs="Arial"/>
                <w:color w:val="000000"/>
                <w:sz w:val="16"/>
                <w:szCs w:val="16"/>
              </w:rPr>
              <w:t>$5,061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F5C"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F5D" w14:textId="77777777" w:rsidR="00833634" w:rsidRDefault="00E15D51">
            <w:pPr>
              <w:jc w:val="right"/>
              <w:textAlignment w:val="bottom"/>
            </w:pPr>
            <w:r>
              <w:rPr>
                <w:rFonts w:ascii="Arial" w:eastAsia="宋体" w:hAnsi="Arial" w:cs="Arial"/>
                <w:color w:val="000000"/>
                <w:sz w:val="16"/>
                <w:szCs w:val="16"/>
              </w:rPr>
              <w:t>$6,638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F5E"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F5F" w14:textId="77777777" w:rsidR="00833634" w:rsidRDefault="00E15D51">
            <w:pPr>
              <w:jc w:val="right"/>
              <w:textAlignment w:val="bottom"/>
            </w:pPr>
            <w:r>
              <w:rPr>
                <w:rFonts w:ascii="Arial" w:eastAsia="宋体" w:hAnsi="Arial" w:cs="Arial"/>
                <w:color w:val="000000"/>
                <w:sz w:val="16"/>
                <w:szCs w:val="16"/>
              </w:rPr>
              <w:t>($54,932)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F60"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F61" w14:textId="77777777" w:rsidR="00833634" w:rsidRDefault="00E15D51">
            <w:pPr>
              <w:jc w:val="right"/>
              <w:textAlignment w:val="bottom"/>
            </w:pPr>
            <w:r>
              <w:rPr>
                <w:rFonts w:ascii="Arial" w:eastAsia="宋体" w:hAnsi="Arial" w:cs="Arial"/>
                <w:color w:val="000000"/>
                <w:sz w:val="16"/>
                <w:szCs w:val="16"/>
              </w:rPr>
              <w:t>$52,819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F62"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F63" w14:textId="77777777" w:rsidR="00833634" w:rsidRDefault="00E15D51">
            <w:pPr>
              <w:jc w:val="right"/>
              <w:textAlignment w:val="bottom"/>
            </w:pPr>
            <w:r>
              <w:rPr>
                <w:rFonts w:ascii="Arial" w:eastAsia="宋体" w:hAnsi="Arial" w:cs="Arial"/>
                <w:color w:val="000000"/>
                <w:sz w:val="16"/>
                <w:szCs w:val="16"/>
              </w:rPr>
              <w:t>($14,908)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F64"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F65" w14:textId="77777777" w:rsidR="00833634" w:rsidRDefault="00E15D51">
            <w:pPr>
              <w:jc w:val="right"/>
              <w:textAlignment w:val="bottom"/>
            </w:pPr>
            <w:r>
              <w:rPr>
                <w:rFonts w:ascii="Arial" w:eastAsia="宋体" w:hAnsi="Arial" w:cs="Arial"/>
                <w:color w:val="000000"/>
                <w:sz w:val="16"/>
                <w:szCs w:val="16"/>
              </w:rPr>
              <w:t>$379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F66"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F67" w14:textId="77777777" w:rsidR="00833634" w:rsidRDefault="00E15D51">
            <w:pPr>
              <w:jc w:val="right"/>
              <w:textAlignment w:val="bottom"/>
            </w:pPr>
            <w:r>
              <w:rPr>
                <w:rFonts w:ascii="Arial" w:eastAsia="宋体" w:hAnsi="Arial" w:cs="Arial"/>
                <w:color w:val="000000"/>
                <w:sz w:val="16"/>
                <w:szCs w:val="16"/>
              </w:rPr>
              <w:t>($4,943)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DF68" w14:textId="77777777" w:rsidR="00833634" w:rsidRDefault="00833634">
            <w:pPr>
              <w:jc w:val="right"/>
              <w:rPr>
                <w:rFonts w:ascii="宋体"/>
              </w:rPr>
            </w:pPr>
          </w:p>
        </w:tc>
      </w:tr>
      <w:tr w:rsidR="00833634" w14:paraId="4090DF75"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F6A" w14:textId="77777777" w:rsidR="00833634" w:rsidRDefault="00E15D51">
            <w:pPr>
              <w:textAlignment w:val="bottom"/>
            </w:pPr>
            <w:r>
              <w:rPr>
                <w:rFonts w:ascii="Arial" w:eastAsia="宋体" w:hAnsi="Arial" w:cs="Arial"/>
                <w:color w:val="000000"/>
                <w:sz w:val="16"/>
                <w:szCs w:val="16"/>
              </w:rPr>
              <w:t>Net earnings</w:t>
            </w:r>
          </w:p>
        </w:tc>
        <w:tc>
          <w:tcPr>
            <w:tcW w:w="0" w:type="auto"/>
            <w:gridSpan w:val="3"/>
            <w:tcBorders>
              <w:top w:val="single" w:sz="8" w:space="0" w:color="000000"/>
            </w:tcBorders>
            <w:shd w:val="clear" w:color="auto" w:fill="FFFFFF"/>
            <w:tcMar>
              <w:top w:w="0" w:type="dxa"/>
              <w:left w:w="20" w:type="dxa"/>
              <w:bottom w:w="0" w:type="dxa"/>
              <w:right w:w="20" w:type="dxa"/>
            </w:tcMar>
          </w:tcPr>
          <w:p w14:paraId="4090DF6B"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F6C"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F6D"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DF6E" w14:textId="77777777" w:rsidR="00833634" w:rsidRDefault="00E15D51">
            <w:pPr>
              <w:jc w:val="right"/>
              <w:textAlignment w:val="bottom"/>
            </w:pPr>
            <w:r>
              <w:rPr>
                <w:rFonts w:ascii="Arial" w:eastAsia="宋体" w:hAnsi="Arial" w:cs="Arial"/>
                <w:color w:val="000000"/>
                <w:sz w:val="16"/>
                <w:szCs w:val="16"/>
              </w:rPr>
              <w:t>1,167 </w:t>
            </w:r>
          </w:p>
        </w:tc>
        <w:tc>
          <w:tcPr>
            <w:tcW w:w="0" w:type="auto"/>
            <w:tcBorders>
              <w:top w:val="single" w:sz="8" w:space="0" w:color="000000"/>
            </w:tcBorders>
            <w:shd w:val="clear" w:color="auto" w:fill="auto"/>
            <w:tcMar>
              <w:top w:w="40" w:type="dxa"/>
              <w:left w:w="0" w:type="dxa"/>
              <w:bottom w:w="40" w:type="dxa"/>
              <w:right w:w="20" w:type="dxa"/>
            </w:tcMar>
            <w:vAlign w:val="bottom"/>
          </w:tcPr>
          <w:p w14:paraId="4090DF6F"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DF70"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71" w14:textId="77777777" w:rsidR="00833634" w:rsidRDefault="00E15D51">
            <w:pPr>
              <w:jc w:val="right"/>
              <w:textAlignment w:val="bottom"/>
            </w:pPr>
            <w:r>
              <w:rPr>
                <w:rFonts w:ascii="Arial" w:eastAsia="宋体" w:hAnsi="Arial" w:cs="Arial"/>
                <w:color w:val="000000"/>
                <w:sz w:val="16"/>
                <w:szCs w:val="16"/>
              </w:rPr>
              <w:t>(15)</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72"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73" w14:textId="77777777" w:rsidR="00833634" w:rsidRDefault="00E15D51">
            <w:pPr>
              <w:jc w:val="right"/>
              <w:textAlignment w:val="bottom"/>
            </w:pPr>
            <w:r>
              <w:rPr>
                <w:rFonts w:ascii="Arial" w:eastAsia="宋体" w:hAnsi="Arial" w:cs="Arial"/>
                <w:color w:val="000000"/>
                <w:sz w:val="16"/>
                <w:szCs w:val="16"/>
              </w:rPr>
              <w:t>1,152 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74" w14:textId="77777777" w:rsidR="00833634" w:rsidRDefault="00833634">
            <w:pPr>
              <w:jc w:val="right"/>
              <w:rPr>
                <w:rFonts w:ascii="宋体"/>
              </w:rPr>
            </w:pPr>
          </w:p>
        </w:tc>
      </w:tr>
      <w:tr w:rsidR="00833634" w14:paraId="4090DF80" w14:textId="77777777">
        <w:trPr>
          <w:jc w:val="center"/>
        </w:trPr>
        <w:tc>
          <w:tcPr>
            <w:tcW w:w="0" w:type="auto"/>
            <w:gridSpan w:val="3"/>
            <w:shd w:val="clear" w:color="auto" w:fill="CCEEFF"/>
            <w:tcMar>
              <w:top w:w="40" w:type="dxa"/>
              <w:left w:w="20" w:type="dxa"/>
              <w:bottom w:w="40" w:type="dxa"/>
              <w:right w:w="20" w:type="dxa"/>
            </w:tcMar>
            <w:vAlign w:val="bottom"/>
          </w:tcPr>
          <w:p w14:paraId="4090DF76" w14:textId="77777777" w:rsidR="00833634" w:rsidRDefault="00E15D51">
            <w:pPr>
              <w:ind w:hanging="180"/>
              <w:textAlignment w:val="bottom"/>
            </w:pPr>
            <w:r>
              <w:rPr>
                <w:rFonts w:ascii="Arial" w:eastAsia="宋体" w:hAnsi="Arial" w:cs="Arial"/>
                <w:color w:val="000000"/>
                <w:sz w:val="16"/>
                <w:szCs w:val="16"/>
              </w:rPr>
              <w:t>Other comprehensive loss, net of tax of ($12)</w:t>
            </w:r>
          </w:p>
        </w:tc>
        <w:tc>
          <w:tcPr>
            <w:tcW w:w="0" w:type="auto"/>
            <w:gridSpan w:val="3"/>
            <w:shd w:val="clear" w:color="auto" w:fill="CCEEFF"/>
            <w:tcMar>
              <w:top w:w="0" w:type="dxa"/>
              <w:left w:w="20" w:type="dxa"/>
              <w:bottom w:w="0" w:type="dxa"/>
              <w:right w:w="20" w:type="dxa"/>
            </w:tcMar>
          </w:tcPr>
          <w:p w14:paraId="4090DF7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7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7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7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F7B" w14:textId="77777777" w:rsidR="00833634" w:rsidRDefault="00E15D51">
            <w:pPr>
              <w:jc w:val="right"/>
              <w:textAlignment w:val="bottom"/>
            </w:pPr>
            <w:r>
              <w:rPr>
                <w:rFonts w:ascii="Arial" w:eastAsia="宋体" w:hAnsi="Arial" w:cs="Arial"/>
                <w:color w:val="000000"/>
                <w:sz w:val="16"/>
                <w:szCs w:val="16"/>
              </w:rPr>
              <w:t>(19)</w:t>
            </w:r>
          </w:p>
        </w:tc>
        <w:tc>
          <w:tcPr>
            <w:tcW w:w="0" w:type="auto"/>
            <w:shd w:val="clear" w:color="auto" w:fill="CCEEFF"/>
            <w:tcMar>
              <w:top w:w="40" w:type="dxa"/>
              <w:left w:w="0" w:type="dxa"/>
              <w:bottom w:w="40" w:type="dxa"/>
              <w:right w:w="20" w:type="dxa"/>
            </w:tcMar>
            <w:vAlign w:val="bottom"/>
          </w:tcPr>
          <w:p w14:paraId="4090DF7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F7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F7E" w14:textId="77777777" w:rsidR="00833634" w:rsidRDefault="00E15D51">
            <w:pPr>
              <w:jc w:val="right"/>
              <w:textAlignment w:val="bottom"/>
            </w:pPr>
            <w:r>
              <w:rPr>
                <w:rFonts w:ascii="Arial" w:eastAsia="宋体" w:hAnsi="Arial" w:cs="Arial"/>
                <w:color w:val="000000"/>
                <w:sz w:val="16"/>
                <w:szCs w:val="16"/>
              </w:rPr>
              <w:t>(19)</w:t>
            </w:r>
          </w:p>
        </w:tc>
        <w:tc>
          <w:tcPr>
            <w:tcW w:w="0" w:type="auto"/>
            <w:shd w:val="clear" w:color="auto" w:fill="CCEEFF"/>
            <w:tcMar>
              <w:top w:w="40" w:type="dxa"/>
              <w:left w:w="0" w:type="dxa"/>
              <w:bottom w:w="40" w:type="dxa"/>
              <w:right w:w="20" w:type="dxa"/>
            </w:tcMar>
            <w:vAlign w:val="bottom"/>
          </w:tcPr>
          <w:p w14:paraId="4090DF7F" w14:textId="77777777" w:rsidR="00833634" w:rsidRDefault="00833634">
            <w:pPr>
              <w:jc w:val="right"/>
              <w:rPr>
                <w:rFonts w:ascii="宋体"/>
              </w:rPr>
            </w:pPr>
          </w:p>
        </w:tc>
      </w:tr>
      <w:tr w:rsidR="00833634" w14:paraId="4090DF8B" w14:textId="77777777">
        <w:trPr>
          <w:jc w:val="center"/>
        </w:trPr>
        <w:tc>
          <w:tcPr>
            <w:tcW w:w="0" w:type="auto"/>
            <w:gridSpan w:val="3"/>
            <w:shd w:val="clear" w:color="auto" w:fill="FFFFFF"/>
            <w:tcMar>
              <w:top w:w="40" w:type="dxa"/>
              <w:left w:w="20" w:type="dxa"/>
              <w:bottom w:w="40" w:type="dxa"/>
              <w:right w:w="20" w:type="dxa"/>
            </w:tcMar>
            <w:vAlign w:val="bottom"/>
          </w:tcPr>
          <w:p w14:paraId="4090DF81" w14:textId="77777777" w:rsidR="00833634" w:rsidRDefault="00E15D51">
            <w:pPr>
              <w:ind w:hanging="180"/>
              <w:textAlignment w:val="bottom"/>
            </w:pPr>
            <w:r>
              <w:rPr>
                <w:rFonts w:ascii="Arial" w:eastAsia="宋体" w:hAnsi="Arial" w:cs="Arial"/>
                <w:color w:val="000000"/>
                <w:sz w:val="16"/>
                <w:szCs w:val="16"/>
              </w:rPr>
              <w:t xml:space="preserve">Share-based compensation and related dividend </w:t>
            </w:r>
            <w:r>
              <w:rPr>
                <w:rFonts w:ascii="Arial" w:eastAsia="宋体" w:hAnsi="Arial" w:cs="Arial"/>
                <w:color w:val="000000"/>
                <w:sz w:val="16"/>
                <w:szCs w:val="16"/>
              </w:rPr>
              <w:t>equivalents</w:t>
            </w:r>
          </w:p>
        </w:tc>
        <w:tc>
          <w:tcPr>
            <w:tcW w:w="0" w:type="auto"/>
            <w:gridSpan w:val="3"/>
            <w:shd w:val="clear" w:color="auto" w:fill="FFFFFF"/>
            <w:tcMar>
              <w:top w:w="0" w:type="dxa"/>
              <w:left w:w="20" w:type="dxa"/>
              <w:bottom w:w="0" w:type="dxa"/>
              <w:right w:w="20" w:type="dxa"/>
            </w:tcMar>
          </w:tcPr>
          <w:p w14:paraId="4090DF8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F83" w14:textId="77777777" w:rsidR="00833634" w:rsidRDefault="00E15D51">
            <w:pPr>
              <w:jc w:val="right"/>
              <w:textAlignment w:val="bottom"/>
            </w:pPr>
            <w:r>
              <w:rPr>
                <w:rFonts w:ascii="Arial" w:eastAsia="宋体" w:hAnsi="Arial" w:cs="Arial"/>
                <w:color w:val="000000"/>
                <w:sz w:val="16"/>
                <w:szCs w:val="16"/>
              </w:rPr>
              <w:t>56 </w:t>
            </w:r>
          </w:p>
        </w:tc>
        <w:tc>
          <w:tcPr>
            <w:tcW w:w="0" w:type="auto"/>
            <w:shd w:val="clear" w:color="auto" w:fill="FFFFFF"/>
            <w:tcMar>
              <w:top w:w="40" w:type="dxa"/>
              <w:left w:w="0" w:type="dxa"/>
              <w:bottom w:w="40" w:type="dxa"/>
              <w:right w:w="20" w:type="dxa"/>
            </w:tcMar>
            <w:vAlign w:val="bottom"/>
          </w:tcPr>
          <w:p w14:paraId="4090DF8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F8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F8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F8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F8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F89" w14:textId="77777777" w:rsidR="00833634" w:rsidRDefault="00E15D51">
            <w:pPr>
              <w:jc w:val="right"/>
              <w:textAlignment w:val="bottom"/>
            </w:pPr>
            <w:r>
              <w:rPr>
                <w:rFonts w:ascii="Arial" w:eastAsia="宋体" w:hAnsi="Arial" w:cs="Arial"/>
                <w:color w:val="000000"/>
                <w:sz w:val="16"/>
                <w:szCs w:val="16"/>
              </w:rPr>
              <w:t>56 </w:t>
            </w:r>
          </w:p>
        </w:tc>
        <w:tc>
          <w:tcPr>
            <w:tcW w:w="0" w:type="auto"/>
            <w:shd w:val="clear" w:color="auto" w:fill="FFFFFF"/>
            <w:tcMar>
              <w:top w:w="40" w:type="dxa"/>
              <w:left w:w="0" w:type="dxa"/>
              <w:bottom w:w="40" w:type="dxa"/>
              <w:right w:w="20" w:type="dxa"/>
            </w:tcMar>
            <w:vAlign w:val="bottom"/>
          </w:tcPr>
          <w:p w14:paraId="4090DF8A" w14:textId="77777777" w:rsidR="00833634" w:rsidRDefault="00833634">
            <w:pPr>
              <w:jc w:val="right"/>
              <w:rPr>
                <w:rFonts w:ascii="宋体"/>
              </w:rPr>
            </w:pPr>
          </w:p>
        </w:tc>
      </w:tr>
      <w:tr w:rsidR="00833634" w14:paraId="4090DF94" w14:textId="77777777">
        <w:trPr>
          <w:jc w:val="center"/>
          <w:hidden/>
        </w:trPr>
        <w:tc>
          <w:tcPr>
            <w:tcW w:w="0" w:type="auto"/>
            <w:gridSpan w:val="3"/>
            <w:shd w:val="clear" w:color="auto" w:fill="auto"/>
          </w:tcPr>
          <w:p w14:paraId="4090DF8C" w14:textId="77777777" w:rsidR="00833634" w:rsidRDefault="00833634">
            <w:pPr>
              <w:rPr>
                <w:rFonts w:ascii="宋体"/>
                <w:vanish/>
              </w:rPr>
            </w:pPr>
          </w:p>
        </w:tc>
        <w:tc>
          <w:tcPr>
            <w:tcW w:w="0" w:type="auto"/>
            <w:gridSpan w:val="3"/>
            <w:shd w:val="clear" w:color="auto" w:fill="auto"/>
          </w:tcPr>
          <w:p w14:paraId="4090DF8D" w14:textId="77777777" w:rsidR="00833634" w:rsidRDefault="00833634">
            <w:pPr>
              <w:rPr>
                <w:rFonts w:ascii="宋体"/>
                <w:vanish/>
              </w:rPr>
            </w:pPr>
          </w:p>
        </w:tc>
        <w:tc>
          <w:tcPr>
            <w:tcW w:w="0" w:type="auto"/>
            <w:gridSpan w:val="3"/>
            <w:shd w:val="clear" w:color="auto" w:fill="auto"/>
          </w:tcPr>
          <w:p w14:paraId="4090DF8E" w14:textId="77777777" w:rsidR="00833634" w:rsidRDefault="00833634">
            <w:pPr>
              <w:rPr>
                <w:rFonts w:ascii="宋体"/>
                <w:vanish/>
              </w:rPr>
            </w:pPr>
          </w:p>
        </w:tc>
        <w:tc>
          <w:tcPr>
            <w:tcW w:w="0" w:type="auto"/>
            <w:gridSpan w:val="3"/>
            <w:shd w:val="clear" w:color="auto" w:fill="auto"/>
          </w:tcPr>
          <w:p w14:paraId="4090DF8F" w14:textId="77777777" w:rsidR="00833634" w:rsidRDefault="00833634">
            <w:pPr>
              <w:rPr>
                <w:rFonts w:ascii="宋体"/>
                <w:vanish/>
              </w:rPr>
            </w:pPr>
          </w:p>
        </w:tc>
        <w:tc>
          <w:tcPr>
            <w:tcW w:w="0" w:type="auto"/>
            <w:gridSpan w:val="3"/>
            <w:shd w:val="clear" w:color="auto" w:fill="auto"/>
          </w:tcPr>
          <w:p w14:paraId="4090DF90" w14:textId="77777777" w:rsidR="00833634" w:rsidRDefault="00833634">
            <w:pPr>
              <w:rPr>
                <w:rFonts w:ascii="宋体"/>
                <w:vanish/>
              </w:rPr>
            </w:pPr>
          </w:p>
        </w:tc>
        <w:tc>
          <w:tcPr>
            <w:tcW w:w="0" w:type="auto"/>
            <w:gridSpan w:val="3"/>
            <w:shd w:val="clear" w:color="auto" w:fill="auto"/>
          </w:tcPr>
          <w:p w14:paraId="4090DF91" w14:textId="77777777" w:rsidR="00833634" w:rsidRDefault="00833634">
            <w:pPr>
              <w:rPr>
                <w:rFonts w:ascii="宋体"/>
                <w:vanish/>
              </w:rPr>
            </w:pPr>
          </w:p>
        </w:tc>
        <w:tc>
          <w:tcPr>
            <w:tcW w:w="0" w:type="auto"/>
            <w:gridSpan w:val="3"/>
            <w:shd w:val="clear" w:color="auto" w:fill="auto"/>
          </w:tcPr>
          <w:p w14:paraId="4090DF92" w14:textId="77777777" w:rsidR="00833634" w:rsidRDefault="00833634">
            <w:pPr>
              <w:rPr>
                <w:rFonts w:ascii="宋体"/>
                <w:vanish/>
              </w:rPr>
            </w:pPr>
          </w:p>
        </w:tc>
        <w:tc>
          <w:tcPr>
            <w:tcW w:w="0" w:type="auto"/>
            <w:gridSpan w:val="3"/>
            <w:shd w:val="clear" w:color="auto" w:fill="auto"/>
          </w:tcPr>
          <w:p w14:paraId="4090DF93" w14:textId="77777777" w:rsidR="00833634" w:rsidRDefault="00833634">
            <w:pPr>
              <w:rPr>
                <w:rFonts w:ascii="宋体"/>
                <w:vanish/>
              </w:rPr>
            </w:pPr>
          </w:p>
        </w:tc>
      </w:tr>
      <w:tr w:rsidR="00833634" w14:paraId="4090DF9F" w14:textId="77777777">
        <w:trPr>
          <w:jc w:val="center"/>
        </w:trPr>
        <w:tc>
          <w:tcPr>
            <w:tcW w:w="0" w:type="auto"/>
            <w:gridSpan w:val="3"/>
            <w:shd w:val="clear" w:color="auto" w:fill="CCEEFF"/>
            <w:tcMar>
              <w:top w:w="40" w:type="dxa"/>
              <w:left w:w="20" w:type="dxa"/>
              <w:bottom w:w="40" w:type="dxa"/>
              <w:right w:w="20" w:type="dxa"/>
            </w:tcMar>
            <w:vAlign w:val="bottom"/>
          </w:tcPr>
          <w:p w14:paraId="4090DF95" w14:textId="77777777" w:rsidR="00833634" w:rsidRDefault="00E15D51">
            <w:pPr>
              <w:ind w:hanging="180"/>
              <w:textAlignment w:val="bottom"/>
            </w:pPr>
            <w:r>
              <w:rPr>
                <w:rFonts w:ascii="Arial" w:eastAsia="宋体" w:hAnsi="Arial" w:cs="Arial"/>
                <w:color w:val="000000"/>
                <w:sz w:val="16"/>
                <w:szCs w:val="16"/>
              </w:rPr>
              <w:t>Treasury shares issued for stock options exercised, net</w:t>
            </w:r>
          </w:p>
        </w:tc>
        <w:tc>
          <w:tcPr>
            <w:tcW w:w="0" w:type="auto"/>
            <w:gridSpan w:val="3"/>
            <w:shd w:val="clear" w:color="auto" w:fill="CCEEFF"/>
            <w:tcMar>
              <w:top w:w="0" w:type="dxa"/>
              <w:left w:w="20" w:type="dxa"/>
              <w:bottom w:w="0" w:type="dxa"/>
              <w:right w:w="20" w:type="dxa"/>
            </w:tcMar>
          </w:tcPr>
          <w:p w14:paraId="4090DF9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F97" w14:textId="77777777" w:rsidR="00833634" w:rsidRDefault="00E15D51">
            <w:pPr>
              <w:jc w:val="right"/>
              <w:textAlignment w:val="bottom"/>
            </w:pPr>
            <w:r>
              <w:rPr>
                <w:rFonts w:ascii="Arial" w:eastAsia="宋体" w:hAnsi="Arial" w:cs="Arial"/>
                <w:color w:val="000000"/>
                <w:sz w:val="16"/>
                <w:szCs w:val="16"/>
              </w:rPr>
              <w:t>(3)</w:t>
            </w:r>
          </w:p>
        </w:tc>
        <w:tc>
          <w:tcPr>
            <w:tcW w:w="0" w:type="auto"/>
            <w:shd w:val="clear" w:color="auto" w:fill="CCEEFF"/>
            <w:tcMar>
              <w:top w:w="40" w:type="dxa"/>
              <w:left w:w="0" w:type="dxa"/>
              <w:bottom w:w="40" w:type="dxa"/>
              <w:right w:w="20" w:type="dxa"/>
            </w:tcMar>
            <w:vAlign w:val="bottom"/>
          </w:tcPr>
          <w:p w14:paraId="4090DF9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DF9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9A"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9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9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F9D" w14:textId="77777777" w:rsidR="00833634" w:rsidRDefault="00E15D51">
            <w:pPr>
              <w:jc w:val="right"/>
              <w:textAlignment w:val="bottom"/>
            </w:pPr>
            <w:r>
              <w:rPr>
                <w:rFonts w:ascii="Arial" w:eastAsia="宋体" w:hAnsi="Arial" w:cs="Arial"/>
                <w:color w:val="000000"/>
                <w:sz w:val="16"/>
                <w:szCs w:val="16"/>
              </w:rPr>
              <w:t>(3)</w:t>
            </w:r>
          </w:p>
        </w:tc>
        <w:tc>
          <w:tcPr>
            <w:tcW w:w="0" w:type="auto"/>
            <w:shd w:val="clear" w:color="auto" w:fill="CCEEFF"/>
            <w:tcMar>
              <w:top w:w="40" w:type="dxa"/>
              <w:left w:w="0" w:type="dxa"/>
              <w:bottom w:w="40" w:type="dxa"/>
              <w:right w:w="20" w:type="dxa"/>
            </w:tcMar>
            <w:vAlign w:val="bottom"/>
          </w:tcPr>
          <w:p w14:paraId="4090DF9E" w14:textId="77777777" w:rsidR="00833634" w:rsidRDefault="00833634">
            <w:pPr>
              <w:jc w:val="right"/>
              <w:rPr>
                <w:rFonts w:ascii="宋体"/>
              </w:rPr>
            </w:pPr>
          </w:p>
        </w:tc>
      </w:tr>
      <w:tr w:rsidR="00833634" w14:paraId="4090DFAB" w14:textId="77777777">
        <w:trPr>
          <w:jc w:val="center"/>
        </w:trPr>
        <w:tc>
          <w:tcPr>
            <w:tcW w:w="0" w:type="auto"/>
            <w:gridSpan w:val="3"/>
            <w:shd w:val="clear" w:color="auto" w:fill="FFFFFF"/>
            <w:tcMar>
              <w:top w:w="40" w:type="dxa"/>
              <w:left w:w="20" w:type="dxa"/>
              <w:bottom w:w="40" w:type="dxa"/>
              <w:right w:w="20" w:type="dxa"/>
            </w:tcMar>
            <w:vAlign w:val="bottom"/>
          </w:tcPr>
          <w:p w14:paraId="4090DFA0" w14:textId="77777777" w:rsidR="00833634" w:rsidRDefault="00E15D51">
            <w:pPr>
              <w:ind w:hanging="180"/>
              <w:textAlignment w:val="bottom"/>
            </w:pPr>
            <w:r>
              <w:rPr>
                <w:rFonts w:ascii="Arial" w:eastAsia="宋体" w:hAnsi="Arial" w:cs="Arial"/>
                <w:color w:val="000000"/>
                <w:sz w:val="16"/>
                <w:szCs w:val="16"/>
              </w:rPr>
              <w:t>Treasury shares issued for other share-based plans, net</w:t>
            </w:r>
          </w:p>
        </w:tc>
        <w:tc>
          <w:tcPr>
            <w:tcW w:w="0" w:type="auto"/>
            <w:gridSpan w:val="3"/>
            <w:shd w:val="clear" w:color="auto" w:fill="FFFFFF"/>
            <w:tcMar>
              <w:top w:w="0" w:type="dxa"/>
              <w:left w:w="20" w:type="dxa"/>
              <w:bottom w:w="0" w:type="dxa"/>
              <w:right w:w="20" w:type="dxa"/>
            </w:tcMar>
          </w:tcPr>
          <w:p w14:paraId="4090DFA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FA2" w14:textId="77777777" w:rsidR="00833634" w:rsidRDefault="00E15D51">
            <w:pPr>
              <w:jc w:val="right"/>
              <w:textAlignment w:val="bottom"/>
            </w:pPr>
            <w:r>
              <w:rPr>
                <w:rFonts w:ascii="Arial" w:eastAsia="宋体" w:hAnsi="Arial" w:cs="Arial"/>
                <w:color w:val="000000"/>
                <w:sz w:val="16"/>
                <w:szCs w:val="16"/>
              </w:rPr>
              <w:t>(3)</w:t>
            </w:r>
          </w:p>
        </w:tc>
        <w:tc>
          <w:tcPr>
            <w:tcW w:w="0" w:type="auto"/>
            <w:shd w:val="clear" w:color="auto" w:fill="FFFFFF"/>
            <w:tcMar>
              <w:top w:w="40" w:type="dxa"/>
              <w:left w:w="0" w:type="dxa"/>
              <w:bottom w:w="40" w:type="dxa"/>
              <w:right w:w="20" w:type="dxa"/>
            </w:tcMar>
            <w:vAlign w:val="bottom"/>
          </w:tcPr>
          <w:p w14:paraId="4090DFA3"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DFA4" w14:textId="77777777" w:rsidR="00833634" w:rsidRDefault="00E15D51">
            <w:pPr>
              <w:jc w:val="right"/>
              <w:textAlignment w:val="bottom"/>
            </w:pPr>
            <w:r>
              <w:rPr>
                <w:rFonts w:ascii="Arial" w:eastAsia="宋体" w:hAnsi="Arial" w:cs="Arial"/>
                <w:color w:val="000000"/>
                <w:sz w:val="16"/>
                <w:szCs w:val="16"/>
              </w:rPr>
              <w:t>8 </w:t>
            </w:r>
          </w:p>
        </w:tc>
        <w:tc>
          <w:tcPr>
            <w:tcW w:w="0" w:type="auto"/>
            <w:shd w:val="clear" w:color="auto" w:fill="FFFFFF"/>
            <w:tcMar>
              <w:top w:w="40" w:type="dxa"/>
              <w:left w:w="0" w:type="dxa"/>
              <w:bottom w:w="40" w:type="dxa"/>
              <w:right w:w="20" w:type="dxa"/>
            </w:tcMar>
            <w:vAlign w:val="bottom"/>
          </w:tcPr>
          <w:p w14:paraId="4090DFA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DFA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FA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DFA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DFA9" w14:textId="77777777" w:rsidR="00833634" w:rsidRDefault="00E15D51">
            <w:pPr>
              <w:jc w:val="right"/>
              <w:textAlignment w:val="bottom"/>
            </w:pPr>
            <w:r>
              <w:rPr>
                <w:rFonts w:ascii="Arial" w:eastAsia="宋体" w:hAnsi="Arial" w:cs="Arial"/>
                <w:color w:val="000000"/>
                <w:sz w:val="16"/>
                <w:szCs w:val="16"/>
              </w:rPr>
              <w:t>5 </w:t>
            </w:r>
          </w:p>
        </w:tc>
        <w:tc>
          <w:tcPr>
            <w:tcW w:w="0" w:type="auto"/>
            <w:shd w:val="clear" w:color="auto" w:fill="FFFFFF"/>
            <w:tcMar>
              <w:top w:w="40" w:type="dxa"/>
              <w:left w:w="0" w:type="dxa"/>
              <w:bottom w:w="40" w:type="dxa"/>
              <w:right w:w="20" w:type="dxa"/>
            </w:tcMar>
            <w:vAlign w:val="bottom"/>
          </w:tcPr>
          <w:p w14:paraId="4090DFAA" w14:textId="77777777" w:rsidR="00833634" w:rsidRDefault="00833634">
            <w:pPr>
              <w:jc w:val="right"/>
              <w:rPr>
                <w:rFonts w:ascii="宋体"/>
              </w:rPr>
            </w:pPr>
          </w:p>
        </w:tc>
      </w:tr>
      <w:tr w:rsidR="00833634" w14:paraId="4090DFB4" w14:textId="77777777">
        <w:trPr>
          <w:jc w:val="center"/>
          <w:hidden/>
        </w:trPr>
        <w:tc>
          <w:tcPr>
            <w:tcW w:w="0" w:type="auto"/>
            <w:gridSpan w:val="3"/>
            <w:shd w:val="clear" w:color="auto" w:fill="auto"/>
          </w:tcPr>
          <w:p w14:paraId="4090DFAC" w14:textId="77777777" w:rsidR="00833634" w:rsidRDefault="00833634">
            <w:pPr>
              <w:rPr>
                <w:rFonts w:ascii="宋体"/>
                <w:vanish/>
              </w:rPr>
            </w:pPr>
          </w:p>
        </w:tc>
        <w:tc>
          <w:tcPr>
            <w:tcW w:w="0" w:type="auto"/>
            <w:gridSpan w:val="3"/>
            <w:shd w:val="clear" w:color="auto" w:fill="auto"/>
          </w:tcPr>
          <w:p w14:paraId="4090DFAD" w14:textId="77777777" w:rsidR="00833634" w:rsidRDefault="00833634">
            <w:pPr>
              <w:rPr>
                <w:rFonts w:ascii="宋体"/>
                <w:vanish/>
              </w:rPr>
            </w:pPr>
          </w:p>
        </w:tc>
        <w:tc>
          <w:tcPr>
            <w:tcW w:w="0" w:type="auto"/>
            <w:gridSpan w:val="3"/>
            <w:shd w:val="clear" w:color="auto" w:fill="auto"/>
          </w:tcPr>
          <w:p w14:paraId="4090DFAE" w14:textId="77777777" w:rsidR="00833634" w:rsidRDefault="00833634">
            <w:pPr>
              <w:rPr>
                <w:rFonts w:ascii="宋体"/>
                <w:vanish/>
              </w:rPr>
            </w:pPr>
          </w:p>
        </w:tc>
        <w:tc>
          <w:tcPr>
            <w:tcW w:w="0" w:type="auto"/>
            <w:gridSpan w:val="3"/>
            <w:shd w:val="clear" w:color="auto" w:fill="auto"/>
          </w:tcPr>
          <w:p w14:paraId="4090DFAF" w14:textId="77777777" w:rsidR="00833634" w:rsidRDefault="00833634">
            <w:pPr>
              <w:rPr>
                <w:rFonts w:ascii="宋体"/>
                <w:vanish/>
              </w:rPr>
            </w:pPr>
          </w:p>
        </w:tc>
        <w:tc>
          <w:tcPr>
            <w:tcW w:w="0" w:type="auto"/>
            <w:gridSpan w:val="3"/>
            <w:shd w:val="clear" w:color="auto" w:fill="auto"/>
          </w:tcPr>
          <w:p w14:paraId="4090DFB0" w14:textId="77777777" w:rsidR="00833634" w:rsidRDefault="00833634">
            <w:pPr>
              <w:rPr>
                <w:rFonts w:ascii="宋体"/>
                <w:vanish/>
              </w:rPr>
            </w:pPr>
          </w:p>
        </w:tc>
        <w:tc>
          <w:tcPr>
            <w:tcW w:w="0" w:type="auto"/>
            <w:gridSpan w:val="3"/>
            <w:shd w:val="clear" w:color="auto" w:fill="auto"/>
          </w:tcPr>
          <w:p w14:paraId="4090DFB1" w14:textId="77777777" w:rsidR="00833634" w:rsidRDefault="00833634">
            <w:pPr>
              <w:rPr>
                <w:rFonts w:ascii="宋体"/>
                <w:vanish/>
              </w:rPr>
            </w:pPr>
          </w:p>
        </w:tc>
        <w:tc>
          <w:tcPr>
            <w:tcW w:w="0" w:type="auto"/>
            <w:gridSpan w:val="3"/>
            <w:shd w:val="clear" w:color="auto" w:fill="auto"/>
          </w:tcPr>
          <w:p w14:paraId="4090DFB2" w14:textId="77777777" w:rsidR="00833634" w:rsidRDefault="00833634">
            <w:pPr>
              <w:rPr>
                <w:rFonts w:ascii="宋体"/>
                <w:vanish/>
              </w:rPr>
            </w:pPr>
          </w:p>
        </w:tc>
        <w:tc>
          <w:tcPr>
            <w:tcW w:w="0" w:type="auto"/>
            <w:gridSpan w:val="3"/>
            <w:shd w:val="clear" w:color="auto" w:fill="auto"/>
          </w:tcPr>
          <w:p w14:paraId="4090DFB3" w14:textId="77777777" w:rsidR="00833634" w:rsidRDefault="00833634">
            <w:pPr>
              <w:rPr>
                <w:rFonts w:ascii="宋体"/>
                <w:vanish/>
              </w:rPr>
            </w:pPr>
          </w:p>
        </w:tc>
      </w:tr>
      <w:tr w:rsidR="00833634" w14:paraId="4090DFBD" w14:textId="77777777">
        <w:trPr>
          <w:jc w:val="center"/>
          <w:hidden/>
        </w:trPr>
        <w:tc>
          <w:tcPr>
            <w:tcW w:w="0" w:type="auto"/>
            <w:gridSpan w:val="3"/>
            <w:shd w:val="clear" w:color="auto" w:fill="auto"/>
          </w:tcPr>
          <w:p w14:paraId="4090DFB5" w14:textId="77777777" w:rsidR="00833634" w:rsidRDefault="00833634">
            <w:pPr>
              <w:rPr>
                <w:rFonts w:ascii="宋体"/>
                <w:vanish/>
              </w:rPr>
            </w:pPr>
          </w:p>
        </w:tc>
        <w:tc>
          <w:tcPr>
            <w:tcW w:w="0" w:type="auto"/>
            <w:gridSpan w:val="3"/>
            <w:shd w:val="clear" w:color="auto" w:fill="auto"/>
          </w:tcPr>
          <w:p w14:paraId="4090DFB6" w14:textId="77777777" w:rsidR="00833634" w:rsidRDefault="00833634">
            <w:pPr>
              <w:rPr>
                <w:rFonts w:ascii="宋体"/>
                <w:vanish/>
              </w:rPr>
            </w:pPr>
          </w:p>
        </w:tc>
        <w:tc>
          <w:tcPr>
            <w:tcW w:w="0" w:type="auto"/>
            <w:gridSpan w:val="3"/>
            <w:shd w:val="clear" w:color="auto" w:fill="auto"/>
          </w:tcPr>
          <w:p w14:paraId="4090DFB7" w14:textId="77777777" w:rsidR="00833634" w:rsidRDefault="00833634">
            <w:pPr>
              <w:rPr>
                <w:rFonts w:ascii="宋体"/>
                <w:vanish/>
              </w:rPr>
            </w:pPr>
          </w:p>
        </w:tc>
        <w:tc>
          <w:tcPr>
            <w:tcW w:w="0" w:type="auto"/>
            <w:gridSpan w:val="3"/>
            <w:shd w:val="clear" w:color="auto" w:fill="auto"/>
          </w:tcPr>
          <w:p w14:paraId="4090DFB8" w14:textId="77777777" w:rsidR="00833634" w:rsidRDefault="00833634">
            <w:pPr>
              <w:rPr>
                <w:rFonts w:ascii="宋体"/>
                <w:vanish/>
              </w:rPr>
            </w:pPr>
          </w:p>
        </w:tc>
        <w:tc>
          <w:tcPr>
            <w:tcW w:w="0" w:type="auto"/>
            <w:gridSpan w:val="3"/>
            <w:shd w:val="clear" w:color="auto" w:fill="auto"/>
          </w:tcPr>
          <w:p w14:paraId="4090DFB9" w14:textId="77777777" w:rsidR="00833634" w:rsidRDefault="00833634">
            <w:pPr>
              <w:rPr>
                <w:rFonts w:ascii="宋体"/>
                <w:vanish/>
              </w:rPr>
            </w:pPr>
          </w:p>
        </w:tc>
        <w:tc>
          <w:tcPr>
            <w:tcW w:w="0" w:type="auto"/>
            <w:gridSpan w:val="3"/>
            <w:shd w:val="clear" w:color="auto" w:fill="auto"/>
          </w:tcPr>
          <w:p w14:paraId="4090DFBA" w14:textId="77777777" w:rsidR="00833634" w:rsidRDefault="00833634">
            <w:pPr>
              <w:rPr>
                <w:rFonts w:ascii="宋体"/>
                <w:vanish/>
              </w:rPr>
            </w:pPr>
          </w:p>
        </w:tc>
        <w:tc>
          <w:tcPr>
            <w:tcW w:w="0" w:type="auto"/>
            <w:gridSpan w:val="3"/>
            <w:shd w:val="clear" w:color="auto" w:fill="auto"/>
          </w:tcPr>
          <w:p w14:paraId="4090DFBB" w14:textId="77777777" w:rsidR="00833634" w:rsidRDefault="00833634">
            <w:pPr>
              <w:rPr>
                <w:rFonts w:ascii="宋体"/>
                <w:vanish/>
              </w:rPr>
            </w:pPr>
          </w:p>
        </w:tc>
        <w:tc>
          <w:tcPr>
            <w:tcW w:w="0" w:type="auto"/>
            <w:gridSpan w:val="3"/>
            <w:shd w:val="clear" w:color="auto" w:fill="auto"/>
          </w:tcPr>
          <w:p w14:paraId="4090DFBC" w14:textId="77777777" w:rsidR="00833634" w:rsidRDefault="00833634">
            <w:pPr>
              <w:rPr>
                <w:rFonts w:ascii="宋体"/>
                <w:vanish/>
              </w:rPr>
            </w:pPr>
          </w:p>
        </w:tc>
      </w:tr>
      <w:tr w:rsidR="00833634" w14:paraId="4090DFC6" w14:textId="77777777">
        <w:trPr>
          <w:jc w:val="center"/>
          <w:hidden/>
        </w:trPr>
        <w:tc>
          <w:tcPr>
            <w:tcW w:w="0" w:type="auto"/>
            <w:gridSpan w:val="3"/>
            <w:shd w:val="clear" w:color="auto" w:fill="auto"/>
          </w:tcPr>
          <w:p w14:paraId="4090DFBE" w14:textId="77777777" w:rsidR="00833634" w:rsidRDefault="00833634">
            <w:pPr>
              <w:rPr>
                <w:rFonts w:ascii="宋体"/>
                <w:vanish/>
              </w:rPr>
            </w:pPr>
          </w:p>
        </w:tc>
        <w:tc>
          <w:tcPr>
            <w:tcW w:w="0" w:type="auto"/>
            <w:gridSpan w:val="3"/>
            <w:shd w:val="clear" w:color="auto" w:fill="auto"/>
          </w:tcPr>
          <w:p w14:paraId="4090DFBF" w14:textId="77777777" w:rsidR="00833634" w:rsidRDefault="00833634">
            <w:pPr>
              <w:rPr>
                <w:rFonts w:ascii="宋体"/>
                <w:vanish/>
              </w:rPr>
            </w:pPr>
          </w:p>
        </w:tc>
        <w:tc>
          <w:tcPr>
            <w:tcW w:w="0" w:type="auto"/>
            <w:gridSpan w:val="3"/>
            <w:shd w:val="clear" w:color="auto" w:fill="auto"/>
          </w:tcPr>
          <w:p w14:paraId="4090DFC0" w14:textId="77777777" w:rsidR="00833634" w:rsidRDefault="00833634">
            <w:pPr>
              <w:rPr>
                <w:rFonts w:ascii="宋体"/>
                <w:vanish/>
              </w:rPr>
            </w:pPr>
          </w:p>
        </w:tc>
        <w:tc>
          <w:tcPr>
            <w:tcW w:w="0" w:type="auto"/>
            <w:gridSpan w:val="3"/>
            <w:shd w:val="clear" w:color="auto" w:fill="auto"/>
          </w:tcPr>
          <w:p w14:paraId="4090DFC1" w14:textId="77777777" w:rsidR="00833634" w:rsidRDefault="00833634">
            <w:pPr>
              <w:rPr>
                <w:rFonts w:ascii="宋体"/>
                <w:vanish/>
              </w:rPr>
            </w:pPr>
          </w:p>
        </w:tc>
        <w:tc>
          <w:tcPr>
            <w:tcW w:w="0" w:type="auto"/>
            <w:gridSpan w:val="3"/>
            <w:shd w:val="clear" w:color="auto" w:fill="auto"/>
          </w:tcPr>
          <w:p w14:paraId="4090DFC2" w14:textId="77777777" w:rsidR="00833634" w:rsidRDefault="00833634">
            <w:pPr>
              <w:rPr>
                <w:rFonts w:ascii="宋体"/>
                <w:vanish/>
              </w:rPr>
            </w:pPr>
          </w:p>
        </w:tc>
        <w:tc>
          <w:tcPr>
            <w:tcW w:w="0" w:type="auto"/>
            <w:gridSpan w:val="3"/>
            <w:shd w:val="clear" w:color="auto" w:fill="auto"/>
          </w:tcPr>
          <w:p w14:paraId="4090DFC3" w14:textId="77777777" w:rsidR="00833634" w:rsidRDefault="00833634">
            <w:pPr>
              <w:rPr>
                <w:rFonts w:ascii="宋体"/>
                <w:vanish/>
              </w:rPr>
            </w:pPr>
          </w:p>
        </w:tc>
        <w:tc>
          <w:tcPr>
            <w:tcW w:w="0" w:type="auto"/>
            <w:gridSpan w:val="3"/>
            <w:shd w:val="clear" w:color="auto" w:fill="auto"/>
          </w:tcPr>
          <w:p w14:paraId="4090DFC4" w14:textId="77777777" w:rsidR="00833634" w:rsidRDefault="00833634">
            <w:pPr>
              <w:rPr>
                <w:rFonts w:ascii="宋体"/>
                <w:vanish/>
              </w:rPr>
            </w:pPr>
          </w:p>
        </w:tc>
        <w:tc>
          <w:tcPr>
            <w:tcW w:w="0" w:type="auto"/>
            <w:gridSpan w:val="3"/>
            <w:shd w:val="clear" w:color="auto" w:fill="auto"/>
          </w:tcPr>
          <w:p w14:paraId="4090DFC5" w14:textId="77777777" w:rsidR="00833634" w:rsidRDefault="00833634">
            <w:pPr>
              <w:rPr>
                <w:rFonts w:ascii="宋体"/>
                <w:vanish/>
              </w:rPr>
            </w:pPr>
          </w:p>
        </w:tc>
      </w:tr>
      <w:tr w:rsidR="00833634" w14:paraId="4090DFD1" w14:textId="77777777">
        <w:trPr>
          <w:jc w:val="center"/>
        </w:trPr>
        <w:tc>
          <w:tcPr>
            <w:tcW w:w="0" w:type="auto"/>
            <w:gridSpan w:val="3"/>
            <w:shd w:val="clear" w:color="auto" w:fill="CCEEFF"/>
            <w:tcMar>
              <w:top w:w="40" w:type="dxa"/>
              <w:left w:w="20" w:type="dxa"/>
              <w:bottom w:w="40" w:type="dxa"/>
              <w:right w:w="20" w:type="dxa"/>
            </w:tcMar>
            <w:vAlign w:val="bottom"/>
          </w:tcPr>
          <w:p w14:paraId="4090DFC7" w14:textId="77777777" w:rsidR="00833634" w:rsidRDefault="00E15D51">
            <w:pPr>
              <w:textAlignment w:val="bottom"/>
            </w:pPr>
            <w:r>
              <w:rPr>
                <w:rFonts w:ascii="Arial" w:eastAsia="宋体" w:hAnsi="Arial" w:cs="Arial"/>
                <w:color w:val="000000"/>
                <w:sz w:val="16"/>
                <w:szCs w:val="16"/>
              </w:rPr>
              <w:t>Changes in noncontrolling interests</w:t>
            </w:r>
          </w:p>
        </w:tc>
        <w:tc>
          <w:tcPr>
            <w:tcW w:w="0" w:type="auto"/>
            <w:gridSpan w:val="3"/>
            <w:shd w:val="clear" w:color="auto" w:fill="CCEEFF"/>
            <w:tcMar>
              <w:top w:w="0" w:type="dxa"/>
              <w:left w:w="20" w:type="dxa"/>
              <w:bottom w:w="0" w:type="dxa"/>
              <w:right w:w="20" w:type="dxa"/>
            </w:tcMar>
          </w:tcPr>
          <w:p w14:paraId="4090DFC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C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CA"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C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DFC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DFCD" w14:textId="77777777" w:rsidR="00833634" w:rsidRDefault="00E15D51">
            <w:pPr>
              <w:jc w:val="right"/>
              <w:textAlignment w:val="bottom"/>
            </w:pPr>
            <w:r>
              <w:rPr>
                <w:rFonts w:ascii="Arial" w:eastAsia="宋体" w:hAnsi="Arial" w:cs="Arial"/>
                <w:color w:val="000000"/>
                <w:sz w:val="16"/>
                <w:szCs w:val="16"/>
              </w:rPr>
              <w:t>(57)</w:t>
            </w:r>
          </w:p>
        </w:tc>
        <w:tc>
          <w:tcPr>
            <w:tcW w:w="0" w:type="auto"/>
            <w:shd w:val="clear" w:color="auto" w:fill="CCEEFF"/>
            <w:tcMar>
              <w:top w:w="40" w:type="dxa"/>
              <w:left w:w="0" w:type="dxa"/>
              <w:bottom w:w="40" w:type="dxa"/>
              <w:right w:w="20" w:type="dxa"/>
            </w:tcMar>
            <w:vAlign w:val="bottom"/>
          </w:tcPr>
          <w:p w14:paraId="4090DFCE"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DFCF" w14:textId="77777777" w:rsidR="00833634" w:rsidRDefault="00E15D51">
            <w:pPr>
              <w:jc w:val="right"/>
              <w:textAlignment w:val="bottom"/>
            </w:pPr>
            <w:r>
              <w:rPr>
                <w:rFonts w:ascii="Arial" w:eastAsia="宋体" w:hAnsi="Arial" w:cs="Arial"/>
                <w:color w:val="000000"/>
                <w:sz w:val="16"/>
                <w:szCs w:val="16"/>
              </w:rPr>
              <w:t>(57)</w:t>
            </w:r>
          </w:p>
        </w:tc>
        <w:tc>
          <w:tcPr>
            <w:tcW w:w="0" w:type="auto"/>
            <w:shd w:val="clear" w:color="auto" w:fill="CCEEFF"/>
            <w:tcMar>
              <w:top w:w="40" w:type="dxa"/>
              <w:left w:w="0" w:type="dxa"/>
              <w:bottom w:w="40" w:type="dxa"/>
              <w:right w:w="20" w:type="dxa"/>
            </w:tcMar>
            <w:vAlign w:val="bottom"/>
          </w:tcPr>
          <w:p w14:paraId="4090DFD0" w14:textId="77777777" w:rsidR="00833634" w:rsidRDefault="00833634">
            <w:pPr>
              <w:jc w:val="right"/>
              <w:rPr>
                <w:rFonts w:ascii="宋体"/>
              </w:rPr>
            </w:pPr>
          </w:p>
        </w:tc>
      </w:tr>
      <w:tr w:rsidR="00833634" w14:paraId="4090DFE1"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FD2" w14:textId="77777777" w:rsidR="00833634" w:rsidRDefault="00E15D51">
            <w:pPr>
              <w:textAlignment w:val="bottom"/>
            </w:pPr>
            <w:r>
              <w:rPr>
                <w:rFonts w:ascii="Arial" w:eastAsia="宋体" w:hAnsi="Arial" w:cs="Arial"/>
                <w:color w:val="000000"/>
                <w:sz w:val="16"/>
                <w:szCs w:val="16"/>
              </w:rPr>
              <w:t>Balance at September 30, 2019</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D3" w14:textId="77777777" w:rsidR="00833634" w:rsidRDefault="00E15D51">
            <w:pPr>
              <w:jc w:val="right"/>
              <w:textAlignment w:val="bottom"/>
            </w:pPr>
            <w:r>
              <w:rPr>
                <w:rFonts w:ascii="Arial" w:eastAsia="宋体" w:hAnsi="Arial" w:cs="Arial"/>
                <w:color w:val="000000"/>
                <w:sz w:val="16"/>
                <w:szCs w:val="16"/>
              </w:rPr>
              <w:t>$5,061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D4"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D5" w14:textId="77777777" w:rsidR="00833634" w:rsidRDefault="00E15D51">
            <w:pPr>
              <w:jc w:val="right"/>
              <w:textAlignment w:val="bottom"/>
            </w:pPr>
            <w:r>
              <w:rPr>
                <w:rFonts w:ascii="Arial" w:eastAsia="宋体" w:hAnsi="Arial" w:cs="Arial"/>
                <w:color w:val="000000"/>
                <w:sz w:val="16"/>
                <w:szCs w:val="16"/>
              </w:rPr>
              <w:t>$6,688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D6"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D7" w14:textId="77777777" w:rsidR="00833634" w:rsidRDefault="00E15D51">
            <w:pPr>
              <w:jc w:val="right"/>
              <w:textAlignment w:val="bottom"/>
            </w:pPr>
            <w:r>
              <w:rPr>
                <w:rFonts w:ascii="Arial" w:eastAsia="宋体" w:hAnsi="Arial" w:cs="Arial"/>
                <w:color w:val="000000"/>
                <w:sz w:val="16"/>
                <w:szCs w:val="16"/>
              </w:rPr>
              <w:t>($54,924)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D8"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D9" w14:textId="77777777" w:rsidR="00833634" w:rsidRDefault="00E15D51">
            <w:pPr>
              <w:jc w:val="right"/>
              <w:textAlignment w:val="bottom"/>
            </w:pPr>
            <w:r>
              <w:rPr>
                <w:rFonts w:ascii="Arial" w:eastAsia="宋体" w:hAnsi="Arial" w:cs="Arial"/>
                <w:color w:val="000000"/>
                <w:sz w:val="16"/>
                <w:szCs w:val="16"/>
              </w:rPr>
              <w:t>$53,986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DA"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DB" w14:textId="77777777" w:rsidR="00833634" w:rsidRDefault="00E15D51">
            <w:pPr>
              <w:jc w:val="right"/>
              <w:textAlignment w:val="bottom"/>
            </w:pPr>
            <w:r>
              <w:rPr>
                <w:rFonts w:ascii="Arial" w:eastAsia="宋体" w:hAnsi="Arial" w:cs="Arial"/>
                <w:color w:val="000000"/>
                <w:sz w:val="16"/>
                <w:szCs w:val="16"/>
              </w:rPr>
              <w:t>($14,927)</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DC"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DD" w14:textId="77777777" w:rsidR="00833634" w:rsidRDefault="00E15D51">
            <w:pPr>
              <w:jc w:val="right"/>
              <w:textAlignment w:val="bottom"/>
            </w:pPr>
            <w:r>
              <w:rPr>
                <w:rFonts w:ascii="Arial" w:eastAsia="宋体" w:hAnsi="Arial" w:cs="Arial"/>
                <w:color w:val="000000"/>
                <w:sz w:val="16"/>
                <w:szCs w:val="16"/>
              </w:rPr>
              <w:t>$307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DE"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DF" w14:textId="77777777" w:rsidR="00833634" w:rsidRDefault="00E15D51">
            <w:pPr>
              <w:jc w:val="right"/>
              <w:textAlignment w:val="bottom"/>
            </w:pPr>
            <w:r>
              <w:rPr>
                <w:rFonts w:ascii="Arial" w:eastAsia="宋体" w:hAnsi="Arial" w:cs="Arial"/>
                <w:color w:val="000000"/>
                <w:sz w:val="16"/>
                <w:szCs w:val="16"/>
              </w:rPr>
              <w:t>($3,809)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E0" w14:textId="77777777" w:rsidR="00833634" w:rsidRDefault="00833634">
            <w:pPr>
              <w:jc w:val="right"/>
              <w:rPr>
                <w:rFonts w:ascii="宋体"/>
              </w:rPr>
            </w:pPr>
          </w:p>
        </w:tc>
      </w:tr>
      <w:tr w:rsidR="00833634" w14:paraId="4090DFEA" w14:textId="77777777">
        <w:trPr>
          <w:trHeight w:val="220"/>
          <w:jc w:val="center"/>
        </w:trPr>
        <w:tc>
          <w:tcPr>
            <w:tcW w:w="0" w:type="auto"/>
            <w:gridSpan w:val="3"/>
            <w:tcBorders>
              <w:top w:val="double" w:sz="6" w:space="0" w:color="000000"/>
            </w:tcBorders>
            <w:shd w:val="clear" w:color="auto" w:fill="CCEEFF"/>
            <w:tcMar>
              <w:top w:w="0" w:type="dxa"/>
              <w:left w:w="20" w:type="dxa"/>
              <w:bottom w:w="0" w:type="dxa"/>
              <w:right w:w="20" w:type="dxa"/>
            </w:tcMar>
          </w:tcPr>
          <w:p w14:paraId="4090DFE2"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FE3"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FE4"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FE5"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FE6"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FE7"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FE8"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DFE9" w14:textId="77777777" w:rsidR="00833634" w:rsidRDefault="00833634">
            <w:pPr>
              <w:rPr>
                <w:rFonts w:ascii="宋体"/>
              </w:rPr>
            </w:pPr>
          </w:p>
        </w:tc>
      </w:tr>
      <w:tr w:rsidR="00833634" w14:paraId="4090DFFA"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DFEB" w14:textId="77777777" w:rsidR="00833634" w:rsidRDefault="00E15D51">
            <w:pPr>
              <w:textAlignment w:val="bottom"/>
            </w:pPr>
            <w:r>
              <w:rPr>
                <w:rFonts w:ascii="Arial" w:eastAsia="宋体" w:hAnsi="Arial" w:cs="Arial"/>
                <w:b/>
                <w:bCs/>
                <w:color w:val="000000"/>
                <w:sz w:val="16"/>
                <w:szCs w:val="16"/>
              </w:rPr>
              <w:t>Balance at July 1, 2020</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EC" w14:textId="77777777" w:rsidR="00833634" w:rsidRDefault="00E15D51">
            <w:pPr>
              <w:jc w:val="right"/>
              <w:textAlignment w:val="bottom"/>
            </w:pPr>
            <w:r>
              <w:rPr>
                <w:rFonts w:ascii="Arial" w:eastAsia="宋体" w:hAnsi="Arial" w:cs="Arial"/>
                <w:b/>
                <w:bCs/>
                <w:color w:val="000000"/>
                <w:sz w:val="16"/>
                <w:szCs w:val="16"/>
              </w:rPr>
              <w:t>$5,061</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ED"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EE" w14:textId="77777777" w:rsidR="00833634" w:rsidRDefault="00E15D51">
            <w:pPr>
              <w:jc w:val="right"/>
              <w:textAlignment w:val="bottom"/>
            </w:pPr>
            <w:r>
              <w:rPr>
                <w:rFonts w:ascii="Arial" w:eastAsia="宋体" w:hAnsi="Arial" w:cs="Arial"/>
                <w:b/>
                <w:bCs/>
                <w:color w:val="000000"/>
                <w:sz w:val="16"/>
                <w:szCs w:val="16"/>
              </w:rPr>
              <w:t>$6,648</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EF"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F0" w14:textId="77777777" w:rsidR="00833634" w:rsidRDefault="00E15D51">
            <w:pPr>
              <w:jc w:val="right"/>
              <w:textAlignment w:val="bottom"/>
            </w:pPr>
            <w:r>
              <w:rPr>
                <w:rFonts w:ascii="Arial" w:eastAsia="宋体" w:hAnsi="Arial" w:cs="Arial"/>
                <w:b/>
                <w:bCs/>
                <w:color w:val="000000"/>
                <w:sz w:val="16"/>
                <w:szCs w:val="16"/>
              </w:rPr>
              <w:t>($54,829)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F1"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F2" w14:textId="77777777" w:rsidR="00833634" w:rsidRDefault="00E15D51">
            <w:pPr>
              <w:jc w:val="right"/>
              <w:textAlignment w:val="bottom"/>
            </w:pPr>
            <w:r>
              <w:rPr>
                <w:rFonts w:ascii="Arial" w:eastAsia="宋体" w:hAnsi="Arial" w:cs="Arial"/>
                <w:b/>
                <w:bCs/>
                <w:color w:val="000000"/>
                <w:sz w:val="16"/>
                <w:szCs w:val="16"/>
              </w:rPr>
              <w:t>$47,478</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F3"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F4" w14:textId="77777777" w:rsidR="00833634" w:rsidRDefault="00E15D51">
            <w:pPr>
              <w:jc w:val="right"/>
              <w:textAlignment w:val="bottom"/>
            </w:pPr>
            <w:r>
              <w:rPr>
                <w:rFonts w:ascii="Arial" w:eastAsia="宋体" w:hAnsi="Arial" w:cs="Arial"/>
                <w:b/>
                <w:bCs/>
                <w:color w:val="000000"/>
                <w:sz w:val="16"/>
                <w:szCs w:val="16"/>
              </w:rPr>
              <w:t>($16,025)</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F5"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F6" w14:textId="77777777" w:rsidR="00833634" w:rsidRDefault="00E15D51">
            <w:pPr>
              <w:jc w:val="right"/>
              <w:textAlignment w:val="bottom"/>
            </w:pPr>
            <w:r>
              <w:rPr>
                <w:rFonts w:ascii="Arial" w:eastAsia="宋体" w:hAnsi="Arial" w:cs="Arial"/>
                <w:b/>
                <w:bCs/>
                <w:color w:val="000000"/>
                <w:sz w:val="16"/>
                <w:szCs w:val="16"/>
              </w:rPr>
              <w:t>$285</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F7" w14:textId="77777777" w:rsidR="00833634" w:rsidRDefault="00833634">
            <w:pPr>
              <w:jc w:val="right"/>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DFF8" w14:textId="77777777" w:rsidR="00833634" w:rsidRDefault="00E15D51">
            <w:pPr>
              <w:jc w:val="right"/>
              <w:textAlignment w:val="bottom"/>
            </w:pPr>
            <w:r>
              <w:rPr>
                <w:rFonts w:ascii="Arial" w:eastAsia="宋体" w:hAnsi="Arial" w:cs="Arial"/>
                <w:b/>
                <w:bCs/>
                <w:color w:val="000000"/>
                <w:sz w:val="16"/>
                <w:szCs w:val="16"/>
              </w:rPr>
              <w:t>($11,382)</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DFF9" w14:textId="77777777" w:rsidR="00833634" w:rsidRDefault="00833634">
            <w:pPr>
              <w:jc w:val="right"/>
              <w:rPr>
                <w:rFonts w:ascii="宋体"/>
              </w:rPr>
            </w:pPr>
          </w:p>
        </w:tc>
      </w:tr>
      <w:tr w:rsidR="00833634" w14:paraId="4090E006"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DFFB" w14:textId="77777777" w:rsidR="00833634" w:rsidRDefault="00E15D51">
            <w:pPr>
              <w:textAlignment w:val="bottom"/>
            </w:pPr>
            <w:r>
              <w:rPr>
                <w:rFonts w:ascii="Arial" w:eastAsia="宋体" w:hAnsi="Arial" w:cs="Arial"/>
                <w:b/>
                <w:bCs/>
                <w:color w:val="000000"/>
                <w:sz w:val="16"/>
                <w:szCs w:val="16"/>
              </w:rPr>
              <w:t>Net loss</w:t>
            </w:r>
          </w:p>
        </w:tc>
        <w:tc>
          <w:tcPr>
            <w:tcW w:w="0" w:type="auto"/>
            <w:gridSpan w:val="3"/>
            <w:tcBorders>
              <w:top w:val="single" w:sz="8" w:space="0" w:color="000000"/>
            </w:tcBorders>
            <w:shd w:val="clear" w:color="auto" w:fill="CCEEFF"/>
            <w:tcMar>
              <w:top w:w="0" w:type="dxa"/>
              <w:left w:w="20" w:type="dxa"/>
              <w:bottom w:w="0" w:type="dxa"/>
              <w:right w:w="20" w:type="dxa"/>
            </w:tcMar>
          </w:tcPr>
          <w:p w14:paraId="4090DFFC"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FFD"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DFF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DFFF" w14:textId="77777777" w:rsidR="00833634" w:rsidRDefault="00E15D51">
            <w:pPr>
              <w:jc w:val="right"/>
              <w:textAlignment w:val="bottom"/>
            </w:pPr>
            <w:r>
              <w:rPr>
                <w:rFonts w:ascii="Arial" w:eastAsia="宋体" w:hAnsi="Arial" w:cs="Arial"/>
                <w:b/>
                <w:bCs/>
                <w:color w:val="000000"/>
                <w:sz w:val="16"/>
                <w:szCs w:val="16"/>
              </w:rPr>
              <w:t>(449)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00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0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002" w14:textId="77777777" w:rsidR="00833634" w:rsidRDefault="00E15D51">
            <w:pPr>
              <w:jc w:val="right"/>
              <w:textAlignment w:val="bottom"/>
            </w:pPr>
            <w:r>
              <w:rPr>
                <w:rFonts w:ascii="Arial" w:eastAsia="宋体" w:hAnsi="Arial" w:cs="Arial"/>
                <w:b/>
                <w:bCs/>
                <w:color w:val="000000"/>
                <w:sz w:val="16"/>
                <w:szCs w:val="16"/>
              </w:rPr>
              <w:t>(17)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003"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004" w14:textId="77777777" w:rsidR="00833634" w:rsidRDefault="00E15D51">
            <w:pPr>
              <w:jc w:val="right"/>
              <w:textAlignment w:val="bottom"/>
            </w:pPr>
            <w:r>
              <w:rPr>
                <w:rFonts w:ascii="Arial" w:eastAsia="宋体" w:hAnsi="Arial" w:cs="Arial"/>
                <w:b/>
                <w:bCs/>
                <w:color w:val="000000"/>
                <w:sz w:val="16"/>
                <w:szCs w:val="16"/>
              </w:rPr>
              <w:t>(466)</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005" w14:textId="77777777" w:rsidR="00833634" w:rsidRDefault="00833634">
            <w:pPr>
              <w:jc w:val="right"/>
              <w:rPr>
                <w:rFonts w:ascii="宋体"/>
              </w:rPr>
            </w:pPr>
          </w:p>
        </w:tc>
      </w:tr>
      <w:tr w:rsidR="00833634" w14:paraId="4090E011" w14:textId="77777777">
        <w:trPr>
          <w:jc w:val="center"/>
        </w:trPr>
        <w:tc>
          <w:tcPr>
            <w:tcW w:w="0" w:type="auto"/>
            <w:gridSpan w:val="3"/>
            <w:shd w:val="clear" w:color="auto" w:fill="FFFFFF"/>
            <w:tcMar>
              <w:top w:w="40" w:type="dxa"/>
              <w:left w:w="20" w:type="dxa"/>
              <w:bottom w:w="40" w:type="dxa"/>
              <w:right w:w="20" w:type="dxa"/>
            </w:tcMar>
            <w:vAlign w:val="bottom"/>
          </w:tcPr>
          <w:p w14:paraId="4090E007" w14:textId="77777777" w:rsidR="00833634" w:rsidRDefault="00E15D51">
            <w:pPr>
              <w:ind w:hanging="180"/>
              <w:textAlignment w:val="bottom"/>
            </w:pPr>
            <w:r>
              <w:rPr>
                <w:rFonts w:ascii="Arial" w:eastAsia="宋体" w:hAnsi="Arial" w:cs="Arial"/>
                <w:b/>
                <w:bCs/>
                <w:color w:val="000000"/>
                <w:sz w:val="16"/>
                <w:szCs w:val="16"/>
              </w:rPr>
              <w:t>Other comprehensive income, net of tax of ($79)</w:t>
            </w:r>
          </w:p>
        </w:tc>
        <w:tc>
          <w:tcPr>
            <w:tcW w:w="0" w:type="auto"/>
            <w:gridSpan w:val="3"/>
            <w:shd w:val="clear" w:color="auto" w:fill="FFFFFF"/>
            <w:tcMar>
              <w:top w:w="0" w:type="dxa"/>
              <w:left w:w="20" w:type="dxa"/>
              <w:bottom w:w="0" w:type="dxa"/>
              <w:right w:w="20" w:type="dxa"/>
            </w:tcMar>
          </w:tcPr>
          <w:p w14:paraId="4090E00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009"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00A"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00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0C" w14:textId="77777777" w:rsidR="00833634" w:rsidRDefault="00E15D51">
            <w:pPr>
              <w:jc w:val="right"/>
              <w:textAlignment w:val="bottom"/>
            </w:pPr>
            <w:r>
              <w:rPr>
                <w:rFonts w:ascii="Arial" w:eastAsia="宋体" w:hAnsi="Arial" w:cs="Arial"/>
                <w:b/>
                <w:bCs/>
                <w:color w:val="000000"/>
                <w:sz w:val="16"/>
                <w:szCs w:val="16"/>
              </w:rPr>
              <w:t>246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E00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0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0F" w14:textId="77777777" w:rsidR="00833634" w:rsidRDefault="00E15D51">
            <w:pPr>
              <w:jc w:val="right"/>
              <w:textAlignment w:val="bottom"/>
            </w:pPr>
            <w:r>
              <w:rPr>
                <w:rFonts w:ascii="Arial" w:eastAsia="宋体" w:hAnsi="Arial" w:cs="Arial"/>
                <w:b/>
                <w:bCs/>
                <w:color w:val="000000"/>
                <w:sz w:val="16"/>
                <w:szCs w:val="16"/>
              </w:rPr>
              <w:t>246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E010" w14:textId="77777777" w:rsidR="00833634" w:rsidRDefault="00833634">
            <w:pPr>
              <w:jc w:val="right"/>
              <w:rPr>
                <w:rFonts w:ascii="宋体"/>
              </w:rPr>
            </w:pPr>
          </w:p>
        </w:tc>
      </w:tr>
      <w:tr w:rsidR="00833634" w14:paraId="4090E01C" w14:textId="77777777">
        <w:trPr>
          <w:jc w:val="center"/>
        </w:trPr>
        <w:tc>
          <w:tcPr>
            <w:tcW w:w="0" w:type="auto"/>
            <w:gridSpan w:val="3"/>
            <w:shd w:val="clear" w:color="auto" w:fill="CCEEFF"/>
            <w:tcMar>
              <w:top w:w="40" w:type="dxa"/>
              <w:left w:w="180" w:type="dxa"/>
              <w:bottom w:w="40" w:type="dxa"/>
              <w:right w:w="20" w:type="dxa"/>
            </w:tcMar>
            <w:vAlign w:val="bottom"/>
          </w:tcPr>
          <w:p w14:paraId="4090E012" w14:textId="77777777" w:rsidR="00833634" w:rsidRDefault="00E15D51">
            <w:pPr>
              <w:ind w:hanging="180"/>
              <w:textAlignment w:val="bottom"/>
            </w:pPr>
            <w:r>
              <w:rPr>
                <w:rFonts w:ascii="Arial" w:eastAsia="宋体" w:hAnsi="Arial" w:cs="Arial"/>
                <w:b/>
                <w:bCs/>
                <w:color w:val="000000"/>
                <w:sz w:val="16"/>
                <w:szCs w:val="16"/>
              </w:rPr>
              <w:t xml:space="preserve">Share-based compensation and related dividend </w:t>
            </w:r>
            <w:r>
              <w:rPr>
                <w:rFonts w:ascii="Arial" w:eastAsia="宋体" w:hAnsi="Arial" w:cs="Arial"/>
                <w:b/>
                <w:bCs/>
                <w:color w:val="000000"/>
                <w:sz w:val="16"/>
                <w:szCs w:val="16"/>
              </w:rPr>
              <w:t>equivalents</w:t>
            </w:r>
          </w:p>
        </w:tc>
        <w:tc>
          <w:tcPr>
            <w:tcW w:w="0" w:type="auto"/>
            <w:gridSpan w:val="3"/>
            <w:shd w:val="clear" w:color="auto" w:fill="CCEEFF"/>
            <w:tcMar>
              <w:top w:w="0" w:type="dxa"/>
              <w:left w:w="20" w:type="dxa"/>
              <w:bottom w:w="0" w:type="dxa"/>
              <w:right w:w="20" w:type="dxa"/>
            </w:tcMar>
          </w:tcPr>
          <w:p w14:paraId="4090E01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14" w14:textId="77777777" w:rsidR="00833634" w:rsidRDefault="00E15D51">
            <w:pPr>
              <w:jc w:val="right"/>
              <w:textAlignment w:val="bottom"/>
            </w:pPr>
            <w:r>
              <w:rPr>
                <w:rFonts w:ascii="Arial" w:eastAsia="宋体" w:hAnsi="Arial" w:cs="Arial"/>
                <w:b/>
                <w:bCs/>
                <w:color w:val="000000"/>
                <w:sz w:val="16"/>
                <w:szCs w:val="16"/>
              </w:rPr>
              <w:t>50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01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01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01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01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01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1A" w14:textId="77777777" w:rsidR="00833634" w:rsidRDefault="00E15D51">
            <w:pPr>
              <w:jc w:val="right"/>
              <w:textAlignment w:val="bottom"/>
            </w:pPr>
            <w:r>
              <w:rPr>
                <w:rFonts w:ascii="Arial" w:eastAsia="宋体" w:hAnsi="Arial" w:cs="Arial"/>
                <w:b/>
                <w:bCs/>
                <w:color w:val="000000"/>
                <w:sz w:val="16"/>
                <w:szCs w:val="16"/>
              </w:rPr>
              <w:t>50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01B" w14:textId="77777777" w:rsidR="00833634" w:rsidRDefault="00833634">
            <w:pPr>
              <w:jc w:val="right"/>
              <w:rPr>
                <w:rFonts w:ascii="宋体"/>
              </w:rPr>
            </w:pPr>
          </w:p>
        </w:tc>
      </w:tr>
      <w:tr w:rsidR="00833634" w14:paraId="4090E025" w14:textId="77777777">
        <w:trPr>
          <w:jc w:val="center"/>
          <w:hidden/>
        </w:trPr>
        <w:tc>
          <w:tcPr>
            <w:tcW w:w="0" w:type="auto"/>
            <w:gridSpan w:val="3"/>
            <w:shd w:val="clear" w:color="auto" w:fill="auto"/>
          </w:tcPr>
          <w:p w14:paraId="4090E01D" w14:textId="77777777" w:rsidR="00833634" w:rsidRDefault="00833634">
            <w:pPr>
              <w:rPr>
                <w:rFonts w:ascii="宋体"/>
                <w:vanish/>
              </w:rPr>
            </w:pPr>
          </w:p>
        </w:tc>
        <w:tc>
          <w:tcPr>
            <w:tcW w:w="0" w:type="auto"/>
            <w:gridSpan w:val="3"/>
            <w:shd w:val="clear" w:color="auto" w:fill="auto"/>
          </w:tcPr>
          <w:p w14:paraId="4090E01E" w14:textId="77777777" w:rsidR="00833634" w:rsidRDefault="00833634">
            <w:pPr>
              <w:rPr>
                <w:rFonts w:ascii="宋体"/>
                <w:vanish/>
              </w:rPr>
            </w:pPr>
          </w:p>
        </w:tc>
        <w:tc>
          <w:tcPr>
            <w:tcW w:w="0" w:type="auto"/>
            <w:gridSpan w:val="3"/>
            <w:shd w:val="clear" w:color="auto" w:fill="auto"/>
          </w:tcPr>
          <w:p w14:paraId="4090E01F" w14:textId="77777777" w:rsidR="00833634" w:rsidRDefault="00833634">
            <w:pPr>
              <w:rPr>
                <w:rFonts w:ascii="宋体"/>
                <w:vanish/>
              </w:rPr>
            </w:pPr>
          </w:p>
        </w:tc>
        <w:tc>
          <w:tcPr>
            <w:tcW w:w="0" w:type="auto"/>
            <w:gridSpan w:val="3"/>
            <w:shd w:val="clear" w:color="auto" w:fill="auto"/>
          </w:tcPr>
          <w:p w14:paraId="4090E020" w14:textId="77777777" w:rsidR="00833634" w:rsidRDefault="00833634">
            <w:pPr>
              <w:rPr>
                <w:rFonts w:ascii="宋体"/>
                <w:vanish/>
              </w:rPr>
            </w:pPr>
          </w:p>
        </w:tc>
        <w:tc>
          <w:tcPr>
            <w:tcW w:w="0" w:type="auto"/>
            <w:gridSpan w:val="3"/>
            <w:shd w:val="clear" w:color="auto" w:fill="auto"/>
          </w:tcPr>
          <w:p w14:paraId="4090E021" w14:textId="77777777" w:rsidR="00833634" w:rsidRDefault="00833634">
            <w:pPr>
              <w:rPr>
                <w:rFonts w:ascii="宋体"/>
                <w:vanish/>
              </w:rPr>
            </w:pPr>
          </w:p>
        </w:tc>
        <w:tc>
          <w:tcPr>
            <w:tcW w:w="0" w:type="auto"/>
            <w:gridSpan w:val="3"/>
            <w:shd w:val="clear" w:color="auto" w:fill="auto"/>
          </w:tcPr>
          <w:p w14:paraId="4090E022" w14:textId="77777777" w:rsidR="00833634" w:rsidRDefault="00833634">
            <w:pPr>
              <w:rPr>
                <w:rFonts w:ascii="宋体"/>
                <w:vanish/>
              </w:rPr>
            </w:pPr>
          </w:p>
        </w:tc>
        <w:tc>
          <w:tcPr>
            <w:tcW w:w="0" w:type="auto"/>
            <w:gridSpan w:val="3"/>
            <w:shd w:val="clear" w:color="auto" w:fill="auto"/>
          </w:tcPr>
          <w:p w14:paraId="4090E023" w14:textId="77777777" w:rsidR="00833634" w:rsidRDefault="00833634">
            <w:pPr>
              <w:rPr>
                <w:rFonts w:ascii="宋体"/>
                <w:vanish/>
              </w:rPr>
            </w:pPr>
          </w:p>
        </w:tc>
        <w:tc>
          <w:tcPr>
            <w:tcW w:w="0" w:type="auto"/>
            <w:gridSpan w:val="3"/>
            <w:shd w:val="clear" w:color="auto" w:fill="auto"/>
          </w:tcPr>
          <w:p w14:paraId="4090E024" w14:textId="77777777" w:rsidR="00833634" w:rsidRDefault="00833634">
            <w:pPr>
              <w:rPr>
                <w:rFonts w:ascii="宋体"/>
                <w:vanish/>
              </w:rPr>
            </w:pPr>
          </w:p>
        </w:tc>
      </w:tr>
      <w:tr w:rsidR="00833634" w14:paraId="4090E031" w14:textId="77777777">
        <w:trPr>
          <w:jc w:val="center"/>
        </w:trPr>
        <w:tc>
          <w:tcPr>
            <w:tcW w:w="0" w:type="auto"/>
            <w:gridSpan w:val="3"/>
            <w:shd w:val="clear" w:color="auto" w:fill="FFFFFF"/>
            <w:tcMar>
              <w:top w:w="40" w:type="dxa"/>
              <w:left w:w="180" w:type="dxa"/>
              <w:bottom w:w="40" w:type="dxa"/>
              <w:right w:w="20" w:type="dxa"/>
            </w:tcMar>
            <w:vAlign w:val="bottom"/>
          </w:tcPr>
          <w:p w14:paraId="4090E026" w14:textId="77777777" w:rsidR="00833634" w:rsidRDefault="00E15D51">
            <w:pPr>
              <w:ind w:hanging="180"/>
              <w:textAlignment w:val="bottom"/>
            </w:pPr>
            <w:r>
              <w:rPr>
                <w:rFonts w:ascii="Arial" w:eastAsia="宋体" w:hAnsi="Arial" w:cs="Arial"/>
                <w:b/>
                <w:bCs/>
                <w:color w:val="000000"/>
                <w:sz w:val="16"/>
                <w:szCs w:val="16"/>
              </w:rPr>
              <w:t>Treasury shares issued for stock options exercised, net</w:t>
            </w:r>
          </w:p>
        </w:tc>
        <w:tc>
          <w:tcPr>
            <w:tcW w:w="0" w:type="auto"/>
            <w:gridSpan w:val="3"/>
            <w:shd w:val="clear" w:color="auto" w:fill="FFFFFF"/>
            <w:tcMar>
              <w:top w:w="0" w:type="dxa"/>
              <w:left w:w="20" w:type="dxa"/>
              <w:bottom w:w="0" w:type="dxa"/>
              <w:right w:w="20" w:type="dxa"/>
            </w:tcMar>
          </w:tcPr>
          <w:p w14:paraId="4090E02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28" w14:textId="77777777" w:rsidR="00833634" w:rsidRDefault="00E15D51">
            <w:pPr>
              <w:jc w:val="right"/>
              <w:textAlignment w:val="bottom"/>
            </w:pPr>
            <w:r>
              <w:rPr>
                <w:rFonts w:ascii="Arial" w:eastAsia="宋体" w:hAnsi="Arial" w:cs="Arial"/>
                <w:b/>
                <w:bCs/>
                <w:color w:val="000000"/>
                <w:sz w:val="16"/>
                <w:szCs w:val="16"/>
              </w:rPr>
              <w:t>(2)</w:t>
            </w:r>
          </w:p>
        </w:tc>
        <w:tc>
          <w:tcPr>
            <w:tcW w:w="0" w:type="auto"/>
            <w:shd w:val="clear" w:color="auto" w:fill="FFFFFF"/>
            <w:tcMar>
              <w:top w:w="40" w:type="dxa"/>
              <w:left w:w="0" w:type="dxa"/>
              <w:bottom w:w="40" w:type="dxa"/>
              <w:right w:w="20" w:type="dxa"/>
            </w:tcMar>
            <w:vAlign w:val="bottom"/>
          </w:tcPr>
          <w:p w14:paraId="4090E029"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02A" w14:textId="77777777" w:rsidR="00833634" w:rsidRDefault="00E15D51">
            <w:pPr>
              <w:jc w:val="right"/>
              <w:textAlignment w:val="bottom"/>
            </w:pPr>
            <w:r>
              <w:rPr>
                <w:rFonts w:ascii="Arial" w:eastAsia="宋体" w:hAnsi="Arial" w:cs="Arial"/>
                <w:b/>
                <w:bCs/>
                <w:color w:val="000000"/>
                <w:sz w:val="16"/>
                <w:szCs w:val="16"/>
              </w:rPr>
              <w:t>6</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E02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2C"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02D"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02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2F" w14:textId="77777777" w:rsidR="00833634" w:rsidRDefault="00E15D51">
            <w:pPr>
              <w:jc w:val="right"/>
              <w:textAlignment w:val="bottom"/>
            </w:pPr>
            <w:r>
              <w:rPr>
                <w:rFonts w:ascii="Arial" w:eastAsia="宋体" w:hAnsi="Arial" w:cs="Arial"/>
                <w:b/>
                <w:bCs/>
                <w:color w:val="000000"/>
                <w:sz w:val="16"/>
                <w:szCs w:val="16"/>
              </w:rPr>
              <w:t>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E030" w14:textId="77777777" w:rsidR="00833634" w:rsidRDefault="00833634">
            <w:pPr>
              <w:jc w:val="right"/>
              <w:rPr>
                <w:rFonts w:ascii="宋体"/>
              </w:rPr>
            </w:pPr>
          </w:p>
        </w:tc>
      </w:tr>
      <w:tr w:rsidR="00833634" w14:paraId="4090E03D" w14:textId="77777777">
        <w:trPr>
          <w:jc w:val="center"/>
        </w:trPr>
        <w:tc>
          <w:tcPr>
            <w:tcW w:w="0" w:type="auto"/>
            <w:gridSpan w:val="3"/>
            <w:shd w:val="clear" w:color="auto" w:fill="CCEEFF"/>
            <w:tcMar>
              <w:top w:w="40" w:type="dxa"/>
              <w:left w:w="180" w:type="dxa"/>
              <w:bottom w:w="40" w:type="dxa"/>
              <w:right w:w="20" w:type="dxa"/>
            </w:tcMar>
            <w:vAlign w:val="bottom"/>
          </w:tcPr>
          <w:p w14:paraId="4090E032" w14:textId="77777777" w:rsidR="00833634" w:rsidRDefault="00E15D51">
            <w:pPr>
              <w:ind w:hanging="180"/>
              <w:textAlignment w:val="bottom"/>
            </w:pPr>
            <w:r>
              <w:rPr>
                <w:rFonts w:ascii="Arial" w:eastAsia="宋体" w:hAnsi="Arial" w:cs="Arial"/>
                <w:b/>
                <w:bCs/>
                <w:color w:val="000000"/>
                <w:sz w:val="16"/>
                <w:szCs w:val="16"/>
              </w:rPr>
              <w:t>Treasury s</w:t>
            </w:r>
            <w:r>
              <w:rPr>
                <w:rFonts w:ascii="Arial" w:eastAsia="宋体" w:hAnsi="Arial" w:cs="Arial"/>
                <w:b/>
                <w:bCs/>
                <w:color w:val="000000"/>
                <w:sz w:val="16"/>
                <w:szCs w:val="16"/>
              </w:rPr>
              <w:t>hares issued for other share-based plans, net</w:t>
            </w:r>
          </w:p>
        </w:tc>
        <w:tc>
          <w:tcPr>
            <w:tcW w:w="0" w:type="auto"/>
            <w:gridSpan w:val="3"/>
            <w:shd w:val="clear" w:color="auto" w:fill="CCEEFF"/>
            <w:tcMar>
              <w:top w:w="0" w:type="dxa"/>
              <w:left w:w="20" w:type="dxa"/>
              <w:bottom w:w="0" w:type="dxa"/>
              <w:right w:w="20" w:type="dxa"/>
            </w:tcMar>
          </w:tcPr>
          <w:p w14:paraId="4090E03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34" w14:textId="77777777" w:rsidR="00833634" w:rsidRDefault="00E15D51">
            <w:pPr>
              <w:jc w:val="right"/>
              <w:textAlignment w:val="bottom"/>
            </w:pPr>
            <w:r>
              <w:rPr>
                <w:rFonts w:ascii="Arial" w:eastAsia="宋体" w:hAnsi="Arial" w:cs="Arial"/>
                <w:b/>
                <w:bCs/>
                <w:color w:val="000000"/>
                <w:sz w:val="16"/>
                <w:szCs w:val="16"/>
              </w:rPr>
              <w:t>(9)</w:t>
            </w:r>
          </w:p>
        </w:tc>
        <w:tc>
          <w:tcPr>
            <w:tcW w:w="0" w:type="auto"/>
            <w:shd w:val="clear" w:color="auto" w:fill="CCEEFF"/>
            <w:tcMar>
              <w:top w:w="40" w:type="dxa"/>
              <w:left w:w="0" w:type="dxa"/>
              <w:bottom w:w="40" w:type="dxa"/>
              <w:right w:w="20" w:type="dxa"/>
            </w:tcMar>
            <w:vAlign w:val="bottom"/>
          </w:tcPr>
          <w:p w14:paraId="4090E035"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036" w14:textId="77777777" w:rsidR="00833634" w:rsidRDefault="00E15D51">
            <w:pPr>
              <w:jc w:val="right"/>
              <w:textAlignment w:val="bottom"/>
            </w:pPr>
            <w:r>
              <w:rPr>
                <w:rFonts w:ascii="Arial" w:eastAsia="宋体" w:hAnsi="Arial" w:cs="Arial"/>
                <w:b/>
                <w:bCs/>
                <w:color w:val="000000"/>
                <w:sz w:val="16"/>
                <w:szCs w:val="16"/>
              </w:rPr>
              <w:t>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03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03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03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03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3B" w14:textId="77777777" w:rsidR="00833634" w:rsidRDefault="00E15D51">
            <w:pPr>
              <w:jc w:val="right"/>
              <w:textAlignment w:val="bottom"/>
            </w:pPr>
            <w:r>
              <w:rPr>
                <w:rFonts w:ascii="Arial" w:eastAsia="宋体" w:hAnsi="Arial" w:cs="Arial"/>
                <w:b/>
                <w:bCs/>
                <w:color w:val="000000"/>
                <w:sz w:val="16"/>
                <w:szCs w:val="16"/>
              </w:rPr>
              <w:t>(5)</w:t>
            </w:r>
          </w:p>
        </w:tc>
        <w:tc>
          <w:tcPr>
            <w:tcW w:w="0" w:type="auto"/>
            <w:shd w:val="clear" w:color="auto" w:fill="CCEEFF"/>
            <w:tcMar>
              <w:top w:w="40" w:type="dxa"/>
              <w:left w:w="0" w:type="dxa"/>
              <w:bottom w:w="40" w:type="dxa"/>
              <w:right w:w="20" w:type="dxa"/>
            </w:tcMar>
            <w:vAlign w:val="bottom"/>
          </w:tcPr>
          <w:p w14:paraId="4090E03C" w14:textId="77777777" w:rsidR="00833634" w:rsidRDefault="00833634">
            <w:pPr>
              <w:jc w:val="right"/>
              <w:rPr>
                <w:rFonts w:ascii="宋体"/>
              </w:rPr>
            </w:pPr>
          </w:p>
        </w:tc>
      </w:tr>
      <w:tr w:rsidR="00833634" w14:paraId="4090E046" w14:textId="77777777">
        <w:trPr>
          <w:jc w:val="center"/>
          <w:hidden/>
        </w:trPr>
        <w:tc>
          <w:tcPr>
            <w:tcW w:w="0" w:type="auto"/>
            <w:gridSpan w:val="3"/>
            <w:shd w:val="clear" w:color="auto" w:fill="auto"/>
          </w:tcPr>
          <w:p w14:paraId="4090E03E" w14:textId="77777777" w:rsidR="00833634" w:rsidRDefault="00833634">
            <w:pPr>
              <w:rPr>
                <w:rFonts w:ascii="宋体"/>
                <w:vanish/>
              </w:rPr>
            </w:pPr>
          </w:p>
        </w:tc>
        <w:tc>
          <w:tcPr>
            <w:tcW w:w="0" w:type="auto"/>
            <w:gridSpan w:val="3"/>
            <w:shd w:val="clear" w:color="auto" w:fill="auto"/>
          </w:tcPr>
          <w:p w14:paraId="4090E03F" w14:textId="77777777" w:rsidR="00833634" w:rsidRDefault="00833634">
            <w:pPr>
              <w:rPr>
                <w:rFonts w:ascii="宋体"/>
                <w:vanish/>
              </w:rPr>
            </w:pPr>
          </w:p>
        </w:tc>
        <w:tc>
          <w:tcPr>
            <w:tcW w:w="0" w:type="auto"/>
            <w:gridSpan w:val="3"/>
            <w:shd w:val="clear" w:color="auto" w:fill="auto"/>
          </w:tcPr>
          <w:p w14:paraId="4090E040" w14:textId="77777777" w:rsidR="00833634" w:rsidRDefault="00833634">
            <w:pPr>
              <w:rPr>
                <w:rFonts w:ascii="宋体"/>
                <w:vanish/>
              </w:rPr>
            </w:pPr>
          </w:p>
        </w:tc>
        <w:tc>
          <w:tcPr>
            <w:tcW w:w="0" w:type="auto"/>
            <w:gridSpan w:val="3"/>
            <w:shd w:val="clear" w:color="auto" w:fill="auto"/>
          </w:tcPr>
          <w:p w14:paraId="4090E041" w14:textId="77777777" w:rsidR="00833634" w:rsidRDefault="00833634">
            <w:pPr>
              <w:rPr>
                <w:rFonts w:ascii="宋体"/>
                <w:vanish/>
              </w:rPr>
            </w:pPr>
          </w:p>
        </w:tc>
        <w:tc>
          <w:tcPr>
            <w:tcW w:w="0" w:type="auto"/>
            <w:gridSpan w:val="3"/>
            <w:shd w:val="clear" w:color="auto" w:fill="auto"/>
          </w:tcPr>
          <w:p w14:paraId="4090E042" w14:textId="77777777" w:rsidR="00833634" w:rsidRDefault="00833634">
            <w:pPr>
              <w:rPr>
                <w:rFonts w:ascii="宋体"/>
                <w:vanish/>
              </w:rPr>
            </w:pPr>
          </w:p>
        </w:tc>
        <w:tc>
          <w:tcPr>
            <w:tcW w:w="0" w:type="auto"/>
            <w:gridSpan w:val="3"/>
            <w:shd w:val="clear" w:color="auto" w:fill="auto"/>
          </w:tcPr>
          <w:p w14:paraId="4090E043" w14:textId="77777777" w:rsidR="00833634" w:rsidRDefault="00833634">
            <w:pPr>
              <w:rPr>
                <w:rFonts w:ascii="宋体"/>
                <w:vanish/>
              </w:rPr>
            </w:pPr>
          </w:p>
        </w:tc>
        <w:tc>
          <w:tcPr>
            <w:tcW w:w="0" w:type="auto"/>
            <w:gridSpan w:val="3"/>
            <w:shd w:val="clear" w:color="auto" w:fill="auto"/>
          </w:tcPr>
          <w:p w14:paraId="4090E044" w14:textId="77777777" w:rsidR="00833634" w:rsidRDefault="00833634">
            <w:pPr>
              <w:rPr>
                <w:rFonts w:ascii="宋体"/>
                <w:vanish/>
              </w:rPr>
            </w:pPr>
          </w:p>
        </w:tc>
        <w:tc>
          <w:tcPr>
            <w:tcW w:w="0" w:type="auto"/>
            <w:gridSpan w:val="3"/>
            <w:shd w:val="clear" w:color="auto" w:fill="auto"/>
          </w:tcPr>
          <w:p w14:paraId="4090E045" w14:textId="77777777" w:rsidR="00833634" w:rsidRDefault="00833634">
            <w:pPr>
              <w:rPr>
                <w:rFonts w:ascii="宋体"/>
                <w:vanish/>
              </w:rPr>
            </w:pPr>
          </w:p>
        </w:tc>
      </w:tr>
      <w:tr w:rsidR="00833634" w14:paraId="4090E04F" w14:textId="77777777">
        <w:trPr>
          <w:jc w:val="center"/>
          <w:hidden/>
        </w:trPr>
        <w:tc>
          <w:tcPr>
            <w:tcW w:w="0" w:type="auto"/>
            <w:gridSpan w:val="3"/>
            <w:shd w:val="clear" w:color="auto" w:fill="auto"/>
          </w:tcPr>
          <w:p w14:paraId="4090E047" w14:textId="77777777" w:rsidR="00833634" w:rsidRDefault="00833634">
            <w:pPr>
              <w:rPr>
                <w:rFonts w:ascii="宋体"/>
                <w:vanish/>
              </w:rPr>
            </w:pPr>
          </w:p>
        </w:tc>
        <w:tc>
          <w:tcPr>
            <w:tcW w:w="0" w:type="auto"/>
            <w:gridSpan w:val="3"/>
            <w:shd w:val="clear" w:color="auto" w:fill="auto"/>
          </w:tcPr>
          <w:p w14:paraId="4090E048" w14:textId="77777777" w:rsidR="00833634" w:rsidRDefault="00833634">
            <w:pPr>
              <w:rPr>
                <w:rFonts w:ascii="宋体"/>
                <w:vanish/>
              </w:rPr>
            </w:pPr>
          </w:p>
        </w:tc>
        <w:tc>
          <w:tcPr>
            <w:tcW w:w="0" w:type="auto"/>
            <w:gridSpan w:val="3"/>
            <w:shd w:val="clear" w:color="auto" w:fill="auto"/>
          </w:tcPr>
          <w:p w14:paraId="4090E049" w14:textId="77777777" w:rsidR="00833634" w:rsidRDefault="00833634">
            <w:pPr>
              <w:rPr>
                <w:rFonts w:ascii="宋体"/>
                <w:vanish/>
              </w:rPr>
            </w:pPr>
          </w:p>
        </w:tc>
        <w:tc>
          <w:tcPr>
            <w:tcW w:w="0" w:type="auto"/>
            <w:gridSpan w:val="3"/>
            <w:shd w:val="clear" w:color="auto" w:fill="auto"/>
          </w:tcPr>
          <w:p w14:paraId="4090E04A" w14:textId="77777777" w:rsidR="00833634" w:rsidRDefault="00833634">
            <w:pPr>
              <w:rPr>
                <w:rFonts w:ascii="宋体"/>
                <w:vanish/>
              </w:rPr>
            </w:pPr>
          </w:p>
        </w:tc>
        <w:tc>
          <w:tcPr>
            <w:tcW w:w="0" w:type="auto"/>
            <w:gridSpan w:val="3"/>
            <w:shd w:val="clear" w:color="auto" w:fill="auto"/>
          </w:tcPr>
          <w:p w14:paraId="4090E04B" w14:textId="77777777" w:rsidR="00833634" w:rsidRDefault="00833634">
            <w:pPr>
              <w:rPr>
                <w:rFonts w:ascii="宋体"/>
                <w:vanish/>
              </w:rPr>
            </w:pPr>
          </w:p>
        </w:tc>
        <w:tc>
          <w:tcPr>
            <w:tcW w:w="0" w:type="auto"/>
            <w:gridSpan w:val="3"/>
            <w:shd w:val="clear" w:color="auto" w:fill="auto"/>
          </w:tcPr>
          <w:p w14:paraId="4090E04C" w14:textId="77777777" w:rsidR="00833634" w:rsidRDefault="00833634">
            <w:pPr>
              <w:rPr>
                <w:rFonts w:ascii="宋体"/>
                <w:vanish/>
              </w:rPr>
            </w:pPr>
          </w:p>
        </w:tc>
        <w:tc>
          <w:tcPr>
            <w:tcW w:w="0" w:type="auto"/>
            <w:gridSpan w:val="3"/>
            <w:shd w:val="clear" w:color="auto" w:fill="auto"/>
          </w:tcPr>
          <w:p w14:paraId="4090E04D" w14:textId="77777777" w:rsidR="00833634" w:rsidRDefault="00833634">
            <w:pPr>
              <w:rPr>
                <w:rFonts w:ascii="宋体"/>
                <w:vanish/>
              </w:rPr>
            </w:pPr>
          </w:p>
        </w:tc>
        <w:tc>
          <w:tcPr>
            <w:tcW w:w="0" w:type="auto"/>
            <w:gridSpan w:val="3"/>
            <w:shd w:val="clear" w:color="auto" w:fill="auto"/>
          </w:tcPr>
          <w:p w14:paraId="4090E04E" w14:textId="77777777" w:rsidR="00833634" w:rsidRDefault="00833634">
            <w:pPr>
              <w:rPr>
                <w:rFonts w:ascii="宋体"/>
                <w:vanish/>
              </w:rPr>
            </w:pPr>
          </w:p>
        </w:tc>
      </w:tr>
      <w:tr w:rsidR="00833634" w14:paraId="4090E058" w14:textId="77777777">
        <w:trPr>
          <w:jc w:val="center"/>
          <w:hidden/>
        </w:trPr>
        <w:tc>
          <w:tcPr>
            <w:tcW w:w="0" w:type="auto"/>
            <w:gridSpan w:val="3"/>
            <w:shd w:val="clear" w:color="auto" w:fill="auto"/>
          </w:tcPr>
          <w:p w14:paraId="4090E050" w14:textId="77777777" w:rsidR="00833634" w:rsidRDefault="00833634">
            <w:pPr>
              <w:rPr>
                <w:rFonts w:ascii="宋体"/>
                <w:vanish/>
              </w:rPr>
            </w:pPr>
          </w:p>
        </w:tc>
        <w:tc>
          <w:tcPr>
            <w:tcW w:w="0" w:type="auto"/>
            <w:gridSpan w:val="3"/>
            <w:shd w:val="clear" w:color="auto" w:fill="auto"/>
          </w:tcPr>
          <w:p w14:paraId="4090E051" w14:textId="77777777" w:rsidR="00833634" w:rsidRDefault="00833634">
            <w:pPr>
              <w:rPr>
                <w:rFonts w:ascii="宋体"/>
                <w:vanish/>
              </w:rPr>
            </w:pPr>
          </w:p>
        </w:tc>
        <w:tc>
          <w:tcPr>
            <w:tcW w:w="0" w:type="auto"/>
            <w:gridSpan w:val="3"/>
            <w:shd w:val="clear" w:color="auto" w:fill="auto"/>
          </w:tcPr>
          <w:p w14:paraId="4090E052" w14:textId="77777777" w:rsidR="00833634" w:rsidRDefault="00833634">
            <w:pPr>
              <w:rPr>
                <w:rFonts w:ascii="宋体"/>
                <w:vanish/>
              </w:rPr>
            </w:pPr>
          </w:p>
        </w:tc>
        <w:tc>
          <w:tcPr>
            <w:tcW w:w="0" w:type="auto"/>
            <w:gridSpan w:val="3"/>
            <w:shd w:val="clear" w:color="auto" w:fill="auto"/>
          </w:tcPr>
          <w:p w14:paraId="4090E053" w14:textId="77777777" w:rsidR="00833634" w:rsidRDefault="00833634">
            <w:pPr>
              <w:rPr>
                <w:rFonts w:ascii="宋体"/>
                <w:vanish/>
              </w:rPr>
            </w:pPr>
          </w:p>
        </w:tc>
        <w:tc>
          <w:tcPr>
            <w:tcW w:w="0" w:type="auto"/>
            <w:gridSpan w:val="3"/>
            <w:shd w:val="clear" w:color="auto" w:fill="auto"/>
          </w:tcPr>
          <w:p w14:paraId="4090E054" w14:textId="77777777" w:rsidR="00833634" w:rsidRDefault="00833634">
            <w:pPr>
              <w:rPr>
                <w:rFonts w:ascii="宋体"/>
                <w:vanish/>
              </w:rPr>
            </w:pPr>
          </w:p>
        </w:tc>
        <w:tc>
          <w:tcPr>
            <w:tcW w:w="0" w:type="auto"/>
            <w:gridSpan w:val="3"/>
            <w:shd w:val="clear" w:color="auto" w:fill="auto"/>
          </w:tcPr>
          <w:p w14:paraId="4090E055" w14:textId="77777777" w:rsidR="00833634" w:rsidRDefault="00833634">
            <w:pPr>
              <w:rPr>
                <w:rFonts w:ascii="宋体"/>
                <w:vanish/>
              </w:rPr>
            </w:pPr>
          </w:p>
        </w:tc>
        <w:tc>
          <w:tcPr>
            <w:tcW w:w="0" w:type="auto"/>
            <w:gridSpan w:val="3"/>
            <w:shd w:val="clear" w:color="auto" w:fill="auto"/>
          </w:tcPr>
          <w:p w14:paraId="4090E056" w14:textId="77777777" w:rsidR="00833634" w:rsidRDefault="00833634">
            <w:pPr>
              <w:rPr>
                <w:rFonts w:ascii="宋体"/>
                <w:vanish/>
              </w:rPr>
            </w:pPr>
          </w:p>
        </w:tc>
        <w:tc>
          <w:tcPr>
            <w:tcW w:w="0" w:type="auto"/>
            <w:gridSpan w:val="3"/>
            <w:shd w:val="clear" w:color="auto" w:fill="auto"/>
          </w:tcPr>
          <w:p w14:paraId="4090E057" w14:textId="77777777" w:rsidR="00833634" w:rsidRDefault="00833634">
            <w:pPr>
              <w:rPr>
                <w:rFonts w:ascii="宋体"/>
                <w:vanish/>
              </w:rPr>
            </w:pPr>
          </w:p>
        </w:tc>
      </w:tr>
      <w:tr w:rsidR="00833634" w14:paraId="4090E061" w14:textId="77777777">
        <w:trPr>
          <w:jc w:val="center"/>
          <w:hidden/>
        </w:trPr>
        <w:tc>
          <w:tcPr>
            <w:tcW w:w="0" w:type="auto"/>
            <w:gridSpan w:val="3"/>
            <w:shd w:val="clear" w:color="auto" w:fill="auto"/>
          </w:tcPr>
          <w:p w14:paraId="4090E059" w14:textId="77777777" w:rsidR="00833634" w:rsidRDefault="00833634">
            <w:pPr>
              <w:rPr>
                <w:rFonts w:ascii="宋体"/>
                <w:vanish/>
              </w:rPr>
            </w:pPr>
          </w:p>
        </w:tc>
        <w:tc>
          <w:tcPr>
            <w:tcW w:w="0" w:type="auto"/>
            <w:gridSpan w:val="3"/>
            <w:shd w:val="clear" w:color="auto" w:fill="auto"/>
          </w:tcPr>
          <w:p w14:paraId="4090E05A" w14:textId="77777777" w:rsidR="00833634" w:rsidRDefault="00833634">
            <w:pPr>
              <w:rPr>
                <w:rFonts w:ascii="宋体"/>
                <w:vanish/>
              </w:rPr>
            </w:pPr>
          </w:p>
        </w:tc>
        <w:tc>
          <w:tcPr>
            <w:tcW w:w="0" w:type="auto"/>
            <w:gridSpan w:val="3"/>
            <w:shd w:val="clear" w:color="auto" w:fill="auto"/>
          </w:tcPr>
          <w:p w14:paraId="4090E05B" w14:textId="77777777" w:rsidR="00833634" w:rsidRDefault="00833634">
            <w:pPr>
              <w:rPr>
                <w:rFonts w:ascii="宋体"/>
                <w:vanish/>
              </w:rPr>
            </w:pPr>
          </w:p>
        </w:tc>
        <w:tc>
          <w:tcPr>
            <w:tcW w:w="0" w:type="auto"/>
            <w:gridSpan w:val="3"/>
            <w:shd w:val="clear" w:color="auto" w:fill="auto"/>
          </w:tcPr>
          <w:p w14:paraId="4090E05C" w14:textId="77777777" w:rsidR="00833634" w:rsidRDefault="00833634">
            <w:pPr>
              <w:rPr>
                <w:rFonts w:ascii="宋体"/>
                <w:vanish/>
              </w:rPr>
            </w:pPr>
          </w:p>
        </w:tc>
        <w:tc>
          <w:tcPr>
            <w:tcW w:w="0" w:type="auto"/>
            <w:gridSpan w:val="3"/>
            <w:shd w:val="clear" w:color="auto" w:fill="auto"/>
          </w:tcPr>
          <w:p w14:paraId="4090E05D" w14:textId="77777777" w:rsidR="00833634" w:rsidRDefault="00833634">
            <w:pPr>
              <w:rPr>
                <w:rFonts w:ascii="宋体"/>
                <w:vanish/>
              </w:rPr>
            </w:pPr>
          </w:p>
        </w:tc>
        <w:tc>
          <w:tcPr>
            <w:tcW w:w="0" w:type="auto"/>
            <w:gridSpan w:val="3"/>
            <w:shd w:val="clear" w:color="auto" w:fill="auto"/>
          </w:tcPr>
          <w:p w14:paraId="4090E05E" w14:textId="77777777" w:rsidR="00833634" w:rsidRDefault="00833634">
            <w:pPr>
              <w:rPr>
                <w:rFonts w:ascii="宋体"/>
                <w:vanish/>
              </w:rPr>
            </w:pPr>
          </w:p>
        </w:tc>
        <w:tc>
          <w:tcPr>
            <w:tcW w:w="0" w:type="auto"/>
            <w:gridSpan w:val="3"/>
            <w:shd w:val="clear" w:color="auto" w:fill="auto"/>
          </w:tcPr>
          <w:p w14:paraId="4090E05F" w14:textId="77777777" w:rsidR="00833634" w:rsidRDefault="00833634">
            <w:pPr>
              <w:rPr>
                <w:rFonts w:ascii="宋体"/>
                <w:vanish/>
              </w:rPr>
            </w:pPr>
          </w:p>
        </w:tc>
        <w:tc>
          <w:tcPr>
            <w:tcW w:w="0" w:type="auto"/>
            <w:gridSpan w:val="3"/>
            <w:shd w:val="clear" w:color="auto" w:fill="auto"/>
          </w:tcPr>
          <w:p w14:paraId="4090E060" w14:textId="77777777" w:rsidR="00833634" w:rsidRDefault="00833634">
            <w:pPr>
              <w:rPr>
                <w:rFonts w:ascii="宋体"/>
                <w:vanish/>
              </w:rPr>
            </w:pPr>
          </w:p>
        </w:tc>
      </w:tr>
      <w:tr w:rsidR="00833634" w14:paraId="4090E071" w14:textId="77777777">
        <w:trPr>
          <w:jc w:val="center"/>
        </w:trPr>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E062" w14:textId="77777777" w:rsidR="00833634" w:rsidRDefault="00E15D51">
            <w:pPr>
              <w:textAlignment w:val="bottom"/>
            </w:pPr>
            <w:r>
              <w:rPr>
                <w:rFonts w:ascii="Arial" w:eastAsia="宋体" w:hAnsi="Arial" w:cs="Arial"/>
                <w:b/>
                <w:bCs/>
                <w:color w:val="000000"/>
                <w:sz w:val="16"/>
                <w:szCs w:val="16"/>
              </w:rPr>
              <w:t>Balance at September 30,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063" w14:textId="77777777" w:rsidR="00833634" w:rsidRDefault="00E15D51">
            <w:pPr>
              <w:jc w:val="right"/>
              <w:textAlignment w:val="bottom"/>
            </w:pPr>
            <w:r>
              <w:rPr>
                <w:rFonts w:ascii="Arial" w:eastAsia="宋体" w:hAnsi="Arial" w:cs="Arial"/>
                <w:b/>
                <w:bCs/>
                <w:color w:val="000000"/>
                <w:sz w:val="16"/>
                <w:szCs w:val="16"/>
              </w:rPr>
              <w:t>$5,061</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064"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065" w14:textId="77777777" w:rsidR="00833634" w:rsidRDefault="00E15D51">
            <w:pPr>
              <w:jc w:val="right"/>
              <w:textAlignment w:val="bottom"/>
            </w:pPr>
            <w:r>
              <w:rPr>
                <w:rFonts w:ascii="Arial" w:eastAsia="宋体" w:hAnsi="Arial" w:cs="Arial"/>
                <w:b/>
                <w:bCs/>
                <w:color w:val="000000"/>
                <w:sz w:val="16"/>
                <w:szCs w:val="16"/>
              </w:rPr>
              <w:t>$6,687</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066"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067" w14:textId="77777777" w:rsidR="00833634" w:rsidRDefault="00E15D51">
            <w:pPr>
              <w:jc w:val="right"/>
              <w:textAlignment w:val="bottom"/>
            </w:pPr>
            <w:r>
              <w:rPr>
                <w:rFonts w:ascii="Arial" w:eastAsia="宋体" w:hAnsi="Arial" w:cs="Arial"/>
                <w:b/>
                <w:bCs/>
                <w:color w:val="000000"/>
                <w:sz w:val="16"/>
                <w:szCs w:val="16"/>
              </w:rPr>
              <w:t>($54,819)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068"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069" w14:textId="77777777" w:rsidR="00833634" w:rsidRDefault="00E15D51">
            <w:pPr>
              <w:jc w:val="right"/>
              <w:textAlignment w:val="bottom"/>
            </w:pPr>
            <w:r>
              <w:rPr>
                <w:rFonts w:ascii="Arial" w:eastAsia="宋体" w:hAnsi="Arial" w:cs="Arial"/>
                <w:b/>
                <w:bCs/>
                <w:color w:val="000000"/>
                <w:sz w:val="16"/>
                <w:szCs w:val="16"/>
              </w:rPr>
              <w:t>$47,029</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06A"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06B" w14:textId="77777777" w:rsidR="00833634" w:rsidRDefault="00E15D51">
            <w:pPr>
              <w:jc w:val="right"/>
              <w:textAlignment w:val="bottom"/>
            </w:pPr>
            <w:r>
              <w:rPr>
                <w:rFonts w:ascii="Arial" w:eastAsia="宋体" w:hAnsi="Arial" w:cs="Arial"/>
                <w:b/>
                <w:bCs/>
                <w:color w:val="000000"/>
                <w:sz w:val="16"/>
                <w:szCs w:val="16"/>
              </w:rPr>
              <w:t>($15,779)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06C"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06D" w14:textId="77777777" w:rsidR="00833634" w:rsidRDefault="00E15D51">
            <w:pPr>
              <w:jc w:val="right"/>
              <w:textAlignment w:val="bottom"/>
            </w:pPr>
            <w:r>
              <w:rPr>
                <w:rFonts w:ascii="Arial" w:eastAsia="宋体" w:hAnsi="Arial" w:cs="Arial"/>
                <w:b/>
                <w:bCs/>
                <w:color w:val="000000"/>
                <w:sz w:val="16"/>
                <w:szCs w:val="16"/>
              </w:rPr>
              <w:t>$268</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06E"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06F" w14:textId="77777777" w:rsidR="00833634" w:rsidRDefault="00E15D51">
            <w:pPr>
              <w:jc w:val="right"/>
              <w:textAlignment w:val="bottom"/>
            </w:pPr>
            <w:r>
              <w:rPr>
                <w:rFonts w:ascii="Arial" w:eastAsia="宋体" w:hAnsi="Arial" w:cs="Arial"/>
                <w:b/>
                <w:bCs/>
                <w:color w:val="000000"/>
                <w:sz w:val="16"/>
                <w:szCs w:val="16"/>
              </w:rPr>
              <w:t>($11,553)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070" w14:textId="77777777" w:rsidR="00833634" w:rsidRDefault="00833634">
            <w:pPr>
              <w:jc w:val="right"/>
              <w:rPr>
                <w:rFonts w:ascii="宋体"/>
              </w:rPr>
            </w:pPr>
          </w:p>
        </w:tc>
      </w:tr>
    </w:tbl>
    <w:p w14:paraId="4090E072" w14:textId="77777777" w:rsidR="00833634" w:rsidRDefault="00E15D51">
      <w:pPr>
        <w:spacing w:after="180"/>
        <w:jc w:val="both"/>
      </w:pPr>
      <w:r>
        <w:rPr>
          <w:rFonts w:ascii="Arial" w:eastAsia="宋体" w:hAnsi="Arial" w:cs="Arial"/>
          <w:color w:val="000000"/>
          <w:sz w:val="20"/>
          <w:szCs w:val="20"/>
        </w:rPr>
        <w:t>See Notes to the Condensed Consolidated Financial Statements.</w:t>
      </w:r>
    </w:p>
    <w:p w14:paraId="4090E073" w14:textId="77777777" w:rsidR="00833634" w:rsidRDefault="00833634">
      <w:pPr>
        <w:spacing w:after="120"/>
        <w:jc w:val="center"/>
      </w:pPr>
    </w:p>
    <w:p w14:paraId="4090E074" w14:textId="77777777" w:rsidR="00833634" w:rsidRDefault="00833634">
      <w:pPr>
        <w:spacing w:after="180"/>
        <w:jc w:val="both"/>
      </w:pPr>
    </w:p>
    <w:p w14:paraId="4090E075" w14:textId="77777777" w:rsidR="00833634" w:rsidRDefault="00E15D51">
      <w:pPr>
        <w:spacing w:after="180"/>
        <w:jc w:val="center"/>
      </w:pPr>
      <w:r>
        <w:rPr>
          <w:rFonts w:ascii="Arial" w:eastAsia="宋体" w:hAnsi="Arial" w:cs="Arial"/>
          <w:color w:val="000000"/>
          <w:sz w:val="18"/>
          <w:szCs w:val="18"/>
        </w:rPr>
        <w:t>6</w:t>
      </w:r>
    </w:p>
    <w:p w14:paraId="4090E076" w14:textId="77777777" w:rsidR="00833634" w:rsidRDefault="00E15D51">
      <w:r>
        <w:pict w14:anchorId="4090FE26">
          <v:rect id="_x0000_i1032" style="width:415.3pt;height:1.5pt" o:hralign="center" o:hrstd="t" o:hr="t" fillcolor="#a0a0a0" stroked="f"/>
        </w:pict>
      </w:r>
    </w:p>
    <w:p w14:paraId="4090E077" w14:textId="77777777" w:rsidR="00833634" w:rsidRDefault="00E15D51">
      <w:pPr>
        <w:spacing w:after="180"/>
        <w:jc w:val="both"/>
      </w:pPr>
      <w:hyperlink r:id="rId109" w:anchor="i8d805bfb1e1c4815a1dcd5b6d1e0b117_10" w:history="1">
        <w:r>
          <w:rPr>
            <w:rStyle w:val="a5"/>
            <w:rFonts w:ascii="Arial" w:eastAsia="宋体" w:hAnsi="Arial" w:cs="Arial"/>
            <w:sz w:val="18"/>
            <w:szCs w:val="18"/>
          </w:rPr>
          <w:t>Table of Contents</w:t>
        </w:r>
      </w:hyperlink>
    </w:p>
    <w:p w14:paraId="4090E078" w14:textId="77777777" w:rsidR="00833634" w:rsidRDefault="00E15D51">
      <w:pPr>
        <w:jc w:val="center"/>
      </w:pPr>
      <w:r>
        <w:rPr>
          <w:rFonts w:ascii="Arial" w:eastAsia="宋体" w:hAnsi="Arial" w:cs="Arial"/>
          <w:b/>
          <w:bCs/>
          <w:color w:val="000000"/>
          <w:sz w:val="20"/>
          <w:szCs w:val="20"/>
        </w:rPr>
        <w:t>The Boeing Company and Subsidiaries</w:t>
      </w:r>
    </w:p>
    <w:p w14:paraId="4090E079" w14:textId="77777777" w:rsidR="00833634" w:rsidRDefault="00E15D51">
      <w:pPr>
        <w:jc w:val="center"/>
      </w:pPr>
      <w:r>
        <w:rPr>
          <w:rFonts w:ascii="Arial" w:eastAsia="宋体" w:hAnsi="Arial" w:cs="Arial"/>
          <w:b/>
          <w:bCs/>
          <w:color w:val="000000"/>
          <w:sz w:val="20"/>
          <w:szCs w:val="20"/>
        </w:rPr>
        <w:t>Notes to Condensed Consolidated Financial Statements</w:t>
      </w:r>
    </w:p>
    <w:p w14:paraId="4090E07A" w14:textId="77777777" w:rsidR="00833634" w:rsidRDefault="00E15D51">
      <w:pPr>
        <w:jc w:val="center"/>
      </w:pPr>
      <w:r>
        <w:rPr>
          <w:rFonts w:ascii="Arial" w:eastAsia="宋体" w:hAnsi="Arial" w:cs="Arial"/>
          <w:b/>
          <w:bCs/>
          <w:color w:val="000000"/>
          <w:sz w:val="20"/>
          <w:szCs w:val="20"/>
        </w:rPr>
        <w:t>Summary of Business Segment Data</w:t>
      </w:r>
    </w:p>
    <w:p w14:paraId="4090E07B" w14:textId="77777777" w:rsidR="00833634" w:rsidRDefault="00E15D51">
      <w:pPr>
        <w:spacing w:after="60"/>
        <w:jc w:val="center"/>
      </w:pPr>
      <w:r>
        <w:rPr>
          <w:rFonts w:ascii="Arial" w:eastAsia="宋体" w:hAnsi="Arial" w:cs="Arial"/>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9"/>
        <w:gridCol w:w="4442"/>
        <w:gridCol w:w="42"/>
        <w:gridCol w:w="76"/>
        <w:gridCol w:w="761"/>
        <w:gridCol w:w="37"/>
        <w:gridCol w:w="37"/>
        <w:gridCol w:w="37"/>
        <w:gridCol w:w="37"/>
        <w:gridCol w:w="76"/>
        <w:gridCol w:w="750"/>
        <w:gridCol w:w="36"/>
        <w:gridCol w:w="36"/>
        <w:gridCol w:w="36"/>
        <w:gridCol w:w="36"/>
        <w:gridCol w:w="76"/>
        <w:gridCol w:w="751"/>
        <w:gridCol w:w="37"/>
        <w:gridCol w:w="37"/>
        <w:gridCol w:w="37"/>
        <w:gridCol w:w="37"/>
        <w:gridCol w:w="76"/>
        <w:gridCol w:w="751"/>
        <w:gridCol w:w="36"/>
      </w:tblGrid>
      <w:tr w:rsidR="00833634" w14:paraId="4090E094" w14:textId="77777777">
        <w:tc>
          <w:tcPr>
            <w:tcW w:w="50" w:type="pct"/>
            <w:shd w:val="clear" w:color="auto" w:fill="auto"/>
          </w:tcPr>
          <w:p w14:paraId="4090E07C" w14:textId="77777777" w:rsidR="00833634" w:rsidRDefault="00833634">
            <w:pPr>
              <w:rPr>
                <w:rFonts w:ascii="宋体"/>
              </w:rPr>
            </w:pPr>
          </w:p>
        </w:tc>
        <w:tc>
          <w:tcPr>
            <w:tcW w:w="2677" w:type="pct"/>
            <w:shd w:val="clear" w:color="auto" w:fill="auto"/>
          </w:tcPr>
          <w:p w14:paraId="4090E07D" w14:textId="77777777" w:rsidR="00833634" w:rsidRDefault="00833634">
            <w:pPr>
              <w:rPr>
                <w:rFonts w:ascii="宋体"/>
              </w:rPr>
            </w:pPr>
          </w:p>
        </w:tc>
        <w:tc>
          <w:tcPr>
            <w:tcW w:w="5" w:type="pct"/>
            <w:shd w:val="clear" w:color="auto" w:fill="auto"/>
          </w:tcPr>
          <w:p w14:paraId="4090E07E" w14:textId="77777777" w:rsidR="00833634" w:rsidRDefault="00833634">
            <w:pPr>
              <w:rPr>
                <w:rFonts w:ascii="宋体"/>
              </w:rPr>
            </w:pPr>
          </w:p>
        </w:tc>
        <w:tc>
          <w:tcPr>
            <w:tcW w:w="50" w:type="pct"/>
            <w:shd w:val="clear" w:color="auto" w:fill="auto"/>
          </w:tcPr>
          <w:p w14:paraId="4090E07F" w14:textId="77777777" w:rsidR="00833634" w:rsidRDefault="00833634">
            <w:pPr>
              <w:rPr>
                <w:rFonts w:ascii="宋体"/>
              </w:rPr>
            </w:pPr>
          </w:p>
        </w:tc>
        <w:tc>
          <w:tcPr>
            <w:tcW w:w="481" w:type="pct"/>
            <w:shd w:val="clear" w:color="auto" w:fill="auto"/>
          </w:tcPr>
          <w:p w14:paraId="4090E080" w14:textId="77777777" w:rsidR="00833634" w:rsidRDefault="00833634">
            <w:pPr>
              <w:rPr>
                <w:rFonts w:ascii="宋体"/>
              </w:rPr>
            </w:pPr>
          </w:p>
        </w:tc>
        <w:tc>
          <w:tcPr>
            <w:tcW w:w="5" w:type="pct"/>
            <w:shd w:val="clear" w:color="auto" w:fill="auto"/>
          </w:tcPr>
          <w:p w14:paraId="4090E081" w14:textId="77777777" w:rsidR="00833634" w:rsidRDefault="00833634">
            <w:pPr>
              <w:rPr>
                <w:rFonts w:ascii="宋体"/>
              </w:rPr>
            </w:pPr>
          </w:p>
        </w:tc>
        <w:tc>
          <w:tcPr>
            <w:tcW w:w="5" w:type="pct"/>
            <w:shd w:val="clear" w:color="auto" w:fill="auto"/>
          </w:tcPr>
          <w:p w14:paraId="4090E082" w14:textId="77777777" w:rsidR="00833634" w:rsidRDefault="00833634">
            <w:pPr>
              <w:rPr>
                <w:rFonts w:ascii="宋体"/>
              </w:rPr>
            </w:pPr>
          </w:p>
        </w:tc>
        <w:tc>
          <w:tcPr>
            <w:tcW w:w="30" w:type="pct"/>
            <w:shd w:val="clear" w:color="auto" w:fill="auto"/>
          </w:tcPr>
          <w:p w14:paraId="4090E083" w14:textId="77777777" w:rsidR="00833634" w:rsidRDefault="00833634">
            <w:pPr>
              <w:rPr>
                <w:rFonts w:ascii="宋体"/>
              </w:rPr>
            </w:pPr>
          </w:p>
        </w:tc>
        <w:tc>
          <w:tcPr>
            <w:tcW w:w="5" w:type="pct"/>
            <w:shd w:val="clear" w:color="auto" w:fill="auto"/>
          </w:tcPr>
          <w:p w14:paraId="4090E084" w14:textId="77777777" w:rsidR="00833634" w:rsidRDefault="00833634">
            <w:pPr>
              <w:rPr>
                <w:rFonts w:ascii="宋体"/>
              </w:rPr>
            </w:pPr>
          </w:p>
        </w:tc>
        <w:tc>
          <w:tcPr>
            <w:tcW w:w="50" w:type="pct"/>
            <w:shd w:val="clear" w:color="auto" w:fill="auto"/>
          </w:tcPr>
          <w:p w14:paraId="4090E085" w14:textId="77777777" w:rsidR="00833634" w:rsidRDefault="00833634">
            <w:pPr>
              <w:rPr>
                <w:rFonts w:ascii="宋体"/>
              </w:rPr>
            </w:pPr>
          </w:p>
        </w:tc>
        <w:tc>
          <w:tcPr>
            <w:tcW w:w="481" w:type="pct"/>
            <w:shd w:val="clear" w:color="auto" w:fill="auto"/>
          </w:tcPr>
          <w:p w14:paraId="4090E086" w14:textId="77777777" w:rsidR="00833634" w:rsidRDefault="00833634">
            <w:pPr>
              <w:rPr>
                <w:rFonts w:ascii="宋体"/>
              </w:rPr>
            </w:pPr>
          </w:p>
        </w:tc>
        <w:tc>
          <w:tcPr>
            <w:tcW w:w="5" w:type="pct"/>
            <w:shd w:val="clear" w:color="auto" w:fill="auto"/>
          </w:tcPr>
          <w:p w14:paraId="4090E087" w14:textId="77777777" w:rsidR="00833634" w:rsidRDefault="00833634">
            <w:pPr>
              <w:rPr>
                <w:rFonts w:ascii="宋体"/>
              </w:rPr>
            </w:pPr>
          </w:p>
        </w:tc>
        <w:tc>
          <w:tcPr>
            <w:tcW w:w="5" w:type="pct"/>
            <w:shd w:val="clear" w:color="auto" w:fill="auto"/>
          </w:tcPr>
          <w:p w14:paraId="4090E088" w14:textId="77777777" w:rsidR="00833634" w:rsidRDefault="00833634">
            <w:pPr>
              <w:rPr>
                <w:rFonts w:ascii="宋体"/>
              </w:rPr>
            </w:pPr>
          </w:p>
        </w:tc>
        <w:tc>
          <w:tcPr>
            <w:tcW w:w="30" w:type="pct"/>
            <w:shd w:val="clear" w:color="auto" w:fill="auto"/>
          </w:tcPr>
          <w:p w14:paraId="4090E089" w14:textId="77777777" w:rsidR="00833634" w:rsidRDefault="00833634">
            <w:pPr>
              <w:rPr>
                <w:rFonts w:ascii="宋体"/>
              </w:rPr>
            </w:pPr>
          </w:p>
        </w:tc>
        <w:tc>
          <w:tcPr>
            <w:tcW w:w="5" w:type="pct"/>
            <w:shd w:val="clear" w:color="auto" w:fill="auto"/>
          </w:tcPr>
          <w:p w14:paraId="4090E08A" w14:textId="77777777" w:rsidR="00833634" w:rsidRDefault="00833634">
            <w:pPr>
              <w:rPr>
                <w:rFonts w:ascii="宋体"/>
              </w:rPr>
            </w:pPr>
          </w:p>
        </w:tc>
        <w:tc>
          <w:tcPr>
            <w:tcW w:w="50" w:type="pct"/>
            <w:shd w:val="clear" w:color="auto" w:fill="auto"/>
          </w:tcPr>
          <w:p w14:paraId="4090E08B" w14:textId="77777777" w:rsidR="00833634" w:rsidRDefault="00833634">
            <w:pPr>
              <w:rPr>
                <w:rFonts w:ascii="宋体"/>
              </w:rPr>
            </w:pPr>
          </w:p>
        </w:tc>
        <w:tc>
          <w:tcPr>
            <w:tcW w:w="481" w:type="pct"/>
            <w:shd w:val="clear" w:color="auto" w:fill="auto"/>
          </w:tcPr>
          <w:p w14:paraId="4090E08C" w14:textId="77777777" w:rsidR="00833634" w:rsidRDefault="00833634">
            <w:pPr>
              <w:rPr>
                <w:rFonts w:ascii="宋体"/>
              </w:rPr>
            </w:pPr>
          </w:p>
        </w:tc>
        <w:tc>
          <w:tcPr>
            <w:tcW w:w="5" w:type="pct"/>
            <w:shd w:val="clear" w:color="auto" w:fill="auto"/>
          </w:tcPr>
          <w:p w14:paraId="4090E08D" w14:textId="77777777" w:rsidR="00833634" w:rsidRDefault="00833634">
            <w:pPr>
              <w:rPr>
                <w:rFonts w:ascii="宋体"/>
              </w:rPr>
            </w:pPr>
          </w:p>
        </w:tc>
        <w:tc>
          <w:tcPr>
            <w:tcW w:w="5" w:type="pct"/>
            <w:shd w:val="clear" w:color="auto" w:fill="auto"/>
          </w:tcPr>
          <w:p w14:paraId="4090E08E" w14:textId="77777777" w:rsidR="00833634" w:rsidRDefault="00833634">
            <w:pPr>
              <w:rPr>
                <w:rFonts w:ascii="宋体"/>
              </w:rPr>
            </w:pPr>
          </w:p>
        </w:tc>
        <w:tc>
          <w:tcPr>
            <w:tcW w:w="30" w:type="pct"/>
            <w:shd w:val="clear" w:color="auto" w:fill="auto"/>
          </w:tcPr>
          <w:p w14:paraId="4090E08F" w14:textId="77777777" w:rsidR="00833634" w:rsidRDefault="00833634">
            <w:pPr>
              <w:rPr>
                <w:rFonts w:ascii="宋体"/>
              </w:rPr>
            </w:pPr>
          </w:p>
        </w:tc>
        <w:tc>
          <w:tcPr>
            <w:tcW w:w="5" w:type="pct"/>
            <w:shd w:val="clear" w:color="auto" w:fill="auto"/>
          </w:tcPr>
          <w:p w14:paraId="4090E090" w14:textId="77777777" w:rsidR="00833634" w:rsidRDefault="00833634">
            <w:pPr>
              <w:rPr>
                <w:rFonts w:ascii="宋体"/>
              </w:rPr>
            </w:pPr>
          </w:p>
        </w:tc>
        <w:tc>
          <w:tcPr>
            <w:tcW w:w="50" w:type="pct"/>
            <w:shd w:val="clear" w:color="auto" w:fill="auto"/>
          </w:tcPr>
          <w:p w14:paraId="4090E091" w14:textId="77777777" w:rsidR="00833634" w:rsidRDefault="00833634">
            <w:pPr>
              <w:rPr>
                <w:rFonts w:ascii="宋体"/>
              </w:rPr>
            </w:pPr>
          </w:p>
        </w:tc>
        <w:tc>
          <w:tcPr>
            <w:tcW w:w="481" w:type="pct"/>
            <w:shd w:val="clear" w:color="auto" w:fill="auto"/>
          </w:tcPr>
          <w:p w14:paraId="4090E092" w14:textId="77777777" w:rsidR="00833634" w:rsidRDefault="00833634">
            <w:pPr>
              <w:rPr>
                <w:rFonts w:ascii="宋体"/>
              </w:rPr>
            </w:pPr>
          </w:p>
        </w:tc>
        <w:tc>
          <w:tcPr>
            <w:tcW w:w="5" w:type="pct"/>
            <w:shd w:val="clear" w:color="auto" w:fill="auto"/>
          </w:tcPr>
          <w:p w14:paraId="4090E093" w14:textId="77777777" w:rsidR="00833634" w:rsidRDefault="00833634">
            <w:pPr>
              <w:rPr>
                <w:rFonts w:ascii="宋体"/>
              </w:rPr>
            </w:pPr>
          </w:p>
        </w:tc>
      </w:tr>
      <w:tr w:rsidR="00833634" w14:paraId="4090E099" w14:textId="77777777">
        <w:tc>
          <w:tcPr>
            <w:tcW w:w="0" w:type="auto"/>
            <w:gridSpan w:val="3"/>
            <w:shd w:val="clear" w:color="auto" w:fill="auto"/>
            <w:tcMar>
              <w:top w:w="40" w:type="dxa"/>
              <w:left w:w="20" w:type="dxa"/>
              <w:bottom w:w="40" w:type="dxa"/>
              <w:right w:w="20" w:type="dxa"/>
            </w:tcMar>
            <w:vAlign w:val="bottom"/>
          </w:tcPr>
          <w:p w14:paraId="4090E095"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E096"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E097"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098"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0A2"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09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09B"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09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09D"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E09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09F"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0A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0A1" w14:textId="77777777" w:rsidR="00833634" w:rsidRDefault="00E15D51">
            <w:pPr>
              <w:jc w:val="right"/>
              <w:textAlignment w:val="bottom"/>
            </w:pPr>
            <w:r>
              <w:rPr>
                <w:rFonts w:ascii="Arial" w:eastAsia="宋体" w:hAnsi="Arial" w:cs="Arial"/>
                <w:color w:val="000000"/>
                <w:sz w:val="20"/>
                <w:szCs w:val="20"/>
              </w:rPr>
              <w:t>2019</w:t>
            </w:r>
          </w:p>
        </w:tc>
      </w:tr>
      <w:tr w:rsidR="00833634" w14:paraId="4090E0AB"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0A3" w14:textId="77777777" w:rsidR="00833634" w:rsidRDefault="00E15D51">
            <w:pPr>
              <w:textAlignment w:val="bottom"/>
            </w:pPr>
            <w:r>
              <w:rPr>
                <w:rFonts w:ascii="Arial" w:eastAsia="宋体" w:hAnsi="Arial" w:cs="Arial"/>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tcPr>
          <w:p w14:paraId="4090E0A4"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A5"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A6"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A7"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A8"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A9"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AA" w14:textId="77777777" w:rsidR="00833634" w:rsidRDefault="00833634">
            <w:pPr>
              <w:rPr>
                <w:rFonts w:ascii="宋体"/>
              </w:rPr>
            </w:pPr>
          </w:p>
        </w:tc>
      </w:tr>
      <w:tr w:rsidR="00833634" w14:paraId="4090E0B8" w14:textId="77777777">
        <w:tc>
          <w:tcPr>
            <w:tcW w:w="0" w:type="auto"/>
            <w:gridSpan w:val="3"/>
            <w:shd w:val="clear" w:color="auto" w:fill="FFFFFF"/>
            <w:tcMar>
              <w:top w:w="40" w:type="dxa"/>
              <w:left w:w="225" w:type="dxa"/>
              <w:bottom w:w="40" w:type="dxa"/>
              <w:right w:w="20" w:type="dxa"/>
            </w:tcMar>
            <w:vAlign w:val="bottom"/>
          </w:tcPr>
          <w:p w14:paraId="4090E0AC" w14:textId="77777777" w:rsidR="00833634" w:rsidRDefault="00E15D51">
            <w:pPr>
              <w:textAlignment w:val="bottom"/>
            </w:pPr>
            <w:r>
              <w:rPr>
                <w:rFonts w:ascii="Arial" w:eastAsia="宋体" w:hAnsi="Arial" w:cs="Arial"/>
                <w:color w:val="000000"/>
                <w:sz w:val="20"/>
                <w:szCs w:val="20"/>
              </w:rPr>
              <w:t>Commercial Airplanes</w:t>
            </w:r>
          </w:p>
        </w:tc>
        <w:tc>
          <w:tcPr>
            <w:tcW w:w="0" w:type="auto"/>
            <w:gridSpan w:val="2"/>
            <w:shd w:val="clear" w:color="auto" w:fill="FFFFFF"/>
            <w:tcMar>
              <w:top w:w="40" w:type="dxa"/>
              <w:left w:w="20" w:type="dxa"/>
              <w:bottom w:w="40" w:type="dxa"/>
              <w:right w:w="0" w:type="dxa"/>
            </w:tcMar>
            <w:vAlign w:val="bottom"/>
          </w:tcPr>
          <w:p w14:paraId="4090E0AD" w14:textId="77777777" w:rsidR="00833634" w:rsidRDefault="00E15D51">
            <w:pPr>
              <w:jc w:val="right"/>
              <w:textAlignment w:val="bottom"/>
            </w:pPr>
            <w:r>
              <w:rPr>
                <w:rFonts w:ascii="Arial" w:eastAsia="宋体" w:hAnsi="Arial" w:cs="Arial"/>
                <w:b/>
                <w:bCs/>
                <w:color w:val="000000"/>
                <w:sz w:val="20"/>
                <w:szCs w:val="20"/>
              </w:rPr>
              <w:t>$11,434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0A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A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B0" w14:textId="77777777" w:rsidR="00833634" w:rsidRDefault="00E15D51">
            <w:pPr>
              <w:jc w:val="right"/>
              <w:textAlignment w:val="bottom"/>
            </w:pPr>
            <w:r>
              <w:rPr>
                <w:rFonts w:ascii="Arial" w:eastAsia="宋体" w:hAnsi="Arial" w:cs="Arial"/>
                <w:color w:val="000000"/>
                <w:sz w:val="20"/>
                <w:szCs w:val="20"/>
              </w:rPr>
              <w:t>$24,793 </w:t>
            </w:r>
          </w:p>
        </w:tc>
        <w:tc>
          <w:tcPr>
            <w:tcW w:w="0" w:type="auto"/>
            <w:shd w:val="clear" w:color="auto" w:fill="FFFFFF"/>
            <w:tcMar>
              <w:top w:w="40" w:type="dxa"/>
              <w:left w:w="0" w:type="dxa"/>
              <w:bottom w:w="40" w:type="dxa"/>
              <w:right w:w="20" w:type="dxa"/>
            </w:tcMar>
            <w:vAlign w:val="bottom"/>
          </w:tcPr>
          <w:p w14:paraId="4090E0B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B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B3" w14:textId="77777777" w:rsidR="00833634" w:rsidRDefault="00E15D51">
            <w:pPr>
              <w:jc w:val="right"/>
              <w:textAlignment w:val="bottom"/>
            </w:pPr>
            <w:r>
              <w:rPr>
                <w:rFonts w:ascii="Arial" w:eastAsia="宋体" w:hAnsi="Arial" w:cs="Arial"/>
                <w:b/>
                <w:bCs/>
                <w:color w:val="000000"/>
                <w:sz w:val="20"/>
                <w:szCs w:val="20"/>
              </w:rPr>
              <w:t>$3,596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0B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B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B6" w14:textId="77777777" w:rsidR="00833634" w:rsidRDefault="00E15D51">
            <w:pPr>
              <w:jc w:val="right"/>
              <w:textAlignment w:val="bottom"/>
            </w:pPr>
            <w:r>
              <w:rPr>
                <w:rFonts w:ascii="Arial" w:eastAsia="宋体" w:hAnsi="Arial" w:cs="Arial"/>
                <w:color w:val="000000"/>
                <w:sz w:val="20"/>
                <w:szCs w:val="20"/>
              </w:rPr>
              <w:t>$8,249 </w:t>
            </w:r>
          </w:p>
        </w:tc>
        <w:tc>
          <w:tcPr>
            <w:tcW w:w="0" w:type="auto"/>
            <w:shd w:val="clear" w:color="auto" w:fill="FFFFFF"/>
            <w:tcMar>
              <w:top w:w="40" w:type="dxa"/>
              <w:left w:w="0" w:type="dxa"/>
              <w:bottom w:w="40" w:type="dxa"/>
              <w:right w:w="20" w:type="dxa"/>
            </w:tcMar>
            <w:vAlign w:val="bottom"/>
          </w:tcPr>
          <w:p w14:paraId="4090E0B7" w14:textId="77777777" w:rsidR="00833634" w:rsidRDefault="00833634">
            <w:pPr>
              <w:jc w:val="right"/>
              <w:rPr>
                <w:rFonts w:ascii="宋体"/>
              </w:rPr>
            </w:pPr>
          </w:p>
        </w:tc>
      </w:tr>
      <w:tr w:rsidR="00833634" w14:paraId="4090E0C5" w14:textId="77777777">
        <w:tc>
          <w:tcPr>
            <w:tcW w:w="0" w:type="auto"/>
            <w:gridSpan w:val="3"/>
            <w:shd w:val="clear" w:color="auto" w:fill="CCEEFF"/>
            <w:tcMar>
              <w:top w:w="40" w:type="dxa"/>
              <w:left w:w="225" w:type="dxa"/>
              <w:bottom w:w="40" w:type="dxa"/>
              <w:right w:w="20" w:type="dxa"/>
            </w:tcMar>
            <w:vAlign w:val="bottom"/>
          </w:tcPr>
          <w:p w14:paraId="4090E0B9" w14:textId="77777777" w:rsidR="00833634" w:rsidRDefault="00E15D51">
            <w:pPr>
              <w:textAlignment w:val="bottom"/>
            </w:pPr>
            <w:r>
              <w:rPr>
                <w:rFonts w:ascii="Arial" w:eastAsia="宋体" w:hAnsi="Arial" w:cs="Arial"/>
                <w:color w:val="000000"/>
                <w:sz w:val="20"/>
                <w:szCs w:val="20"/>
              </w:rPr>
              <w:t>Defense, Space &amp; Security</w:t>
            </w:r>
          </w:p>
        </w:tc>
        <w:tc>
          <w:tcPr>
            <w:tcW w:w="0" w:type="auto"/>
            <w:gridSpan w:val="2"/>
            <w:shd w:val="clear" w:color="auto" w:fill="CCEEFF"/>
            <w:tcMar>
              <w:top w:w="40" w:type="dxa"/>
              <w:left w:w="20" w:type="dxa"/>
              <w:bottom w:w="40" w:type="dxa"/>
              <w:right w:w="0" w:type="dxa"/>
            </w:tcMar>
            <w:vAlign w:val="bottom"/>
          </w:tcPr>
          <w:p w14:paraId="4090E0BA" w14:textId="77777777" w:rsidR="00833634" w:rsidRDefault="00E15D51">
            <w:pPr>
              <w:jc w:val="right"/>
              <w:textAlignment w:val="bottom"/>
            </w:pPr>
            <w:r>
              <w:rPr>
                <w:rFonts w:ascii="Arial" w:eastAsia="宋体" w:hAnsi="Arial" w:cs="Arial"/>
                <w:b/>
                <w:bCs/>
                <w:color w:val="000000"/>
                <w:sz w:val="20"/>
                <w:szCs w:val="20"/>
              </w:rPr>
              <w:t>19,478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0B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0B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BD" w14:textId="77777777" w:rsidR="00833634" w:rsidRDefault="00E15D51">
            <w:pPr>
              <w:jc w:val="right"/>
              <w:textAlignment w:val="bottom"/>
            </w:pPr>
            <w:r>
              <w:rPr>
                <w:rFonts w:ascii="Arial" w:eastAsia="宋体" w:hAnsi="Arial" w:cs="Arial"/>
                <w:color w:val="000000"/>
                <w:sz w:val="20"/>
                <w:szCs w:val="20"/>
              </w:rPr>
              <w:t>20,168 </w:t>
            </w:r>
          </w:p>
        </w:tc>
        <w:tc>
          <w:tcPr>
            <w:tcW w:w="0" w:type="auto"/>
            <w:shd w:val="clear" w:color="auto" w:fill="CCEEFF"/>
            <w:tcMar>
              <w:top w:w="40" w:type="dxa"/>
              <w:left w:w="0" w:type="dxa"/>
              <w:bottom w:w="40" w:type="dxa"/>
              <w:right w:w="20" w:type="dxa"/>
            </w:tcMar>
            <w:vAlign w:val="bottom"/>
          </w:tcPr>
          <w:p w14:paraId="4090E0B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0B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C0" w14:textId="77777777" w:rsidR="00833634" w:rsidRDefault="00E15D51">
            <w:pPr>
              <w:jc w:val="right"/>
              <w:textAlignment w:val="bottom"/>
            </w:pPr>
            <w:r>
              <w:rPr>
                <w:rFonts w:ascii="Arial" w:eastAsia="宋体" w:hAnsi="Arial" w:cs="Arial"/>
                <w:b/>
                <w:bCs/>
                <w:color w:val="000000"/>
                <w:sz w:val="20"/>
                <w:szCs w:val="20"/>
              </w:rPr>
              <w:t>6,848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0C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0C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C3" w14:textId="77777777" w:rsidR="00833634" w:rsidRDefault="00E15D51">
            <w:pPr>
              <w:jc w:val="right"/>
              <w:textAlignment w:val="bottom"/>
            </w:pPr>
            <w:r>
              <w:rPr>
                <w:rFonts w:ascii="Arial" w:eastAsia="宋体" w:hAnsi="Arial" w:cs="Arial"/>
                <w:color w:val="000000"/>
                <w:sz w:val="20"/>
                <w:szCs w:val="20"/>
              </w:rPr>
              <w:t>7,002 </w:t>
            </w:r>
          </w:p>
        </w:tc>
        <w:tc>
          <w:tcPr>
            <w:tcW w:w="0" w:type="auto"/>
            <w:shd w:val="clear" w:color="auto" w:fill="CCEEFF"/>
            <w:tcMar>
              <w:top w:w="40" w:type="dxa"/>
              <w:left w:w="0" w:type="dxa"/>
              <w:bottom w:w="40" w:type="dxa"/>
              <w:right w:w="20" w:type="dxa"/>
            </w:tcMar>
            <w:vAlign w:val="bottom"/>
          </w:tcPr>
          <w:p w14:paraId="4090E0C4" w14:textId="77777777" w:rsidR="00833634" w:rsidRDefault="00833634">
            <w:pPr>
              <w:jc w:val="right"/>
              <w:rPr>
                <w:rFonts w:ascii="宋体"/>
              </w:rPr>
            </w:pPr>
          </w:p>
        </w:tc>
      </w:tr>
      <w:tr w:rsidR="00833634" w14:paraId="4090E0D2" w14:textId="77777777">
        <w:tc>
          <w:tcPr>
            <w:tcW w:w="0" w:type="auto"/>
            <w:gridSpan w:val="3"/>
            <w:shd w:val="clear" w:color="auto" w:fill="FFFFFF"/>
            <w:tcMar>
              <w:top w:w="40" w:type="dxa"/>
              <w:left w:w="225" w:type="dxa"/>
              <w:bottom w:w="40" w:type="dxa"/>
              <w:right w:w="20" w:type="dxa"/>
            </w:tcMar>
            <w:vAlign w:val="bottom"/>
          </w:tcPr>
          <w:p w14:paraId="4090E0C6" w14:textId="77777777" w:rsidR="00833634" w:rsidRDefault="00E15D51">
            <w:pPr>
              <w:textAlignment w:val="bottom"/>
            </w:pPr>
            <w:r>
              <w:rPr>
                <w:rFonts w:ascii="Arial" w:eastAsia="宋体" w:hAnsi="Arial" w:cs="Arial"/>
                <w:color w:val="000000"/>
                <w:sz w:val="20"/>
                <w:szCs w:val="20"/>
              </w:rPr>
              <w:t>Global Services</w:t>
            </w:r>
          </w:p>
        </w:tc>
        <w:tc>
          <w:tcPr>
            <w:tcW w:w="0" w:type="auto"/>
            <w:gridSpan w:val="2"/>
            <w:shd w:val="clear" w:color="auto" w:fill="FFFFFF"/>
            <w:tcMar>
              <w:top w:w="40" w:type="dxa"/>
              <w:left w:w="20" w:type="dxa"/>
              <w:bottom w:w="40" w:type="dxa"/>
              <w:right w:w="0" w:type="dxa"/>
            </w:tcMar>
            <w:vAlign w:val="bottom"/>
          </w:tcPr>
          <w:p w14:paraId="4090E0C7" w14:textId="77777777" w:rsidR="00833634" w:rsidRDefault="00E15D51">
            <w:pPr>
              <w:jc w:val="right"/>
              <w:textAlignment w:val="bottom"/>
            </w:pPr>
            <w:r>
              <w:rPr>
                <w:rFonts w:ascii="Arial" w:eastAsia="宋体" w:hAnsi="Arial" w:cs="Arial"/>
                <w:b/>
                <w:bCs/>
                <w:color w:val="000000"/>
                <w:sz w:val="20"/>
                <w:szCs w:val="20"/>
              </w:rPr>
              <w:t>11,810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0C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C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CA" w14:textId="77777777" w:rsidR="00833634" w:rsidRDefault="00E15D51">
            <w:pPr>
              <w:jc w:val="right"/>
              <w:textAlignment w:val="bottom"/>
            </w:pPr>
            <w:r>
              <w:rPr>
                <w:rFonts w:ascii="Arial" w:eastAsia="宋体" w:hAnsi="Arial" w:cs="Arial"/>
                <w:color w:val="000000"/>
                <w:sz w:val="20"/>
                <w:szCs w:val="20"/>
              </w:rPr>
              <w:t>13,820 </w:t>
            </w:r>
          </w:p>
        </w:tc>
        <w:tc>
          <w:tcPr>
            <w:tcW w:w="0" w:type="auto"/>
            <w:shd w:val="clear" w:color="auto" w:fill="FFFFFF"/>
            <w:tcMar>
              <w:top w:w="40" w:type="dxa"/>
              <w:left w:w="0" w:type="dxa"/>
              <w:bottom w:w="40" w:type="dxa"/>
              <w:right w:w="20" w:type="dxa"/>
            </w:tcMar>
            <w:vAlign w:val="bottom"/>
          </w:tcPr>
          <w:p w14:paraId="4090E0C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C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CD" w14:textId="77777777" w:rsidR="00833634" w:rsidRDefault="00E15D51">
            <w:pPr>
              <w:jc w:val="right"/>
              <w:textAlignment w:val="bottom"/>
            </w:pPr>
            <w:r>
              <w:rPr>
                <w:rFonts w:ascii="Arial" w:eastAsia="宋体" w:hAnsi="Arial" w:cs="Arial"/>
                <w:b/>
                <w:bCs/>
                <w:color w:val="000000"/>
                <w:sz w:val="20"/>
                <w:szCs w:val="20"/>
              </w:rPr>
              <w:t>3,694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0C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C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D0" w14:textId="77777777" w:rsidR="00833634" w:rsidRDefault="00E15D51">
            <w:pPr>
              <w:jc w:val="right"/>
              <w:textAlignment w:val="bottom"/>
            </w:pPr>
            <w:r>
              <w:rPr>
                <w:rFonts w:ascii="Arial" w:eastAsia="宋体" w:hAnsi="Arial" w:cs="Arial"/>
                <w:color w:val="000000"/>
                <w:sz w:val="20"/>
                <w:szCs w:val="20"/>
              </w:rPr>
              <w:t>4,658 </w:t>
            </w:r>
          </w:p>
        </w:tc>
        <w:tc>
          <w:tcPr>
            <w:tcW w:w="0" w:type="auto"/>
            <w:shd w:val="clear" w:color="auto" w:fill="FFFFFF"/>
            <w:tcMar>
              <w:top w:w="40" w:type="dxa"/>
              <w:left w:w="0" w:type="dxa"/>
              <w:bottom w:w="40" w:type="dxa"/>
              <w:right w:w="20" w:type="dxa"/>
            </w:tcMar>
            <w:vAlign w:val="bottom"/>
          </w:tcPr>
          <w:p w14:paraId="4090E0D1" w14:textId="77777777" w:rsidR="00833634" w:rsidRDefault="00833634">
            <w:pPr>
              <w:jc w:val="right"/>
              <w:rPr>
                <w:rFonts w:ascii="宋体"/>
              </w:rPr>
            </w:pPr>
          </w:p>
        </w:tc>
      </w:tr>
      <w:tr w:rsidR="00833634" w14:paraId="4090E0DF" w14:textId="77777777">
        <w:tc>
          <w:tcPr>
            <w:tcW w:w="0" w:type="auto"/>
            <w:gridSpan w:val="3"/>
            <w:shd w:val="clear" w:color="auto" w:fill="CCEEFF"/>
            <w:tcMar>
              <w:top w:w="40" w:type="dxa"/>
              <w:left w:w="225" w:type="dxa"/>
              <w:bottom w:w="40" w:type="dxa"/>
              <w:right w:w="20" w:type="dxa"/>
            </w:tcMar>
            <w:vAlign w:val="bottom"/>
          </w:tcPr>
          <w:p w14:paraId="4090E0D3" w14:textId="77777777" w:rsidR="00833634" w:rsidRDefault="00E15D51">
            <w:pPr>
              <w:textAlignment w:val="bottom"/>
            </w:pPr>
            <w:r>
              <w:rPr>
                <w:rFonts w:ascii="Arial" w:eastAsia="宋体" w:hAnsi="Arial" w:cs="Arial"/>
                <w:color w:val="000000"/>
                <w:sz w:val="20"/>
                <w:szCs w:val="20"/>
              </w:rPr>
              <w:t>Boeing Capital</w:t>
            </w:r>
          </w:p>
        </w:tc>
        <w:tc>
          <w:tcPr>
            <w:tcW w:w="0" w:type="auto"/>
            <w:gridSpan w:val="2"/>
            <w:shd w:val="clear" w:color="auto" w:fill="CCEEFF"/>
            <w:tcMar>
              <w:top w:w="40" w:type="dxa"/>
              <w:left w:w="20" w:type="dxa"/>
              <w:bottom w:w="40" w:type="dxa"/>
              <w:right w:w="0" w:type="dxa"/>
            </w:tcMar>
            <w:vAlign w:val="bottom"/>
          </w:tcPr>
          <w:p w14:paraId="4090E0D4" w14:textId="77777777" w:rsidR="00833634" w:rsidRDefault="00E15D51">
            <w:pPr>
              <w:jc w:val="right"/>
              <w:textAlignment w:val="bottom"/>
            </w:pPr>
            <w:r>
              <w:rPr>
                <w:rFonts w:ascii="Arial" w:eastAsia="宋体" w:hAnsi="Arial" w:cs="Arial"/>
                <w:b/>
                <w:bCs/>
                <w:color w:val="000000"/>
                <w:sz w:val="20"/>
                <w:szCs w:val="20"/>
              </w:rPr>
              <w:t>205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0D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0D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D7" w14:textId="77777777" w:rsidR="00833634" w:rsidRDefault="00E15D51">
            <w:pPr>
              <w:jc w:val="right"/>
              <w:textAlignment w:val="bottom"/>
            </w:pPr>
            <w:r>
              <w:rPr>
                <w:rFonts w:ascii="Arial" w:eastAsia="宋体" w:hAnsi="Arial" w:cs="Arial"/>
                <w:color w:val="000000"/>
                <w:sz w:val="20"/>
                <w:szCs w:val="20"/>
              </w:rPr>
              <w:t>207 </w:t>
            </w:r>
          </w:p>
        </w:tc>
        <w:tc>
          <w:tcPr>
            <w:tcW w:w="0" w:type="auto"/>
            <w:shd w:val="clear" w:color="auto" w:fill="CCEEFF"/>
            <w:tcMar>
              <w:top w:w="40" w:type="dxa"/>
              <w:left w:w="0" w:type="dxa"/>
              <w:bottom w:w="40" w:type="dxa"/>
              <w:right w:w="20" w:type="dxa"/>
            </w:tcMar>
            <w:vAlign w:val="bottom"/>
          </w:tcPr>
          <w:p w14:paraId="4090E0D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0D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DA" w14:textId="77777777" w:rsidR="00833634" w:rsidRDefault="00E15D51">
            <w:pPr>
              <w:jc w:val="right"/>
              <w:textAlignment w:val="bottom"/>
            </w:pPr>
            <w:r>
              <w:rPr>
                <w:rFonts w:ascii="Arial" w:eastAsia="宋体" w:hAnsi="Arial" w:cs="Arial"/>
                <w:b/>
                <w:bCs/>
                <w:color w:val="000000"/>
                <w:sz w:val="20"/>
                <w:szCs w:val="20"/>
              </w:rPr>
              <w:t>71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0D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0D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0DD" w14:textId="77777777" w:rsidR="00833634" w:rsidRDefault="00E15D51">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4090E0DE" w14:textId="77777777" w:rsidR="00833634" w:rsidRDefault="00833634">
            <w:pPr>
              <w:jc w:val="right"/>
              <w:rPr>
                <w:rFonts w:ascii="宋体"/>
              </w:rPr>
            </w:pPr>
          </w:p>
        </w:tc>
      </w:tr>
      <w:tr w:rsidR="00833634" w14:paraId="4090E0EC" w14:textId="77777777">
        <w:tc>
          <w:tcPr>
            <w:tcW w:w="0" w:type="auto"/>
            <w:gridSpan w:val="3"/>
            <w:shd w:val="clear" w:color="auto" w:fill="FFFFFF"/>
            <w:tcMar>
              <w:top w:w="40" w:type="dxa"/>
              <w:left w:w="225" w:type="dxa"/>
              <w:bottom w:w="40" w:type="dxa"/>
              <w:right w:w="20" w:type="dxa"/>
            </w:tcMar>
            <w:vAlign w:val="bottom"/>
          </w:tcPr>
          <w:p w14:paraId="4090E0E0" w14:textId="77777777" w:rsidR="00833634" w:rsidRDefault="00E15D51">
            <w:pPr>
              <w:textAlignment w:val="bottom"/>
            </w:pPr>
            <w:r>
              <w:rPr>
                <w:rFonts w:ascii="Arial" w:eastAsia="宋体" w:hAnsi="Arial" w:cs="Arial"/>
                <w:color w:val="000000"/>
                <w:sz w:val="20"/>
                <w:szCs w:val="20"/>
              </w:rPr>
              <w:t>Unallocated items, eliminations and other</w:t>
            </w:r>
          </w:p>
        </w:tc>
        <w:tc>
          <w:tcPr>
            <w:tcW w:w="0" w:type="auto"/>
            <w:gridSpan w:val="2"/>
            <w:shd w:val="clear" w:color="auto" w:fill="FFFFFF"/>
            <w:tcMar>
              <w:top w:w="40" w:type="dxa"/>
              <w:left w:w="20" w:type="dxa"/>
              <w:bottom w:w="40" w:type="dxa"/>
              <w:right w:w="0" w:type="dxa"/>
            </w:tcMar>
            <w:vAlign w:val="bottom"/>
          </w:tcPr>
          <w:p w14:paraId="4090E0E1" w14:textId="77777777" w:rsidR="00833634" w:rsidRDefault="00E15D51">
            <w:pPr>
              <w:jc w:val="right"/>
              <w:textAlignment w:val="bottom"/>
            </w:pPr>
            <w:r>
              <w:rPr>
                <w:rFonts w:ascii="Arial" w:eastAsia="宋体" w:hAnsi="Arial" w:cs="Arial"/>
                <w:b/>
                <w:bCs/>
                <w:color w:val="000000"/>
                <w:sz w:val="20"/>
                <w:szCs w:val="20"/>
              </w:rPr>
              <w:t>(73)</w:t>
            </w:r>
          </w:p>
        </w:tc>
        <w:tc>
          <w:tcPr>
            <w:tcW w:w="0" w:type="auto"/>
            <w:shd w:val="clear" w:color="auto" w:fill="FFFFFF"/>
            <w:tcMar>
              <w:top w:w="40" w:type="dxa"/>
              <w:left w:w="0" w:type="dxa"/>
              <w:bottom w:w="40" w:type="dxa"/>
              <w:right w:w="20" w:type="dxa"/>
            </w:tcMar>
            <w:vAlign w:val="bottom"/>
          </w:tcPr>
          <w:p w14:paraId="4090E0E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E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E4" w14:textId="77777777" w:rsidR="00833634" w:rsidRDefault="00E15D51">
            <w:pPr>
              <w:jc w:val="right"/>
              <w:textAlignment w:val="bottom"/>
            </w:pPr>
            <w:r>
              <w:rPr>
                <w:rFonts w:ascii="Arial" w:eastAsia="宋体" w:hAnsi="Arial" w:cs="Arial"/>
                <w:color w:val="000000"/>
                <w:sz w:val="20"/>
                <w:szCs w:val="20"/>
              </w:rPr>
              <w:t>(340)</w:t>
            </w:r>
          </w:p>
        </w:tc>
        <w:tc>
          <w:tcPr>
            <w:tcW w:w="0" w:type="auto"/>
            <w:shd w:val="clear" w:color="auto" w:fill="FFFFFF"/>
            <w:tcMar>
              <w:top w:w="40" w:type="dxa"/>
              <w:left w:w="0" w:type="dxa"/>
              <w:bottom w:w="40" w:type="dxa"/>
              <w:right w:w="20" w:type="dxa"/>
            </w:tcMar>
            <w:vAlign w:val="bottom"/>
          </w:tcPr>
          <w:p w14:paraId="4090E0E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E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E7" w14:textId="77777777" w:rsidR="00833634" w:rsidRDefault="00E15D51">
            <w:pPr>
              <w:jc w:val="right"/>
              <w:textAlignment w:val="bottom"/>
            </w:pPr>
            <w:r>
              <w:rPr>
                <w:rFonts w:ascii="Arial" w:eastAsia="宋体" w:hAnsi="Arial" w:cs="Arial"/>
                <w:b/>
                <w:bCs/>
                <w:color w:val="000000"/>
                <w:sz w:val="20"/>
                <w:szCs w:val="20"/>
              </w:rPr>
              <w:t>(70)</w:t>
            </w:r>
          </w:p>
        </w:tc>
        <w:tc>
          <w:tcPr>
            <w:tcW w:w="0" w:type="auto"/>
            <w:shd w:val="clear" w:color="auto" w:fill="FFFFFF"/>
            <w:tcMar>
              <w:top w:w="40" w:type="dxa"/>
              <w:left w:w="0" w:type="dxa"/>
              <w:bottom w:w="40" w:type="dxa"/>
              <w:right w:w="20" w:type="dxa"/>
            </w:tcMar>
            <w:vAlign w:val="bottom"/>
          </w:tcPr>
          <w:p w14:paraId="4090E0E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0E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0EA" w14:textId="77777777" w:rsidR="00833634" w:rsidRDefault="00E15D51">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4090E0EB" w14:textId="77777777" w:rsidR="00833634" w:rsidRDefault="00833634">
            <w:pPr>
              <w:jc w:val="right"/>
              <w:rPr>
                <w:rFonts w:ascii="宋体"/>
              </w:rPr>
            </w:pPr>
          </w:p>
        </w:tc>
      </w:tr>
      <w:tr w:rsidR="00833634" w14:paraId="4090E0F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0ED" w14:textId="77777777" w:rsidR="00833634" w:rsidRDefault="00E15D51">
            <w:pPr>
              <w:textAlignment w:val="bottom"/>
            </w:pPr>
            <w:r>
              <w:rPr>
                <w:rFonts w:ascii="Arial" w:eastAsia="宋体" w:hAnsi="Arial" w:cs="Arial"/>
                <w:b/>
                <w:bCs/>
                <w:color w:val="000000"/>
                <w:sz w:val="20"/>
                <w:szCs w:val="20"/>
              </w:rPr>
              <w:t>Total 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0EE" w14:textId="77777777" w:rsidR="00833634" w:rsidRDefault="00E15D51">
            <w:pPr>
              <w:jc w:val="right"/>
              <w:textAlignment w:val="bottom"/>
            </w:pPr>
            <w:r>
              <w:rPr>
                <w:rFonts w:ascii="Arial" w:eastAsia="宋体" w:hAnsi="Arial" w:cs="Arial"/>
                <w:b/>
                <w:bCs/>
                <w:color w:val="000000"/>
                <w:sz w:val="20"/>
                <w:szCs w:val="20"/>
              </w:rPr>
              <w:t>$42,854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0E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F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0F1" w14:textId="77777777" w:rsidR="00833634" w:rsidRDefault="00E15D51">
            <w:pPr>
              <w:jc w:val="right"/>
              <w:textAlignment w:val="bottom"/>
            </w:pPr>
            <w:r>
              <w:rPr>
                <w:rFonts w:ascii="Arial" w:eastAsia="宋体" w:hAnsi="Arial" w:cs="Arial"/>
                <w:color w:val="000000"/>
                <w:sz w:val="20"/>
                <w:szCs w:val="20"/>
              </w:rPr>
              <w:t>$58,648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0F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F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0F4" w14:textId="77777777" w:rsidR="00833634" w:rsidRDefault="00E15D51">
            <w:pPr>
              <w:jc w:val="right"/>
              <w:textAlignment w:val="bottom"/>
            </w:pPr>
            <w:r>
              <w:rPr>
                <w:rFonts w:ascii="Arial" w:eastAsia="宋体" w:hAnsi="Arial" w:cs="Arial"/>
                <w:b/>
                <w:bCs/>
                <w:color w:val="000000"/>
                <w:sz w:val="20"/>
                <w:szCs w:val="20"/>
              </w:rPr>
              <w:t>$14,139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0F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0F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0F7" w14:textId="77777777" w:rsidR="00833634" w:rsidRDefault="00E15D51">
            <w:pPr>
              <w:jc w:val="right"/>
              <w:textAlignment w:val="bottom"/>
            </w:pPr>
            <w:r>
              <w:rPr>
                <w:rFonts w:ascii="Arial" w:eastAsia="宋体" w:hAnsi="Arial" w:cs="Arial"/>
                <w:color w:val="000000"/>
                <w:sz w:val="20"/>
                <w:szCs w:val="20"/>
              </w:rPr>
              <w:t>$19,980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0F8" w14:textId="77777777" w:rsidR="00833634" w:rsidRDefault="00833634">
            <w:pPr>
              <w:jc w:val="right"/>
              <w:rPr>
                <w:rFonts w:ascii="宋体"/>
              </w:rPr>
            </w:pPr>
          </w:p>
        </w:tc>
      </w:tr>
      <w:tr w:rsidR="00833634" w14:paraId="4090E102" w14:textId="77777777">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4090E0FA" w14:textId="77777777" w:rsidR="00833634" w:rsidRDefault="00E15D51">
            <w:pPr>
              <w:textAlignment w:val="bottom"/>
            </w:pPr>
            <w:r>
              <w:rPr>
                <w:rFonts w:ascii="Arial" w:eastAsia="宋体" w:hAnsi="Arial" w:cs="Arial"/>
                <w:color w:val="000000"/>
                <w:sz w:val="20"/>
                <w:szCs w:val="20"/>
              </w:rPr>
              <w:t>Earnings/(loss) from operations:</w:t>
            </w:r>
          </w:p>
        </w:tc>
        <w:tc>
          <w:tcPr>
            <w:tcW w:w="0" w:type="auto"/>
            <w:gridSpan w:val="3"/>
            <w:tcBorders>
              <w:top w:val="double" w:sz="6" w:space="0" w:color="000000"/>
            </w:tcBorders>
            <w:shd w:val="clear" w:color="auto" w:fill="FFFFFF"/>
            <w:tcMar>
              <w:top w:w="0" w:type="dxa"/>
              <w:left w:w="20" w:type="dxa"/>
              <w:bottom w:w="0" w:type="dxa"/>
              <w:right w:w="20" w:type="dxa"/>
            </w:tcMar>
          </w:tcPr>
          <w:p w14:paraId="4090E0FB"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0FC"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0FD"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0FE"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0FF"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100"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101" w14:textId="77777777" w:rsidR="00833634" w:rsidRDefault="00833634">
            <w:pPr>
              <w:rPr>
                <w:rFonts w:ascii="宋体"/>
              </w:rPr>
            </w:pPr>
          </w:p>
        </w:tc>
      </w:tr>
      <w:tr w:rsidR="00833634" w14:paraId="4090E10F" w14:textId="77777777">
        <w:tc>
          <w:tcPr>
            <w:tcW w:w="0" w:type="auto"/>
            <w:gridSpan w:val="3"/>
            <w:shd w:val="clear" w:color="auto" w:fill="CCEEFF"/>
            <w:tcMar>
              <w:top w:w="40" w:type="dxa"/>
              <w:left w:w="225" w:type="dxa"/>
              <w:bottom w:w="40" w:type="dxa"/>
              <w:right w:w="20" w:type="dxa"/>
            </w:tcMar>
            <w:vAlign w:val="bottom"/>
          </w:tcPr>
          <w:p w14:paraId="4090E103" w14:textId="77777777" w:rsidR="00833634" w:rsidRDefault="00E15D51">
            <w:pPr>
              <w:textAlignment w:val="bottom"/>
            </w:pPr>
            <w:r>
              <w:rPr>
                <w:rFonts w:ascii="Arial" w:eastAsia="宋体" w:hAnsi="Arial" w:cs="Arial"/>
                <w:color w:val="000000"/>
                <w:sz w:val="20"/>
                <w:szCs w:val="20"/>
              </w:rPr>
              <w:t>Commercial Airplanes</w:t>
            </w:r>
          </w:p>
        </w:tc>
        <w:tc>
          <w:tcPr>
            <w:tcW w:w="0" w:type="auto"/>
            <w:gridSpan w:val="2"/>
            <w:shd w:val="clear" w:color="auto" w:fill="CCEEFF"/>
            <w:tcMar>
              <w:top w:w="40" w:type="dxa"/>
              <w:left w:w="20" w:type="dxa"/>
              <w:bottom w:w="40" w:type="dxa"/>
              <w:right w:w="0" w:type="dxa"/>
            </w:tcMar>
            <w:vAlign w:val="bottom"/>
          </w:tcPr>
          <w:p w14:paraId="4090E104" w14:textId="77777777" w:rsidR="00833634" w:rsidRDefault="00E15D51">
            <w:pPr>
              <w:jc w:val="right"/>
              <w:textAlignment w:val="bottom"/>
            </w:pPr>
            <w:r>
              <w:rPr>
                <w:rFonts w:ascii="Arial" w:eastAsia="宋体" w:hAnsi="Arial" w:cs="Arial"/>
                <w:b/>
                <w:bCs/>
                <w:color w:val="000000"/>
                <w:sz w:val="20"/>
                <w:szCs w:val="20"/>
              </w:rPr>
              <w:t>($6,199)</w:t>
            </w:r>
          </w:p>
        </w:tc>
        <w:tc>
          <w:tcPr>
            <w:tcW w:w="0" w:type="auto"/>
            <w:shd w:val="clear" w:color="auto" w:fill="CCEEFF"/>
            <w:tcMar>
              <w:top w:w="40" w:type="dxa"/>
              <w:left w:w="0" w:type="dxa"/>
              <w:bottom w:w="40" w:type="dxa"/>
              <w:right w:w="20" w:type="dxa"/>
            </w:tcMar>
            <w:vAlign w:val="bottom"/>
          </w:tcPr>
          <w:p w14:paraId="4090E10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0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07" w14:textId="77777777" w:rsidR="00833634" w:rsidRDefault="00E15D51">
            <w:pPr>
              <w:jc w:val="right"/>
              <w:textAlignment w:val="bottom"/>
            </w:pPr>
            <w:r>
              <w:rPr>
                <w:rFonts w:ascii="Arial" w:eastAsia="宋体" w:hAnsi="Arial" w:cs="Arial"/>
                <w:color w:val="000000"/>
                <w:sz w:val="20"/>
                <w:szCs w:val="20"/>
              </w:rPr>
              <w:t>($3,813)</w:t>
            </w:r>
          </w:p>
        </w:tc>
        <w:tc>
          <w:tcPr>
            <w:tcW w:w="0" w:type="auto"/>
            <w:shd w:val="clear" w:color="auto" w:fill="CCEEFF"/>
            <w:tcMar>
              <w:top w:w="40" w:type="dxa"/>
              <w:left w:w="0" w:type="dxa"/>
              <w:bottom w:w="40" w:type="dxa"/>
              <w:right w:w="20" w:type="dxa"/>
            </w:tcMar>
            <w:vAlign w:val="bottom"/>
          </w:tcPr>
          <w:p w14:paraId="4090E10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0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0A" w14:textId="77777777" w:rsidR="00833634" w:rsidRDefault="00E15D51">
            <w:pPr>
              <w:jc w:val="right"/>
              <w:textAlignment w:val="bottom"/>
            </w:pPr>
            <w:r>
              <w:rPr>
                <w:rFonts w:ascii="Arial" w:eastAsia="宋体" w:hAnsi="Arial" w:cs="Arial"/>
                <w:b/>
                <w:bCs/>
                <w:color w:val="000000"/>
                <w:sz w:val="20"/>
                <w:szCs w:val="20"/>
              </w:rPr>
              <w:t>($1,369)</w:t>
            </w:r>
          </w:p>
        </w:tc>
        <w:tc>
          <w:tcPr>
            <w:tcW w:w="0" w:type="auto"/>
            <w:shd w:val="clear" w:color="auto" w:fill="CCEEFF"/>
            <w:tcMar>
              <w:top w:w="40" w:type="dxa"/>
              <w:left w:w="0" w:type="dxa"/>
              <w:bottom w:w="40" w:type="dxa"/>
              <w:right w:w="20" w:type="dxa"/>
            </w:tcMar>
            <w:vAlign w:val="bottom"/>
          </w:tcPr>
          <w:p w14:paraId="4090E10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0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0D" w14:textId="77777777" w:rsidR="00833634" w:rsidRDefault="00E15D51">
            <w:pPr>
              <w:jc w:val="right"/>
              <w:textAlignment w:val="bottom"/>
            </w:pPr>
            <w:r>
              <w:rPr>
                <w:rFonts w:ascii="Arial" w:eastAsia="宋体" w:hAnsi="Arial" w:cs="Arial"/>
                <w:color w:val="000000"/>
                <w:sz w:val="20"/>
                <w:szCs w:val="20"/>
              </w:rPr>
              <w:t>($40)</w:t>
            </w:r>
          </w:p>
        </w:tc>
        <w:tc>
          <w:tcPr>
            <w:tcW w:w="0" w:type="auto"/>
            <w:shd w:val="clear" w:color="auto" w:fill="CCEEFF"/>
            <w:tcMar>
              <w:top w:w="40" w:type="dxa"/>
              <w:left w:w="0" w:type="dxa"/>
              <w:bottom w:w="40" w:type="dxa"/>
              <w:right w:w="20" w:type="dxa"/>
            </w:tcMar>
            <w:vAlign w:val="bottom"/>
          </w:tcPr>
          <w:p w14:paraId="4090E10E" w14:textId="77777777" w:rsidR="00833634" w:rsidRDefault="00833634">
            <w:pPr>
              <w:jc w:val="right"/>
              <w:rPr>
                <w:rFonts w:ascii="宋体"/>
              </w:rPr>
            </w:pPr>
          </w:p>
        </w:tc>
      </w:tr>
      <w:tr w:rsidR="00833634" w14:paraId="4090E11C" w14:textId="77777777">
        <w:tc>
          <w:tcPr>
            <w:tcW w:w="0" w:type="auto"/>
            <w:gridSpan w:val="3"/>
            <w:shd w:val="clear" w:color="auto" w:fill="FFFFFF"/>
            <w:tcMar>
              <w:top w:w="40" w:type="dxa"/>
              <w:left w:w="225" w:type="dxa"/>
              <w:bottom w:w="40" w:type="dxa"/>
              <w:right w:w="20" w:type="dxa"/>
            </w:tcMar>
            <w:vAlign w:val="bottom"/>
          </w:tcPr>
          <w:p w14:paraId="4090E110" w14:textId="77777777" w:rsidR="00833634" w:rsidRDefault="00E15D51">
            <w:pPr>
              <w:textAlignment w:val="bottom"/>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4090E111" w14:textId="77777777" w:rsidR="00833634" w:rsidRDefault="00E15D51">
            <w:pPr>
              <w:jc w:val="right"/>
              <w:textAlignment w:val="bottom"/>
            </w:pPr>
            <w:r>
              <w:rPr>
                <w:rFonts w:ascii="Arial" w:eastAsia="宋体" w:hAnsi="Arial" w:cs="Arial"/>
                <w:b/>
                <w:bCs/>
                <w:color w:val="000000"/>
                <w:sz w:val="20"/>
                <w:szCs w:val="20"/>
              </w:rPr>
              <w:t>1,037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11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1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14" w14:textId="77777777" w:rsidR="00833634" w:rsidRDefault="00E15D51">
            <w:pPr>
              <w:jc w:val="right"/>
              <w:textAlignment w:val="bottom"/>
            </w:pPr>
            <w:r>
              <w:rPr>
                <w:rFonts w:ascii="Arial" w:eastAsia="宋体" w:hAnsi="Arial" w:cs="Arial"/>
                <w:color w:val="000000"/>
                <w:sz w:val="20"/>
                <w:szCs w:val="20"/>
              </w:rPr>
              <w:t>2,581 </w:t>
            </w:r>
          </w:p>
        </w:tc>
        <w:tc>
          <w:tcPr>
            <w:tcW w:w="0" w:type="auto"/>
            <w:shd w:val="clear" w:color="auto" w:fill="FFFFFF"/>
            <w:tcMar>
              <w:top w:w="40" w:type="dxa"/>
              <w:left w:w="0" w:type="dxa"/>
              <w:bottom w:w="40" w:type="dxa"/>
              <w:right w:w="20" w:type="dxa"/>
            </w:tcMar>
            <w:vAlign w:val="bottom"/>
          </w:tcPr>
          <w:p w14:paraId="4090E11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1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17" w14:textId="77777777" w:rsidR="00833634" w:rsidRDefault="00E15D51">
            <w:pPr>
              <w:jc w:val="right"/>
              <w:textAlignment w:val="bottom"/>
            </w:pPr>
            <w:r>
              <w:rPr>
                <w:rFonts w:ascii="Arial" w:eastAsia="宋体" w:hAnsi="Arial" w:cs="Arial"/>
                <w:b/>
                <w:bCs/>
                <w:color w:val="000000"/>
                <w:sz w:val="20"/>
                <w:szCs w:val="20"/>
              </w:rPr>
              <w:t>628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11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1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1A" w14:textId="77777777" w:rsidR="00833634" w:rsidRDefault="00E15D51">
            <w:pPr>
              <w:jc w:val="right"/>
              <w:textAlignment w:val="bottom"/>
            </w:pPr>
            <w:r>
              <w:rPr>
                <w:rFonts w:ascii="Arial" w:eastAsia="宋体" w:hAnsi="Arial" w:cs="Arial"/>
                <w:color w:val="000000"/>
                <w:sz w:val="20"/>
                <w:szCs w:val="20"/>
              </w:rPr>
              <w:t>754 </w:t>
            </w:r>
          </w:p>
        </w:tc>
        <w:tc>
          <w:tcPr>
            <w:tcW w:w="0" w:type="auto"/>
            <w:shd w:val="clear" w:color="auto" w:fill="FFFFFF"/>
            <w:tcMar>
              <w:top w:w="40" w:type="dxa"/>
              <w:left w:w="0" w:type="dxa"/>
              <w:bottom w:w="40" w:type="dxa"/>
              <w:right w:w="20" w:type="dxa"/>
            </w:tcMar>
            <w:vAlign w:val="bottom"/>
          </w:tcPr>
          <w:p w14:paraId="4090E11B" w14:textId="77777777" w:rsidR="00833634" w:rsidRDefault="00833634">
            <w:pPr>
              <w:jc w:val="right"/>
              <w:rPr>
                <w:rFonts w:ascii="宋体"/>
              </w:rPr>
            </w:pPr>
          </w:p>
        </w:tc>
      </w:tr>
      <w:tr w:rsidR="00833634" w14:paraId="4090E129" w14:textId="77777777">
        <w:tc>
          <w:tcPr>
            <w:tcW w:w="0" w:type="auto"/>
            <w:gridSpan w:val="3"/>
            <w:shd w:val="clear" w:color="auto" w:fill="CCEEFF"/>
            <w:tcMar>
              <w:top w:w="40" w:type="dxa"/>
              <w:left w:w="225" w:type="dxa"/>
              <w:bottom w:w="40" w:type="dxa"/>
              <w:right w:w="20" w:type="dxa"/>
            </w:tcMar>
            <w:vAlign w:val="bottom"/>
          </w:tcPr>
          <w:p w14:paraId="4090E11D" w14:textId="77777777" w:rsidR="00833634" w:rsidRDefault="00E15D51">
            <w:pPr>
              <w:textAlignment w:val="bottom"/>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4090E11E" w14:textId="77777777" w:rsidR="00833634" w:rsidRDefault="00E15D51">
            <w:pPr>
              <w:jc w:val="right"/>
              <w:textAlignment w:val="bottom"/>
            </w:pPr>
            <w:r>
              <w:rPr>
                <w:rFonts w:ascii="Arial" w:eastAsia="宋体" w:hAnsi="Arial" w:cs="Arial"/>
                <w:b/>
                <w:bCs/>
                <w:color w:val="000000"/>
                <w:sz w:val="20"/>
                <w:szCs w:val="20"/>
              </w:rPr>
              <w:t>307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11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2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21" w14:textId="77777777" w:rsidR="00833634" w:rsidRDefault="00E15D51">
            <w:pPr>
              <w:jc w:val="right"/>
              <w:textAlignment w:val="bottom"/>
            </w:pPr>
            <w:r>
              <w:rPr>
                <w:rFonts w:ascii="Arial" w:eastAsia="宋体" w:hAnsi="Arial" w:cs="Arial"/>
                <w:color w:val="000000"/>
                <w:sz w:val="20"/>
                <w:szCs w:val="20"/>
              </w:rPr>
              <w:t>2,013 </w:t>
            </w:r>
          </w:p>
        </w:tc>
        <w:tc>
          <w:tcPr>
            <w:tcW w:w="0" w:type="auto"/>
            <w:shd w:val="clear" w:color="auto" w:fill="CCEEFF"/>
            <w:tcMar>
              <w:top w:w="40" w:type="dxa"/>
              <w:left w:w="0" w:type="dxa"/>
              <w:bottom w:w="40" w:type="dxa"/>
              <w:right w:w="20" w:type="dxa"/>
            </w:tcMar>
            <w:vAlign w:val="bottom"/>
          </w:tcPr>
          <w:p w14:paraId="4090E12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2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24" w14:textId="77777777" w:rsidR="00833634" w:rsidRDefault="00E15D51">
            <w:pPr>
              <w:jc w:val="right"/>
              <w:textAlignment w:val="bottom"/>
            </w:pPr>
            <w:r>
              <w:rPr>
                <w:rFonts w:ascii="Arial" w:eastAsia="宋体" w:hAnsi="Arial" w:cs="Arial"/>
                <w:b/>
                <w:bCs/>
                <w:color w:val="000000"/>
                <w:sz w:val="20"/>
                <w:szCs w:val="20"/>
              </w:rPr>
              <w:t>271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12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2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27" w14:textId="77777777" w:rsidR="00833634" w:rsidRDefault="00E15D51">
            <w:pPr>
              <w:jc w:val="right"/>
              <w:textAlignment w:val="bottom"/>
            </w:pPr>
            <w:r>
              <w:rPr>
                <w:rFonts w:ascii="Arial" w:eastAsia="宋体" w:hAnsi="Arial" w:cs="Arial"/>
                <w:color w:val="000000"/>
                <w:sz w:val="20"/>
                <w:szCs w:val="20"/>
              </w:rPr>
              <w:t>673 </w:t>
            </w:r>
          </w:p>
        </w:tc>
        <w:tc>
          <w:tcPr>
            <w:tcW w:w="0" w:type="auto"/>
            <w:shd w:val="clear" w:color="auto" w:fill="CCEEFF"/>
            <w:tcMar>
              <w:top w:w="40" w:type="dxa"/>
              <w:left w:w="0" w:type="dxa"/>
              <w:bottom w:w="40" w:type="dxa"/>
              <w:right w:w="20" w:type="dxa"/>
            </w:tcMar>
            <w:vAlign w:val="bottom"/>
          </w:tcPr>
          <w:p w14:paraId="4090E128" w14:textId="77777777" w:rsidR="00833634" w:rsidRDefault="00833634">
            <w:pPr>
              <w:jc w:val="right"/>
              <w:rPr>
                <w:rFonts w:ascii="宋体"/>
              </w:rPr>
            </w:pPr>
          </w:p>
        </w:tc>
      </w:tr>
      <w:tr w:rsidR="00833634" w14:paraId="4090E136" w14:textId="77777777">
        <w:tc>
          <w:tcPr>
            <w:tcW w:w="0" w:type="auto"/>
            <w:gridSpan w:val="3"/>
            <w:shd w:val="clear" w:color="auto" w:fill="FFFFFF"/>
            <w:tcMar>
              <w:top w:w="40" w:type="dxa"/>
              <w:left w:w="225" w:type="dxa"/>
              <w:bottom w:w="40" w:type="dxa"/>
              <w:right w:w="20" w:type="dxa"/>
            </w:tcMar>
            <w:vAlign w:val="bottom"/>
          </w:tcPr>
          <w:p w14:paraId="4090E12A" w14:textId="77777777" w:rsidR="00833634" w:rsidRDefault="00E15D51">
            <w:pPr>
              <w:textAlignment w:val="bottom"/>
            </w:pPr>
            <w:r>
              <w:rPr>
                <w:rFonts w:ascii="Arial" w:eastAsia="宋体" w:hAnsi="Arial" w:cs="Arial"/>
                <w:color w:val="000000"/>
                <w:sz w:val="20"/>
                <w:szCs w:val="20"/>
              </w:rPr>
              <w:t>Boeing Capital</w:t>
            </w:r>
          </w:p>
        </w:tc>
        <w:tc>
          <w:tcPr>
            <w:tcW w:w="0" w:type="auto"/>
            <w:gridSpan w:val="2"/>
            <w:shd w:val="clear" w:color="auto" w:fill="FFFFFF"/>
            <w:tcMar>
              <w:top w:w="40" w:type="dxa"/>
              <w:left w:w="20" w:type="dxa"/>
              <w:bottom w:w="40" w:type="dxa"/>
              <w:right w:w="0" w:type="dxa"/>
            </w:tcMar>
            <w:vAlign w:val="bottom"/>
          </w:tcPr>
          <w:p w14:paraId="4090E12B" w14:textId="77777777" w:rsidR="00833634" w:rsidRDefault="00E15D51">
            <w:pPr>
              <w:jc w:val="right"/>
              <w:textAlignment w:val="bottom"/>
            </w:pPr>
            <w:r>
              <w:rPr>
                <w:rFonts w:ascii="Arial" w:eastAsia="宋体" w:hAnsi="Arial" w:cs="Arial"/>
                <w:b/>
                <w:bCs/>
                <w:color w:val="000000"/>
                <w:sz w:val="20"/>
                <w:szCs w:val="20"/>
              </w:rPr>
              <w:t>47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12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2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2E" w14:textId="77777777" w:rsidR="00833634" w:rsidRDefault="00E15D51">
            <w:pPr>
              <w:jc w:val="right"/>
              <w:textAlignment w:val="bottom"/>
            </w:pPr>
            <w:r>
              <w:rPr>
                <w:rFonts w:ascii="Arial" w:eastAsia="宋体" w:hAnsi="Arial" w:cs="Arial"/>
                <w:color w:val="000000"/>
                <w:sz w:val="20"/>
                <w:szCs w:val="20"/>
              </w:rPr>
              <w:t>86 </w:t>
            </w:r>
          </w:p>
        </w:tc>
        <w:tc>
          <w:tcPr>
            <w:tcW w:w="0" w:type="auto"/>
            <w:shd w:val="clear" w:color="auto" w:fill="FFFFFF"/>
            <w:tcMar>
              <w:top w:w="40" w:type="dxa"/>
              <w:left w:w="0" w:type="dxa"/>
              <w:bottom w:w="40" w:type="dxa"/>
              <w:right w:w="20" w:type="dxa"/>
            </w:tcMar>
            <w:vAlign w:val="bottom"/>
          </w:tcPr>
          <w:p w14:paraId="4090E12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3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31" w14:textId="77777777" w:rsidR="00833634" w:rsidRDefault="00E15D51">
            <w:pPr>
              <w:jc w:val="right"/>
              <w:textAlignment w:val="bottom"/>
            </w:pPr>
            <w:r>
              <w:rPr>
                <w:rFonts w:ascii="Arial" w:eastAsia="宋体" w:hAnsi="Arial" w:cs="Arial"/>
                <w:b/>
                <w:bCs/>
                <w:color w:val="000000"/>
                <w:sz w:val="20"/>
                <w:szCs w:val="20"/>
              </w:rPr>
              <w:t>30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13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3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34" w14:textId="77777777" w:rsidR="00833634" w:rsidRDefault="00E15D51">
            <w:pPr>
              <w:jc w:val="right"/>
              <w:textAlignment w:val="bottom"/>
            </w:pPr>
            <w:r>
              <w:rPr>
                <w:rFonts w:ascii="Arial" w:eastAsia="宋体" w:hAnsi="Arial" w:cs="Arial"/>
                <w:color w:val="000000"/>
                <w:sz w:val="20"/>
                <w:szCs w:val="20"/>
              </w:rPr>
              <w:t>29 </w:t>
            </w:r>
          </w:p>
        </w:tc>
        <w:tc>
          <w:tcPr>
            <w:tcW w:w="0" w:type="auto"/>
            <w:shd w:val="clear" w:color="auto" w:fill="FFFFFF"/>
            <w:tcMar>
              <w:top w:w="40" w:type="dxa"/>
              <w:left w:w="0" w:type="dxa"/>
              <w:bottom w:w="40" w:type="dxa"/>
              <w:right w:w="20" w:type="dxa"/>
            </w:tcMar>
            <w:vAlign w:val="bottom"/>
          </w:tcPr>
          <w:p w14:paraId="4090E135" w14:textId="77777777" w:rsidR="00833634" w:rsidRDefault="00833634">
            <w:pPr>
              <w:jc w:val="right"/>
              <w:rPr>
                <w:rFonts w:ascii="宋体"/>
              </w:rPr>
            </w:pPr>
          </w:p>
        </w:tc>
      </w:tr>
      <w:tr w:rsidR="00833634" w14:paraId="4090E14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137" w14:textId="77777777" w:rsidR="00833634" w:rsidRDefault="00E15D51">
            <w:pPr>
              <w:textAlignment w:val="bottom"/>
            </w:pPr>
            <w:r>
              <w:rPr>
                <w:rFonts w:ascii="Arial" w:eastAsia="宋体" w:hAnsi="Arial" w:cs="Arial"/>
                <w:b/>
                <w:bCs/>
                <w:color w:val="000000"/>
                <w:sz w:val="20"/>
                <w:szCs w:val="20"/>
              </w:rPr>
              <w:t>Segment operating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38" w14:textId="77777777" w:rsidR="00833634" w:rsidRDefault="00E15D51">
            <w:pPr>
              <w:jc w:val="right"/>
              <w:textAlignment w:val="bottom"/>
            </w:pPr>
            <w:r>
              <w:rPr>
                <w:rFonts w:ascii="Arial" w:eastAsia="宋体" w:hAnsi="Arial" w:cs="Arial"/>
                <w:b/>
                <w:bCs/>
                <w:color w:val="000000"/>
                <w:sz w:val="20"/>
                <w:szCs w:val="20"/>
              </w:rPr>
              <w:t>(4,808)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3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13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3B" w14:textId="77777777" w:rsidR="00833634" w:rsidRDefault="00E15D51">
            <w:pPr>
              <w:jc w:val="right"/>
              <w:textAlignment w:val="bottom"/>
            </w:pPr>
            <w:r>
              <w:rPr>
                <w:rFonts w:ascii="Arial" w:eastAsia="宋体" w:hAnsi="Arial" w:cs="Arial"/>
                <w:color w:val="000000"/>
                <w:sz w:val="20"/>
                <w:szCs w:val="20"/>
              </w:rPr>
              <w:t>867 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3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13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3E" w14:textId="77777777" w:rsidR="00833634" w:rsidRDefault="00E15D51">
            <w:pPr>
              <w:jc w:val="right"/>
              <w:textAlignment w:val="bottom"/>
            </w:pPr>
            <w:r>
              <w:rPr>
                <w:rFonts w:ascii="Arial" w:eastAsia="宋体" w:hAnsi="Arial" w:cs="Arial"/>
                <w:b/>
                <w:bCs/>
                <w:color w:val="000000"/>
                <w:sz w:val="20"/>
                <w:szCs w:val="20"/>
              </w:rPr>
              <w:t>(440)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3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14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41" w14:textId="77777777" w:rsidR="00833634" w:rsidRDefault="00E15D51">
            <w:pPr>
              <w:jc w:val="right"/>
              <w:textAlignment w:val="bottom"/>
            </w:pPr>
            <w:r>
              <w:rPr>
                <w:rFonts w:ascii="Arial" w:eastAsia="宋体" w:hAnsi="Arial" w:cs="Arial"/>
                <w:color w:val="000000"/>
                <w:sz w:val="20"/>
                <w:szCs w:val="20"/>
              </w:rPr>
              <w:t>1,416 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42" w14:textId="77777777" w:rsidR="00833634" w:rsidRDefault="00833634">
            <w:pPr>
              <w:jc w:val="right"/>
              <w:rPr>
                <w:rFonts w:ascii="宋体"/>
              </w:rPr>
            </w:pPr>
          </w:p>
        </w:tc>
      </w:tr>
      <w:tr w:rsidR="00833634" w14:paraId="4090E150" w14:textId="77777777">
        <w:tc>
          <w:tcPr>
            <w:tcW w:w="0" w:type="auto"/>
            <w:gridSpan w:val="3"/>
            <w:shd w:val="clear" w:color="auto" w:fill="FFFFFF"/>
            <w:tcMar>
              <w:top w:w="40" w:type="dxa"/>
              <w:left w:w="225" w:type="dxa"/>
              <w:bottom w:w="40" w:type="dxa"/>
              <w:right w:w="20" w:type="dxa"/>
            </w:tcMar>
            <w:vAlign w:val="bottom"/>
          </w:tcPr>
          <w:p w14:paraId="4090E144" w14:textId="77777777" w:rsidR="00833634" w:rsidRDefault="00E15D51">
            <w:pPr>
              <w:textAlignment w:val="bottom"/>
            </w:pPr>
            <w:r>
              <w:rPr>
                <w:rFonts w:ascii="Arial" w:eastAsia="宋体" w:hAnsi="Arial" w:cs="Arial"/>
                <w:color w:val="000000"/>
                <w:sz w:val="20"/>
                <w:szCs w:val="20"/>
              </w:rPr>
              <w:t>Unallocated items, eliminations and other</w:t>
            </w:r>
          </w:p>
        </w:tc>
        <w:tc>
          <w:tcPr>
            <w:tcW w:w="0" w:type="auto"/>
            <w:gridSpan w:val="2"/>
            <w:shd w:val="clear" w:color="auto" w:fill="FFFFFF"/>
            <w:tcMar>
              <w:top w:w="40" w:type="dxa"/>
              <w:left w:w="20" w:type="dxa"/>
              <w:bottom w:w="40" w:type="dxa"/>
              <w:right w:w="0" w:type="dxa"/>
            </w:tcMar>
            <w:vAlign w:val="bottom"/>
          </w:tcPr>
          <w:p w14:paraId="4090E145" w14:textId="77777777" w:rsidR="00833634" w:rsidRDefault="00E15D51">
            <w:pPr>
              <w:jc w:val="right"/>
              <w:textAlignment w:val="bottom"/>
            </w:pPr>
            <w:r>
              <w:rPr>
                <w:rFonts w:ascii="Arial" w:eastAsia="宋体" w:hAnsi="Arial" w:cs="Arial"/>
                <w:b/>
                <w:bCs/>
                <w:color w:val="000000"/>
                <w:sz w:val="20"/>
                <w:szCs w:val="20"/>
              </w:rPr>
              <w:t>(965)</w:t>
            </w:r>
          </w:p>
        </w:tc>
        <w:tc>
          <w:tcPr>
            <w:tcW w:w="0" w:type="auto"/>
            <w:shd w:val="clear" w:color="auto" w:fill="FFFFFF"/>
            <w:tcMar>
              <w:top w:w="40" w:type="dxa"/>
              <w:left w:w="0" w:type="dxa"/>
              <w:bottom w:w="40" w:type="dxa"/>
              <w:right w:w="20" w:type="dxa"/>
            </w:tcMar>
            <w:vAlign w:val="bottom"/>
          </w:tcPr>
          <w:p w14:paraId="4090E14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4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48" w14:textId="77777777" w:rsidR="00833634" w:rsidRDefault="00E15D51">
            <w:pPr>
              <w:jc w:val="right"/>
              <w:textAlignment w:val="bottom"/>
            </w:pPr>
            <w:r>
              <w:rPr>
                <w:rFonts w:ascii="Arial" w:eastAsia="宋体" w:hAnsi="Arial" w:cs="Arial"/>
                <w:color w:val="000000"/>
                <w:sz w:val="20"/>
                <w:szCs w:val="20"/>
              </w:rPr>
              <w:t>(1,731)</w:t>
            </w:r>
          </w:p>
        </w:tc>
        <w:tc>
          <w:tcPr>
            <w:tcW w:w="0" w:type="auto"/>
            <w:shd w:val="clear" w:color="auto" w:fill="FFFFFF"/>
            <w:tcMar>
              <w:top w:w="40" w:type="dxa"/>
              <w:left w:w="0" w:type="dxa"/>
              <w:bottom w:w="40" w:type="dxa"/>
              <w:right w:w="20" w:type="dxa"/>
            </w:tcMar>
            <w:vAlign w:val="bottom"/>
          </w:tcPr>
          <w:p w14:paraId="4090E14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4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4B" w14:textId="77777777" w:rsidR="00833634" w:rsidRDefault="00E15D51">
            <w:pPr>
              <w:jc w:val="right"/>
              <w:textAlignment w:val="bottom"/>
            </w:pPr>
            <w:r>
              <w:rPr>
                <w:rFonts w:ascii="Arial" w:eastAsia="宋体" w:hAnsi="Arial" w:cs="Arial"/>
                <w:b/>
                <w:bCs/>
                <w:color w:val="000000"/>
                <w:sz w:val="20"/>
                <w:szCs w:val="20"/>
              </w:rPr>
              <w:t>(314)</w:t>
            </w:r>
          </w:p>
        </w:tc>
        <w:tc>
          <w:tcPr>
            <w:tcW w:w="0" w:type="auto"/>
            <w:shd w:val="clear" w:color="auto" w:fill="FFFFFF"/>
            <w:tcMar>
              <w:top w:w="40" w:type="dxa"/>
              <w:left w:w="0" w:type="dxa"/>
              <w:bottom w:w="40" w:type="dxa"/>
              <w:right w:w="20" w:type="dxa"/>
            </w:tcMar>
            <w:vAlign w:val="bottom"/>
          </w:tcPr>
          <w:p w14:paraId="4090E14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4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4E" w14:textId="77777777" w:rsidR="00833634" w:rsidRDefault="00E15D51">
            <w:pPr>
              <w:jc w:val="right"/>
              <w:textAlignment w:val="bottom"/>
            </w:pPr>
            <w:r>
              <w:rPr>
                <w:rFonts w:ascii="Arial" w:eastAsia="宋体" w:hAnsi="Arial" w:cs="Arial"/>
                <w:color w:val="000000"/>
                <w:sz w:val="20"/>
                <w:szCs w:val="20"/>
              </w:rPr>
              <w:t>(521)</w:t>
            </w:r>
          </w:p>
        </w:tc>
        <w:tc>
          <w:tcPr>
            <w:tcW w:w="0" w:type="auto"/>
            <w:shd w:val="clear" w:color="auto" w:fill="FFFFFF"/>
            <w:tcMar>
              <w:top w:w="40" w:type="dxa"/>
              <w:left w:w="0" w:type="dxa"/>
              <w:bottom w:w="40" w:type="dxa"/>
              <w:right w:w="20" w:type="dxa"/>
            </w:tcMar>
            <w:vAlign w:val="bottom"/>
          </w:tcPr>
          <w:p w14:paraId="4090E14F" w14:textId="77777777" w:rsidR="00833634" w:rsidRDefault="00833634">
            <w:pPr>
              <w:jc w:val="right"/>
              <w:rPr>
                <w:rFonts w:ascii="宋体"/>
              </w:rPr>
            </w:pPr>
          </w:p>
        </w:tc>
      </w:tr>
      <w:tr w:rsidR="00833634" w14:paraId="4090E15D" w14:textId="77777777">
        <w:tc>
          <w:tcPr>
            <w:tcW w:w="0" w:type="auto"/>
            <w:gridSpan w:val="3"/>
            <w:shd w:val="clear" w:color="auto" w:fill="CCEEFF"/>
            <w:tcMar>
              <w:top w:w="40" w:type="dxa"/>
              <w:left w:w="225" w:type="dxa"/>
              <w:bottom w:w="40" w:type="dxa"/>
              <w:right w:w="20" w:type="dxa"/>
            </w:tcMar>
            <w:vAlign w:val="bottom"/>
          </w:tcPr>
          <w:p w14:paraId="4090E151" w14:textId="77777777" w:rsidR="00833634" w:rsidRDefault="00E15D51">
            <w:pPr>
              <w:textAlignment w:val="bottom"/>
            </w:pPr>
            <w:r>
              <w:rPr>
                <w:rFonts w:ascii="Arial" w:eastAsia="宋体" w:hAnsi="Arial" w:cs="Arial"/>
                <w:color w:val="000000"/>
                <w:sz w:val="20"/>
                <w:szCs w:val="20"/>
              </w:rPr>
              <w:t>FAS/CAS service cost adjustment</w:t>
            </w:r>
          </w:p>
        </w:tc>
        <w:tc>
          <w:tcPr>
            <w:tcW w:w="0" w:type="auto"/>
            <w:gridSpan w:val="2"/>
            <w:shd w:val="clear" w:color="auto" w:fill="CCEEFF"/>
            <w:tcMar>
              <w:top w:w="40" w:type="dxa"/>
              <w:left w:w="20" w:type="dxa"/>
              <w:bottom w:w="40" w:type="dxa"/>
              <w:right w:w="0" w:type="dxa"/>
            </w:tcMar>
            <w:vAlign w:val="bottom"/>
          </w:tcPr>
          <w:p w14:paraId="4090E152" w14:textId="77777777" w:rsidR="00833634" w:rsidRDefault="00E15D51">
            <w:pPr>
              <w:jc w:val="right"/>
              <w:textAlignment w:val="bottom"/>
            </w:pPr>
            <w:r>
              <w:rPr>
                <w:rFonts w:ascii="Arial" w:eastAsia="宋体" w:hAnsi="Arial" w:cs="Arial"/>
                <w:b/>
                <w:bCs/>
                <w:color w:val="000000"/>
                <w:sz w:val="20"/>
                <w:szCs w:val="20"/>
              </w:rPr>
              <w:t>1,055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15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5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55" w14:textId="77777777" w:rsidR="00833634" w:rsidRDefault="00E15D51">
            <w:pPr>
              <w:jc w:val="right"/>
              <w:textAlignment w:val="bottom"/>
            </w:pPr>
            <w:r>
              <w:rPr>
                <w:rFonts w:ascii="Arial" w:eastAsia="宋体" w:hAnsi="Arial" w:cs="Arial"/>
                <w:color w:val="000000"/>
                <w:sz w:val="20"/>
                <w:szCs w:val="20"/>
              </w:rPr>
              <w:t>1,093 </w:t>
            </w:r>
          </w:p>
        </w:tc>
        <w:tc>
          <w:tcPr>
            <w:tcW w:w="0" w:type="auto"/>
            <w:shd w:val="clear" w:color="auto" w:fill="CCEEFF"/>
            <w:tcMar>
              <w:top w:w="40" w:type="dxa"/>
              <w:left w:w="0" w:type="dxa"/>
              <w:bottom w:w="40" w:type="dxa"/>
              <w:right w:w="20" w:type="dxa"/>
            </w:tcMar>
            <w:vAlign w:val="bottom"/>
          </w:tcPr>
          <w:p w14:paraId="4090E15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5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58" w14:textId="77777777" w:rsidR="00833634" w:rsidRDefault="00E15D51">
            <w:pPr>
              <w:jc w:val="right"/>
              <w:textAlignment w:val="bottom"/>
            </w:pPr>
            <w:r>
              <w:rPr>
                <w:rFonts w:ascii="Arial" w:eastAsia="宋体" w:hAnsi="Arial" w:cs="Arial"/>
                <w:b/>
                <w:bCs/>
                <w:color w:val="000000"/>
                <w:sz w:val="20"/>
                <w:szCs w:val="20"/>
              </w:rPr>
              <w:t>353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15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5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5B" w14:textId="77777777" w:rsidR="00833634" w:rsidRDefault="00E15D51">
            <w:pPr>
              <w:jc w:val="right"/>
              <w:textAlignment w:val="bottom"/>
            </w:pPr>
            <w:r>
              <w:rPr>
                <w:rFonts w:ascii="Arial" w:eastAsia="宋体" w:hAnsi="Arial" w:cs="Arial"/>
                <w:color w:val="000000"/>
                <w:sz w:val="20"/>
                <w:szCs w:val="20"/>
              </w:rPr>
              <w:t>364 </w:t>
            </w:r>
          </w:p>
        </w:tc>
        <w:tc>
          <w:tcPr>
            <w:tcW w:w="0" w:type="auto"/>
            <w:shd w:val="clear" w:color="auto" w:fill="CCEEFF"/>
            <w:tcMar>
              <w:top w:w="40" w:type="dxa"/>
              <w:left w:w="0" w:type="dxa"/>
              <w:bottom w:w="40" w:type="dxa"/>
              <w:right w:w="20" w:type="dxa"/>
            </w:tcMar>
            <w:vAlign w:val="bottom"/>
          </w:tcPr>
          <w:p w14:paraId="4090E15C" w14:textId="77777777" w:rsidR="00833634" w:rsidRDefault="00833634">
            <w:pPr>
              <w:jc w:val="right"/>
              <w:rPr>
                <w:rFonts w:ascii="宋体"/>
              </w:rPr>
            </w:pPr>
          </w:p>
        </w:tc>
      </w:tr>
      <w:tr w:rsidR="00833634" w14:paraId="4090E16A"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15E" w14:textId="77777777" w:rsidR="00833634" w:rsidRDefault="00E15D51">
            <w:pPr>
              <w:textAlignment w:val="bottom"/>
            </w:pPr>
            <w:r>
              <w:rPr>
                <w:rFonts w:ascii="Arial" w:eastAsia="宋体" w:hAnsi="Arial" w:cs="Arial"/>
                <w:b/>
                <w:bCs/>
                <w:color w:val="000000"/>
                <w:sz w:val="20"/>
                <w:szCs w:val="20"/>
              </w:rPr>
              <w:t>(Loss)/earnings from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15F" w14:textId="77777777" w:rsidR="00833634" w:rsidRDefault="00E15D51">
            <w:pPr>
              <w:jc w:val="right"/>
              <w:textAlignment w:val="bottom"/>
            </w:pPr>
            <w:r>
              <w:rPr>
                <w:rFonts w:ascii="Arial" w:eastAsia="宋体" w:hAnsi="Arial" w:cs="Arial"/>
                <w:b/>
                <w:bCs/>
                <w:color w:val="000000"/>
                <w:sz w:val="20"/>
                <w:szCs w:val="20"/>
              </w:rPr>
              <w:t>(4,718)</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160"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161"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162" w14:textId="77777777" w:rsidR="00833634" w:rsidRDefault="00E15D51">
            <w:pPr>
              <w:jc w:val="right"/>
              <w:textAlignment w:val="bottom"/>
            </w:pPr>
            <w:r>
              <w:rPr>
                <w:rFonts w:ascii="Arial" w:eastAsia="宋体" w:hAnsi="Arial" w:cs="Arial"/>
                <w:color w:val="000000"/>
                <w:sz w:val="20"/>
                <w:szCs w:val="20"/>
              </w:rPr>
              <w:t>229 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163"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164"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165" w14:textId="77777777" w:rsidR="00833634" w:rsidRDefault="00E15D51">
            <w:pPr>
              <w:jc w:val="right"/>
              <w:textAlignment w:val="bottom"/>
            </w:pPr>
            <w:r>
              <w:rPr>
                <w:rFonts w:ascii="Arial" w:eastAsia="宋体" w:hAnsi="Arial" w:cs="Arial"/>
                <w:b/>
                <w:bCs/>
                <w:color w:val="000000"/>
                <w:sz w:val="20"/>
                <w:szCs w:val="20"/>
              </w:rPr>
              <w:t>(401)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166"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167"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168" w14:textId="77777777" w:rsidR="00833634" w:rsidRDefault="00E15D51">
            <w:pPr>
              <w:jc w:val="right"/>
              <w:textAlignment w:val="bottom"/>
            </w:pPr>
            <w:r>
              <w:rPr>
                <w:rFonts w:ascii="Arial" w:eastAsia="宋体" w:hAnsi="Arial" w:cs="Arial"/>
                <w:color w:val="000000"/>
                <w:sz w:val="20"/>
                <w:szCs w:val="20"/>
              </w:rPr>
              <w:t>1,259 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169" w14:textId="77777777" w:rsidR="00833634" w:rsidRDefault="00833634">
            <w:pPr>
              <w:jc w:val="right"/>
              <w:rPr>
                <w:rFonts w:ascii="宋体"/>
              </w:rPr>
            </w:pPr>
          </w:p>
        </w:tc>
      </w:tr>
      <w:tr w:rsidR="00833634" w14:paraId="4090E177" w14:textId="77777777">
        <w:tc>
          <w:tcPr>
            <w:tcW w:w="0" w:type="auto"/>
            <w:gridSpan w:val="3"/>
            <w:shd w:val="clear" w:color="auto" w:fill="CCEEFF"/>
            <w:tcMar>
              <w:top w:w="40" w:type="dxa"/>
              <w:left w:w="20" w:type="dxa"/>
              <w:bottom w:w="40" w:type="dxa"/>
              <w:right w:w="20" w:type="dxa"/>
            </w:tcMar>
            <w:vAlign w:val="bottom"/>
          </w:tcPr>
          <w:p w14:paraId="4090E16B" w14:textId="77777777" w:rsidR="00833634" w:rsidRDefault="00E15D51">
            <w:pPr>
              <w:textAlignment w:val="bottom"/>
            </w:pPr>
            <w:r>
              <w:rPr>
                <w:rFonts w:ascii="Arial" w:eastAsia="宋体" w:hAnsi="Arial" w:cs="Arial"/>
                <w:color w:val="000000"/>
                <w:sz w:val="20"/>
                <w:szCs w:val="20"/>
              </w:rPr>
              <w:t>Other income, net</w:t>
            </w:r>
          </w:p>
        </w:tc>
        <w:tc>
          <w:tcPr>
            <w:tcW w:w="0" w:type="auto"/>
            <w:gridSpan w:val="2"/>
            <w:shd w:val="clear" w:color="auto" w:fill="CCEEFF"/>
            <w:tcMar>
              <w:top w:w="40" w:type="dxa"/>
              <w:left w:w="20" w:type="dxa"/>
              <w:bottom w:w="40" w:type="dxa"/>
              <w:right w:w="0" w:type="dxa"/>
            </w:tcMar>
            <w:vAlign w:val="bottom"/>
          </w:tcPr>
          <w:p w14:paraId="4090E16C" w14:textId="77777777" w:rsidR="00833634" w:rsidRDefault="00E15D51">
            <w:pPr>
              <w:jc w:val="right"/>
              <w:textAlignment w:val="bottom"/>
            </w:pPr>
            <w:r>
              <w:rPr>
                <w:rFonts w:ascii="Arial" w:eastAsia="宋体" w:hAnsi="Arial" w:cs="Arial"/>
                <w:b/>
                <w:bCs/>
                <w:color w:val="000000"/>
                <w:sz w:val="20"/>
                <w:szCs w:val="20"/>
              </w:rPr>
              <w:t>325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16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6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6F" w14:textId="77777777" w:rsidR="00833634" w:rsidRDefault="00E15D51">
            <w:pPr>
              <w:jc w:val="right"/>
              <w:textAlignment w:val="bottom"/>
            </w:pPr>
            <w:r>
              <w:rPr>
                <w:rFonts w:ascii="Arial" w:eastAsia="宋体" w:hAnsi="Arial" w:cs="Arial"/>
                <w:color w:val="000000"/>
                <w:sz w:val="20"/>
                <w:szCs w:val="20"/>
              </w:rPr>
              <w:t>334 </w:t>
            </w:r>
          </w:p>
        </w:tc>
        <w:tc>
          <w:tcPr>
            <w:tcW w:w="0" w:type="auto"/>
            <w:shd w:val="clear" w:color="auto" w:fill="CCEEFF"/>
            <w:tcMar>
              <w:top w:w="40" w:type="dxa"/>
              <w:left w:w="0" w:type="dxa"/>
              <w:bottom w:w="40" w:type="dxa"/>
              <w:right w:w="20" w:type="dxa"/>
            </w:tcMar>
            <w:vAlign w:val="bottom"/>
          </w:tcPr>
          <w:p w14:paraId="4090E170"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7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72" w14:textId="77777777" w:rsidR="00833634" w:rsidRDefault="00E15D51">
            <w:pPr>
              <w:jc w:val="right"/>
              <w:textAlignment w:val="bottom"/>
            </w:pPr>
            <w:r>
              <w:rPr>
                <w:rFonts w:ascii="Arial" w:eastAsia="宋体" w:hAnsi="Arial" w:cs="Arial"/>
                <w:b/>
                <w:bCs/>
                <w:color w:val="000000"/>
                <w:sz w:val="20"/>
                <w:szCs w:val="20"/>
              </w:rPr>
              <w:t>119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17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17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175" w14:textId="77777777" w:rsidR="00833634" w:rsidRDefault="00E15D51">
            <w:pPr>
              <w:jc w:val="right"/>
              <w:textAlignment w:val="bottom"/>
            </w:pPr>
            <w:r>
              <w:rPr>
                <w:rFonts w:ascii="Arial" w:eastAsia="宋体" w:hAnsi="Arial" w:cs="Arial"/>
                <w:color w:val="000000"/>
                <w:sz w:val="20"/>
                <w:szCs w:val="20"/>
              </w:rPr>
              <w:t>121 </w:t>
            </w:r>
          </w:p>
        </w:tc>
        <w:tc>
          <w:tcPr>
            <w:tcW w:w="0" w:type="auto"/>
            <w:shd w:val="clear" w:color="auto" w:fill="CCEEFF"/>
            <w:tcMar>
              <w:top w:w="40" w:type="dxa"/>
              <w:left w:w="0" w:type="dxa"/>
              <w:bottom w:w="40" w:type="dxa"/>
              <w:right w:w="20" w:type="dxa"/>
            </w:tcMar>
            <w:vAlign w:val="bottom"/>
          </w:tcPr>
          <w:p w14:paraId="4090E176" w14:textId="77777777" w:rsidR="00833634" w:rsidRDefault="00833634">
            <w:pPr>
              <w:jc w:val="right"/>
              <w:rPr>
                <w:rFonts w:ascii="宋体"/>
              </w:rPr>
            </w:pPr>
          </w:p>
        </w:tc>
      </w:tr>
      <w:tr w:rsidR="00833634" w14:paraId="4090E184" w14:textId="77777777">
        <w:tc>
          <w:tcPr>
            <w:tcW w:w="0" w:type="auto"/>
            <w:gridSpan w:val="3"/>
            <w:shd w:val="clear" w:color="auto" w:fill="FFFFFF"/>
            <w:tcMar>
              <w:top w:w="40" w:type="dxa"/>
              <w:left w:w="20" w:type="dxa"/>
              <w:bottom w:w="40" w:type="dxa"/>
              <w:right w:w="20" w:type="dxa"/>
            </w:tcMar>
            <w:vAlign w:val="bottom"/>
          </w:tcPr>
          <w:p w14:paraId="4090E178" w14:textId="77777777" w:rsidR="00833634" w:rsidRDefault="00E15D51">
            <w:pPr>
              <w:textAlignment w:val="bottom"/>
            </w:pPr>
            <w:r>
              <w:rPr>
                <w:rFonts w:ascii="Arial" w:eastAsia="宋体" w:hAnsi="Arial" w:cs="Arial"/>
                <w:color w:val="000000"/>
                <w:sz w:val="20"/>
                <w:szCs w:val="20"/>
              </w:rPr>
              <w:t>Interest and debt expense</w:t>
            </w:r>
          </w:p>
        </w:tc>
        <w:tc>
          <w:tcPr>
            <w:tcW w:w="0" w:type="auto"/>
            <w:gridSpan w:val="2"/>
            <w:shd w:val="clear" w:color="auto" w:fill="FFFFFF"/>
            <w:tcMar>
              <w:top w:w="40" w:type="dxa"/>
              <w:left w:w="20" w:type="dxa"/>
              <w:bottom w:w="40" w:type="dxa"/>
              <w:right w:w="0" w:type="dxa"/>
            </w:tcMar>
            <w:vAlign w:val="bottom"/>
          </w:tcPr>
          <w:p w14:paraId="4090E179" w14:textId="77777777" w:rsidR="00833634" w:rsidRDefault="00E15D51">
            <w:pPr>
              <w:jc w:val="right"/>
              <w:textAlignment w:val="bottom"/>
            </w:pPr>
            <w:r>
              <w:rPr>
                <w:rFonts w:ascii="Arial" w:eastAsia="宋体" w:hAnsi="Arial" w:cs="Arial"/>
                <w:b/>
                <w:bCs/>
                <w:color w:val="000000"/>
                <w:sz w:val="20"/>
                <w:szCs w:val="20"/>
              </w:rPr>
              <w:t>(1,458)</w:t>
            </w:r>
          </w:p>
        </w:tc>
        <w:tc>
          <w:tcPr>
            <w:tcW w:w="0" w:type="auto"/>
            <w:shd w:val="clear" w:color="auto" w:fill="FFFFFF"/>
            <w:tcMar>
              <w:top w:w="40" w:type="dxa"/>
              <w:left w:w="0" w:type="dxa"/>
              <w:bottom w:w="40" w:type="dxa"/>
              <w:right w:w="20" w:type="dxa"/>
            </w:tcMar>
            <w:vAlign w:val="bottom"/>
          </w:tcPr>
          <w:p w14:paraId="4090E17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7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7C" w14:textId="77777777" w:rsidR="00833634" w:rsidRDefault="00E15D51">
            <w:pPr>
              <w:jc w:val="right"/>
              <w:textAlignment w:val="bottom"/>
            </w:pPr>
            <w:r>
              <w:rPr>
                <w:rFonts w:ascii="Arial" w:eastAsia="宋体" w:hAnsi="Arial" w:cs="Arial"/>
                <w:color w:val="000000"/>
                <w:sz w:val="20"/>
                <w:szCs w:val="20"/>
              </w:rPr>
              <w:t>(480)</w:t>
            </w:r>
          </w:p>
        </w:tc>
        <w:tc>
          <w:tcPr>
            <w:tcW w:w="0" w:type="auto"/>
            <w:shd w:val="clear" w:color="auto" w:fill="FFFFFF"/>
            <w:tcMar>
              <w:top w:w="40" w:type="dxa"/>
              <w:left w:w="0" w:type="dxa"/>
              <w:bottom w:w="40" w:type="dxa"/>
              <w:right w:w="20" w:type="dxa"/>
            </w:tcMar>
            <w:vAlign w:val="bottom"/>
          </w:tcPr>
          <w:p w14:paraId="4090E17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7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7F" w14:textId="77777777" w:rsidR="00833634" w:rsidRDefault="00E15D51">
            <w:pPr>
              <w:jc w:val="right"/>
              <w:textAlignment w:val="bottom"/>
            </w:pPr>
            <w:r>
              <w:rPr>
                <w:rFonts w:ascii="Arial" w:eastAsia="宋体" w:hAnsi="Arial" w:cs="Arial"/>
                <w:b/>
                <w:bCs/>
                <w:color w:val="000000"/>
                <w:sz w:val="20"/>
                <w:szCs w:val="20"/>
              </w:rPr>
              <w:t>(643)</w:t>
            </w:r>
          </w:p>
        </w:tc>
        <w:tc>
          <w:tcPr>
            <w:tcW w:w="0" w:type="auto"/>
            <w:shd w:val="clear" w:color="auto" w:fill="FFFFFF"/>
            <w:tcMar>
              <w:top w:w="40" w:type="dxa"/>
              <w:left w:w="0" w:type="dxa"/>
              <w:bottom w:w="40" w:type="dxa"/>
              <w:right w:w="20" w:type="dxa"/>
            </w:tcMar>
            <w:vAlign w:val="bottom"/>
          </w:tcPr>
          <w:p w14:paraId="4090E18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8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82" w14:textId="77777777" w:rsidR="00833634" w:rsidRDefault="00E15D51">
            <w:pPr>
              <w:jc w:val="right"/>
              <w:textAlignment w:val="bottom"/>
            </w:pPr>
            <w:r>
              <w:rPr>
                <w:rFonts w:ascii="Arial" w:eastAsia="宋体" w:hAnsi="Arial" w:cs="Arial"/>
                <w:color w:val="000000"/>
                <w:sz w:val="20"/>
                <w:szCs w:val="20"/>
              </w:rPr>
              <w:t>(203)</w:t>
            </w:r>
          </w:p>
        </w:tc>
        <w:tc>
          <w:tcPr>
            <w:tcW w:w="0" w:type="auto"/>
            <w:shd w:val="clear" w:color="auto" w:fill="FFFFFF"/>
            <w:tcMar>
              <w:top w:w="40" w:type="dxa"/>
              <w:left w:w="0" w:type="dxa"/>
              <w:bottom w:w="40" w:type="dxa"/>
              <w:right w:w="20" w:type="dxa"/>
            </w:tcMar>
            <w:vAlign w:val="bottom"/>
          </w:tcPr>
          <w:p w14:paraId="4090E183" w14:textId="77777777" w:rsidR="00833634" w:rsidRDefault="00833634">
            <w:pPr>
              <w:jc w:val="right"/>
              <w:rPr>
                <w:rFonts w:ascii="宋体"/>
              </w:rPr>
            </w:pPr>
          </w:p>
        </w:tc>
      </w:tr>
      <w:tr w:rsidR="00833634" w14:paraId="4090E19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185" w14:textId="77777777" w:rsidR="00833634" w:rsidRDefault="00E15D51">
            <w:pPr>
              <w:textAlignment w:val="bottom"/>
            </w:pPr>
            <w:r>
              <w:rPr>
                <w:rFonts w:ascii="Arial" w:eastAsia="宋体" w:hAnsi="Arial" w:cs="Arial"/>
                <w:b/>
                <w:bCs/>
                <w:color w:val="000000"/>
                <w:sz w:val="20"/>
                <w:szCs w:val="20"/>
              </w:rPr>
              <w:t>(Loss)/earnings before income taxes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86" w14:textId="77777777" w:rsidR="00833634" w:rsidRDefault="00E15D51">
            <w:pPr>
              <w:jc w:val="right"/>
              <w:textAlignment w:val="bottom"/>
            </w:pPr>
            <w:r>
              <w:rPr>
                <w:rFonts w:ascii="Arial" w:eastAsia="宋体" w:hAnsi="Arial" w:cs="Arial"/>
                <w:b/>
                <w:bCs/>
                <w:color w:val="000000"/>
                <w:sz w:val="20"/>
                <w:szCs w:val="20"/>
              </w:rPr>
              <w:t>(5,851)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8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18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89" w14:textId="77777777" w:rsidR="00833634" w:rsidRDefault="00E15D51">
            <w:pPr>
              <w:jc w:val="right"/>
              <w:textAlignment w:val="bottom"/>
            </w:pPr>
            <w:r>
              <w:rPr>
                <w:rFonts w:ascii="Arial" w:eastAsia="宋体" w:hAnsi="Arial" w:cs="Arial"/>
                <w:color w:val="000000"/>
                <w:sz w:val="20"/>
                <w:szCs w:val="20"/>
              </w:rPr>
              <w:t>83 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8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18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8C" w14:textId="77777777" w:rsidR="00833634" w:rsidRDefault="00E15D51">
            <w:pPr>
              <w:jc w:val="right"/>
              <w:textAlignment w:val="bottom"/>
            </w:pPr>
            <w:r>
              <w:rPr>
                <w:rFonts w:ascii="Arial" w:eastAsia="宋体" w:hAnsi="Arial" w:cs="Arial"/>
                <w:b/>
                <w:bCs/>
                <w:color w:val="000000"/>
                <w:sz w:val="20"/>
                <w:szCs w:val="20"/>
              </w:rPr>
              <w:t>(925)</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8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18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8F" w14:textId="77777777" w:rsidR="00833634" w:rsidRDefault="00E15D51">
            <w:pPr>
              <w:jc w:val="right"/>
              <w:textAlignment w:val="bottom"/>
            </w:pPr>
            <w:r>
              <w:rPr>
                <w:rFonts w:ascii="Arial" w:eastAsia="宋体" w:hAnsi="Arial" w:cs="Arial"/>
                <w:color w:val="000000"/>
                <w:sz w:val="20"/>
                <w:szCs w:val="20"/>
              </w:rPr>
              <w:t>1,177 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90" w14:textId="77777777" w:rsidR="00833634" w:rsidRDefault="00833634">
            <w:pPr>
              <w:jc w:val="right"/>
              <w:rPr>
                <w:rFonts w:ascii="宋体"/>
              </w:rPr>
            </w:pPr>
          </w:p>
        </w:tc>
      </w:tr>
      <w:tr w:rsidR="00833634" w14:paraId="4090E19E" w14:textId="77777777">
        <w:tc>
          <w:tcPr>
            <w:tcW w:w="0" w:type="auto"/>
            <w:gridSpan w:val="3"/>
            <w:shd w:val="clear" w:color="auto" w:fill="FFFFFF"/>
            <w:tcMar>
              <w:top w:w="40" w:type="dxa"/>
              <w:left w:w="20" w:type="dxa"/>
              <w:bottom w:w="40" w:type="dxa"/>
              <w:right w:w="20" w:type="dxa"/>
            </w:tcMar>
            <w:vAlign w:val="bottom"/>
          </w:tcPr>
          <w:p w14:paraId="4090E192" w14:textId="77777777" w:rsidR="00833634" w:rsidRDefault="00E15D51">
            <w:pPr>
              <w:textAlignment w:val="bottom"/>
            </w:pPr>
            <w:r>
              <w:rPr>
                <w:rFonts w:ascii="Arial" w:eastAsia="宋体" w:hAnsi="Arial" w:cs="Arial"/>
                <w:color w:val="000000"/>
                <w:sz w:val="20"/>
                <w:szCs w:val="20"/>
              </w:rPr>
              <w:t>Income tax benefit/(expense)</w:t>
            </w:r>
          </w:p>
        </w:tc>
        <w:tc>
          <w:tcPr>
            <w:tcW w:w="0" w:type="auto"/>
            <w:gridSpan w:val="2"/>
            <w:shd w:val="clear" w:color="auto" w:fill="FFFFFF"/>
            <w:tcMar>
              <w:top w:w="40" w:type="dxa"/>
              <w:left w:w="20" w:type="dxa"/>
              <w:bottom w:w="40" w:type="dxa"/>
              <w:right w:w="0" w:type="dxa"/>
            </w:tcMar>
            <w:vAlign w:val="bottom"/>
          </w:tcPr>
          <w:p w14:paraId="4090E193" w14:textId="77777777" w:rsidR="00833634" w:rsidRDefault="00E15D51">
            <w:pPr>
              <w:jc w:val="right"/>
              <w:textAlignment w:val="bottom"/>
            </w:pPr>
            <w:r>
              <w:rPr>
                <w:rFonts w:ascii="Arial" w:eastAsia="宋体" w:hAnsi="Arial" w:cs="Arial"/>
                <w:b/>
                <w:bCs/>
                <w:color w:val="000000"/>
                <w:sz w:val="20"/>
                <w:szCs w:val="20"/>
              </w:rPr>
              <w:t>2,349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19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9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96" w14:textId="77777777" w:rsidR="00833634" w:rsidRDefault="00E15D51">
            <w:pPr>
              <w:jc w:val="right"/>
              <w:textAlignment w:val="bottom"/>
            </w:pPr>
            <w:r>
              <w:rPr>
                <w:rFonts w:ascii="Arial" w:eastAsia="宋体" w:hAnsi="Arial" w:cs="Arial"/>
                <w:color w:val="000000"/>
                <w:sz w:val="20"/>
                <w:szCs w:val="20"/>
              </w:rPr>
              <w:t>291 </w:t>
            </w:r>
          </w:p>
        </w:tc>
        <w:tc>
          <w:tcPr>
            <w:tcW w:w="0" w:type="auto"/>
            <w:shd w:val="clear" w:color="auto" w:fill="FFFFFF"/>
            <w:tcMar>
              <w:top w:w="40" w:type="dxa"/>
              <w:left w:w="0" w:type="dxa"/>
              <w:bottom w:w="40" w:type="dxa"/>
              <w:right w:w="20" w:type="dxa"/>
            </w:tcMar>
            <w:vAlign w:val="bottom"/>
          </w:tcPr>
          <w:p w14:paraId="4090E19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9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99" w14:textId="77777777" w:rsidR="00833634" w:rsidRDefault="00E15D51">
            <w:pPr>
              <w:jc w:val="right"/>
              <w:textAlignment w:val="bottom"/>
            </w:pPr>
            <w:r>
              <w:rPr>
                <w:rFonts w:ascii="Arial" w:eastAsia="宋体" w:hAnsi="Arial" w:cs="Arial"/>
                <w:b/>
                <w:bCs/>
                <w:color w:val="000000"/>
                <w:sz w:val="20"/>
                <w:szCs w:val="20"/>
              </w:rPr>
              <w:t>459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19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9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9C" w14:textId="77777777" w:rsidR="00833634" w:rsidRDefault="00E15D51">
            <w:pPr>
              <w:jc w:val="right"/>
              <w:textAlignment w:val="bottom"/>
            </w:pPr>
            <w:r>
              <w:rPr>
                <w:rFonts w:ascii="Arial" w:eastAsia="宋体" w:hAnsi="Arial" w:cs="Arial"/>
                <w:color w:val="000000"/>
                <w:sz w:val="20"/>
                <w:szCs w:val="20"/>
              </w:rPr>
              <w:t>(10)</w:t>
            </w:r>
          </w:p>
        </w:tc>
        <w:tc>
          <w:tcPr>
            <w:tcW w:w="0" w:type="auto"/>
            <w:shd w:val="clear" w:color="auto" w:fill="FFFFFF"/>
            <w:tcMar>
              <w:top w:w="40" w:type="dxa"/>
              <w:left w:w="0" w:type="dxa"/>
              <w:bottom w:w="40" w:type="dxa"/>
              <w:right w:w="20" w:type="dxa"/>
            </w:tcMar>
            <w:vAlign w:val="bottom"/>
          </w:tcPr>
          <w:p w14:paraId="4090E19D" w14:textId="77777777" w:rsidR="00833634" w:rsidRDefault="00833634">
            <w:pPr>
              <w:jc w:val="right"/>
              <w:rPr>
                <w:rFonts w:ascii="宋体"/>
              </w:rPr>
            </w:pPr>
          </w:p>
        </w:tc>
      </w:tr>
      <w:tr w:rsidR="00833634" w14:paraId="4090E1A7" w14:textId="77777777">
        <w:trPr>
          <w:hidden/>
        </w:trPr>
        <w:tc>
          <w:tcPr>
            <w:tcW w:w="0" w:type="auto"/>
            <w:gridSpan w:val="3"/>
            <w:shd w:val="clear" w:color="auto" w:fill="auto"/>
          </w:tcPr>
          <w:p w14:paraId="4090E19F" w14:textId="77777777" w:rsidR="00833634" w:rsidRDefault="00833634">
            <w:pPr>
              <w:rPr>
                <w:rFonts w:ascii="宋体"/>
                <w:vanish/>
              </w:rPr>
            </w:pPr>
          </w:p>
        </w:tc>
        <w:tc>
          <w:tcPr>
            <w:tcW w:w="0" w:type="auto"/>
            <w:gridSpan w:val="3"/>
            <w:shd w:val="clear" w:color="auto" w:fill="auto"/>
          </w:tcPr>
          <w:p w14:paraId="4090E1A0" w14:textId="77777777" w:rsidR="00833634" w:rsidRDefault="00833634">
            <w:pPr>
              <w:rPr>
                <w:rFonts w:ascii="宋体"/>
                <w:vanish/>
              </w:rPr>
            </w:pPr>
          </w:p>
        </w:tc>
        <w:tc>
          <w:tcPr>
            <w:tcW w:w="0" w:type="auto"/>
            <w:gridSpan w:val="3"/>
            <w:shd w:val="clear" w:color="auto" w:fill="auto"/>
          </w:tcPr>
          <w:p w14:paraId="4090E1A1" w14:textId="77777777" w:rsidR="00833634" w:rsidRDefault="00833634">
            <w:pPr>
              <w:rPr>
                <w:rFonts w:ascii="宋体"/>
                <w:vanish/>
              </w:rPr>
            </w:pPr>
          </w:p>
        </w:tc>
        <w:tc>
          <w:tcPr>
            <w:tcW w:w="0" w:type="auto"/>
            <w:gridSpan w:val="3"/>
            <w:shd w:val="clear" w:color="auto" w:fill="auto"/>
          </w:tcPr>
          <w:p w14:paraId="4090E1A2" w14:textId="77777777" w:rsidR="00833634" w:rsidRDefault="00833634">
            <w:pPr>
              <w:rPr>
                <w:rFonts w:ascii="宋体"/>
                <w:vanish/>
              </w:rPr>
            </w:pPr>
          </w:p>
        </w:tc>
        <w:tc>
          <w:tcPr>
            <w:tcW w:w="0" w:type="auto"/>
            <w:gridSpan w:val="3"/>
            <w:shd w:val="clear" w:color="auto" w:fill="auto"/>
          </w:tcPr>
          <w:p w14:paraId="4090E1A3" w14:textId="77777777" w:rsidR="00833634" w:rsidRDefault="00833634">
            <w:pPr>
              <w:rPr>
                <w:rFonts w:ascii="宋体"/>
                <w:vanish/>
              </w:rPr>
            </w:pPr>
          </w:p>
        </w:tc>
        <w:tc>
          <w:tcPr>
            <w:tcW w:w="0" w:type="auto"/>
            <w:gridSpan w:val="3"/>
            <w:shd w:val="clear" w:color="auto" w:fill="auto"/>
          </w:tcPr>
          <w:p w14:paraId="4090E1A4" w14:textId="77777777" w:rsidR="00833634" w:rsidRDefault="00833634">
            <w:pPr>
              <w:rPr>
                <w:rFonts w:ascii="宋体"/>
                <w:vanish/>
              </w:rPr>
            </w:pPr>
          </w:p>
        </w:tc>
        <w:tc>
          <w:tcPr>
            <w:tcW w:w="0" w:type="auto"/>
            <w:gridSpan w:val="3"/>
            <w:shd w:val="clear" w:color="auto" w:fill="auto"/>
          </w:tcPr>
          <w:p w14:paraId="4090E1A5" w14:textId="77777777" w:rsidR="00833634" w:rsidRDefault="00833634">
            <w:pPr>
              <w:rPr>
                <w:rFonts w:ascii="宋体"/>
                <w:vanish/>
              </w:rPr>
            </w:pPr>
          </w:p>
        </w:tc>
        <w:tc>
          <w:tcPr>
            <w:tcW w:w="0" w:type="auto"/>
            <w:gridSpan w:val="3"/>
            <w:shd w:val="clear" w:color="auto" w:fill="auto"/>
          </w:tcPr>
          <w:p w14:paraId="4090E1A6" w14:textId="77777777" w:rsidR="00833634" w:rsidRDefault="00833634">
            <w:pPr>
              <w:rPr>
                <w:rFonts w:ascii="宋体"/>
                <w:vanish/>
              </w:rPr>
            </w:pPr>
          </w:p>
        </w:tc>
      </w:tr>
      <w:tr w:rsidR="00833634" w14:paraId="4090E1B0" w14:textId="77777777">
        <w:trPr>
          <w:hidden/>
        </w:trPr>
        <w:tc>
          <w:tcPr>
            <w:tcW w:w="0" w:type="auto"/>
            <w:gridSpan w:val="3"/>
            <w:shd w:val="clear" w:color="auto" w:fill="auto"/>
          </w:tcPr>
          <w:p w14:paraId="4090E1A8" w14:textId="77777777" w:rsidR="00833634" w:rsidRDefault="00833634">
            <w:pPr>
              <w:rPr>
                <w:rFonts w:ascii="宋体"/>
                <w:vanish/>
              </w:rPr>
            </w:pPr>
          </w:p>
        </w:tc>
        <w:tc>
          <w:tcPr>
            <w:tcW w:w="0" w:type="auto"/>
            <w:gridSpan w:val="3"/>
            <w:shd w:val="clear" w:color="auto" w:fill="auto"/>
          </w:tcPr>
          <w:p w14:paraId="4090E1A9" w14:textId="77777777" w:rsidR="00833634" w:rsidRDefault="00833634">
            <w:pPr>
              <w:rPr>
                <w:rFonts w:ascii="宋体"/>
                <w:vanish/>
              </w:rPr>
            </w:pPr>
          </w:p>
        </w:tc>
        <w:tc>
          <w:tcPr>
            <w:tcW w:w="0" w:type="auto"/>
            <w:gridSpan w:val="3"/>
            <w:shd w:val="clear" w:color="auto" w:fill="auto"/>
          </w:tcPr>
          <w:p w14:paraId="4090E1AA" w14:textId="77777777" w:rsidR="00833634" w:rsidRDefault="00833634">
            <w:pPr>
              <w:rPr>
                <w:rFonts w:ascii="宋体"/>
                <w:vanish/>
              </w:rPr>
            </w:pPr>
          </w:p>
        </w:tc>
        <w:tc>
          <w:tcPr>
            <w:tcW w:w="0" w:type="auto"/>
            <w:gridSpan w:val="3"/>
            <w:shd w:val="clear" w:color="auto" w:fill="auto"/>
          </w:tcPr>
          <w:p w14:paraId="4090E1AB" w14:textId="77777777" w:rsidR="00833634" w:rsidRDefault="00833634">
            <w:pPr>
              <w:rPr>
                <w:rFonts w:ascii="宋体"/>
                <w:vanish/>
              </w:rPr>
            </w:pPr>
          </w:p>
        </w:tc>
        <w:tc>
          <w:tcPr>
            <w:tcW w:w="0" w:type="auto"/>
            <w:gridSpan w:val="3"/>
            <w:shd w:val="clear" w:color="auto" w:fill="auto"/>
          </w:tcPr>
          <w:p w14:paraId="4090E1AC" w14:textId="77777777" w:rsidR="00833634" w:rsidRDefault="00833634">
            <w:pPr>
              <w:rPr>
                <w:rFonts w:ascii="宋体"/>
                <w:vanish/>
              </w:rPr>
            </w:pPr>
          </w:p>
        </w:tc>
        <w:tc>
          <w:tcPr>
            <w:tcW w:w="0" w:type="auto"/>
            <w:gridSpan w:val="3"/>
            <w:shd w:val="clear" w:color="auto" w:fill="auto"/>
          </w:tcPr>
          <w:p w14:paraId="4090E1AD" w14:textId="77777777" w:rsidR="00833634" w:rsidRDefault="00833634">
            <w:pPr>
              <w:rPr>
                <w:rFonts w:ascii="宋体"/>
                <w:vanish/>
              </w:rPr>
            </w:pPr>
          </w:p>
        </w:tc>
        <w:tc>
          <w:tcPr>
            <w:tcW w:w="0" w:type="auto"/>
            <w:gridSpan w:val="3"/>
            <w:shd w:val="clear" w:color="auto" w:fill="auto"/>
          </w:tcPr>
          <w:p w14:paraId="4090E1AE" w14:textId="77777777" w:rsidR="00833634" w:rsidRDefault="00833634">
            <w:pPr>
              <w:rPr>
                <w:rFonts w:ascii="宋体"/>
                <w:vanish/>
              </w:rPr>
            </w:pPr>
          </w:p>
        </w:tc>
        <w:tc>
          <w:tcPr>
            <w:tcW w:w="0" w:type="auto"/>
            <w:gridSpan w:val="3"/>
            <w:shd w:val="clear" w:color="auto" w:fill="auto"/>
          </w:tcPr>
          <w:p w14:paraId="4090E1AF" w14:textId="77777777" w:rsidR="00833634" w:rsidRDefault="00833634">
            <w:pPr>
              <w:rPr>
                <w:rFonts w:ascii="宋体"/>
                <w:vanish/>
              </w:rPr>
            </w:pPr>
          </w:p>
        </w:tc>
      </w:tr>
      <w:tr w:rsidR="00833634" w14:paraId="4090E1BD"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1B1" w14:textId="77777777" w:rsidR="00833634" w:rsidRDefault="00E15D51">
            <w:pPr>
              <w:textAlignment w:val="bottom"/>
            </w:pPr>
            <w:r>
              <w:rPr>
                <w:rFonts w:ascii="Arial" w:eastAsia="宋体" w:hAnsi="Arial" w:cs="Arial"/>
                <w:b/>
                <w:bCs/>
                <w:color w:val="000000"/>
                <w:sz w:val="20"/>
                <w:szCs w:val="20"/>
              </w:rPr>
              <w:t>Net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B2" w14:textId="77777777" w:rsidR="00833634" w:rsidRDefault="00E15D51">
            <w:pPr>
              <w:jc w:val="right"/>
              <w:textAlignment w:val="bottom"/>
            </w:pPr>
            <w:r>
              <w:rPr>
                <w:rFonts w:ascii="Arial" w:eastAsia="宋体" w:hAnsi="Arial" w:cs="Arial"/>
                <w:b/>
                <w:bCs/>
                <w:color w:val="000000"/>
                <w:sz w:val="20"/>
                <w:szCs w:val="20"/>
              </w:rPr>
              <w:t>(3,502)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B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1B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B5"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B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1B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B8" w14:textId="77777777" w:rsidR="00833634" w:rsidRDefault="00E15D51">
            <w:pPr>
              <w:jc w:val="right"/>
              <w:textAlignment w:val="bottom"/>
            </w:pPr>
            <w:r>
              <w:rPr>
                <w:rFonts w:ascii="Arial" w:eastAsia="宋体" w:hAnsi="Arial" w:cs="Arial"/>
                <w:b/>
                <w:bCs/>
                <w:color w:val="000000"/>
                <w:sz w:val="20"/>
                <w:szCs w:val="20"/>
              </w:rPr>
              <w:t>(466)</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B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1B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1BB" w14:textId="77777777" w:rsidR="00833634" w:rsidRDefault="00E15D51">
            <w:pPr>
              <w:jc w:val="right"/>
              <w:textAlignment w:val="bottom"/>
            </w:pPr>
            <w:r>
              <w:rPr>
                <w:rFonts w:ascii="Arial" w:eastAsia="宋体" w:hAnsi="Arial" w:cs="Arial"/>
                <w:color w:val="000000"/>
                <w:sz w:val="20"/>
                <w:szCs w:val="20"/>
              </w:rPr>
              <w:t>1,167 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1BC" w14:textId="77777777" w:rsidR="00833634" w:rsidRDefault="00833634">
            <w:pPr>
              <w:jc w:val="right"/>
              <w:rPr>
                <w:rFonts w:ascii="宋体"/>
              </w:rPr>
            </w:pPr>
          </w:p>
        </w:tc>
      </w:tr>
      <w:tr w:rsidR="00833634" w14:paraId="4090E1C8" w14:textId="77777777">
        <w:tc>
          <w:tcPr>
            <w:tcW w:w="0" w:type="auto"/>
            <w:gridSpan w:val="3"/>
            <w:shd w:val="clear" w:color="auto" w:fill="FFFFFF"/>
            <w:tcMar>
              <w:top w:w="40" w:type="dxa"/>
              <w:left w:w="20" w:type="dxa"/>
              <w:bottom w:w="40" w:type="dxa"/>
              <w:right w:w="20" w:type="dxa"/>
            </w:tcMar>
            <w:vAlign w:val="bottom"/>
          </w:tcPr>
          <w:p w14:paraId="4090E1BE" w14:textId="77777777" w:rsidR="00833634" w:rsidRDefault="00E15D51">
            <w:pPr>
              <w:textAlignment w:val="bottom"/>
            </w:pPr>
            <w:r>
              <w:rPr>
                <w:rFonts w:ascii="Arial" w:eastAsia="宋体" w:hAnsi="Arial" w:cs="Arial"/>
                <w:color w:val="000000"/>
                <w:sz w:val="20"/>
                <w:szCs w:val="20"/>
              </w:rPr>
              <w:t>Less: Net loss attributable to noncontrolling interest</w:t>
            </w:r>
          </w:p>
        </w:tc>
        <w:tc>
          <w:tcPr>
            <w:tcW w:w="0" w:type="auto"/>
            <w:gridSpan w:val="2"/>
            <w:shd w:val="clear" w:color="auto" w:fill="FFFFFF"/>
            <w:tcMar>
              <w:top w:w="40" w:type="dxa"/>
              <w:left w:w="20" w:type="dxa"/>
              <w:bottom w:w="40" w:type="dxa"/>
              <w:right w:w="0" w:type="dxa"/>
            </w:tcMar>
            <w:vAlign w:val="bottom"/>
          </w:tcPr>
          <w:p w14:paraId="4090E1BF" w14:textId="77777777" w:rsidR="00833634" w:rsidRDefault="00E15D51">
            <w:pPr>
              <w:jc w:val="right"/>
              <w:textAlignment w:val="bottom"/>
            </w:pPr>
            <w:r>
              <w:rPr>
                <w:rFonts w:ascii="Arial" w:eastAsia="宋体" w:hAnsi="Arial" w:cs="Arial"/>
                <w:b/>
                <w:bCs/>
                <w:color w:val="000000"/>
                <w:sz w:val="20"/>
                <w:szCs w:val="20"/>
              </w:rPr>
              <w:t>(49)</w:t>
            </w:r>
          </w:p>
        </w:tc>
        <w:tc>
          <w:tcPr>
            <w:tcW w:w="0" w:type="auto"/>
            <w:shd w:val="clear" w:color="auto" w:fill="FFFFFF"/>
            <w:tcMar>
              <w:top w:w="40" w:type="dxa"/>
              <w:left w:w="0" w:type="dxa"/>
              <w:bottom w:w="40" w:type="dxa"/>
              <w:right w:w="20" w:type="dxa"/>
            </w:tcMar>
            <w:vAlign w:val="bottom"/>
          </w:tcPr>
          <w:p w14:paraId="4090E1C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C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1C2"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1C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1C4" w14:textId="77777777" w:rsidR="00833634" w:rsidRDefault="00E15D51">
            <w:pPr>
              <w:jc w:val="right"/>
              <w:textAlignment w:val="bottom"/>
            </w:pPr>
            <w:r>
              <w:rPr>
                <w:rFonts w:ascii="Arial" w:eastAsia="宋体" w:hAnsi="Arial" w:cs="Arial"/>
                <w:b/>
                <w:bCs/>
                <w:color w:val="000000"/>
                <w:sz w:val="20"/>
                <w:szCs w:val="20"/>
              </w:rPr>
              <w:t>(17)</w:t>
            </w:r>
          </w:p>
        </w:tc>
        <w:tc>
          <w:tcPr>
            <w:tcW w:w="0" w:type="auto"/>
            <w:shd w:val="clear" w:color="auto" w:fill="FFFFFF"/>
            <w:tcMar>
              <w:top w:w="40" w:type="dxa"/>
              <w:left w:w="0" w:type="dxa"/>
              <w:bottom w:w="40" w:type="dxa"/>
              <w:right w:w="20" w:type="dxa"/>
            </w:tcMar>
            <w:vAlign w:val="bottom"/>
          </w:tcPr>
          <w:p w14:paraId="4090E1C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1C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1C7" w14:textId="77777777" w:rsidR="00833634" w:rsidRDefault="00833634">
            <w:pPr>
              <w:rPr>
                <w:rFonts w:ascii="宋体"/>
              </w:rPr>
            </w:pPr>
          </w:p>
        </w:tc>
      </w:tr>
      <w:tr w:rsidR="00833634" w14:paraId="4090E1D5"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E1C9" w14:textId="77777777" w:rsidR="00833634" w:rsidRDefault="00E15D51">
            <w:pPr>
              <w:textAlignment w:val="bottom"/>
            </w:pPr>
            <w:r>
              <w:rPr>
                <w:rFonts w:ascii="Arial" w:eastAsia="宋体" w:hAnsi="Arial" w:cs="Arial"/>
                <w:b/>
                <w:bCs/>
                <w:color w:val="000000"/>
                <w:sz w:val="20"/>
                <w:szCs w:val="20"/>
              </w:rPr>
              <w:t>Net (loss)/earnings attributable to Boeing Shareholders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1CA" w14:textId="77777777" w:rsidR="00833634" w:rsidRDefault="00E15D51">
            <w:pPr>
              <w:jc w:val="right"/>
              <w:textAlignment w:val="bottom"/>
            </w:pPr>
            <w:r>
              <w:rPr>
                <w:rFonts w:ascii="Arial" w:eastAsia="宋体" w:hAnsi="Arial" w:cs="Arial"/>
                <w:b/>
                <w:bCs/>
                <w:color w:val="000000"/>
                <w:sz w:val="20"/>
                <w:szCs w:val="20"/>
              </w:rPr>
              <w:t>($3,453)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1CB"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1CC"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1CD"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1CE"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1CF"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1D0" w14:textId="77777777" w:rsidR="00833634" w:rsidRDefault="00E15D51">
            <w:pPr>
              <w:jc w:val="right"/>
              <w:textAlignment w:val="bottom"/>
            </w:pPr>
            <w:r>
              <w:rPr>
                <w:rFonts w:ascii="Arial" w:eastAsia="宋体" w:hAnsi="Arial" w:cs="Arial"/>
                <w:b/>
                <w:bCs/>
                <w:color w:val="000000"/>
                <w:sz w:val="20"/>
                <w:szCs w:val="20"/>
              </w:rPr>
              <w:t>($449)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1D1"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1D2"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1D3" w14:textId="77777777" w:rsidR="00833634" w:rsidRDefault="00E15D51">
            <w:pPr>
              <w:jc w:val="right"/>
              <w:textAlignment w:val="bottom"/>
            </w:pPr>
            <w:r>
              <w:rPr>
                <w:rFonts w:ascii="Arial" w:eastAsia="宋体" w:hAnsi="Arial" w:cs="Arial"/>
                <w:color w:val="000000"/>
                <w:sz w:val="20"/>
                <w:szCs w:val="20"/>
              </w:rPr>
              <w:t>$1,167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1D4" w14:textId="77777777" w:rsidR="00833634" w:rsidRDefault="00833634">
            <w:pPr>
              <w:jc w:val="right"/>
              <w:rPr>
                <w:rFonts w:ascii="宋体"/>
              </w:rPr>
            </w:pPr>
          </w:p>
        </w:tc>
      </w:tr>
    </w:tbl>
    <w:p w14:paraId="4090E1D6" w14:textId="77777777" w:rsidR="00833634" w:rsidRDefault="00E15D51">
      <w:pPr>
        <w:spacing w:after="180"/>
        <w:jc w:val="both"/>
      </w:pPr>
      <w:r>
        <w:rPr>
          <w:rFonts w:ascii="Arial" w:eastAsia="宋体" w:hAnsi="Arial" w:cs="Arial"/>
          <w:color w:val="000000"/>
          <w:sz w:val="20"/>
          <w:szCs w:val="20"/>
        </w:rPr>
        <w:t>This information is an integral part of the Notes to the Condensed Consolidated Financial Statements. See Note 19 for further segment results.</w:t>
      </w:r>
    </w:p>
    <w:p w14:paraId="4090E1D7" w14:textId="77777777" w:rsidR="00833634" w:rsidRDefault="00E15D51">
      <w:pPr>
        <w:spacing w:after="180"/>
        <w:jc w:val="center"/>
      </w:pPr>
      <w:r>
        <w:rPr>
          <w:rFonts w:ascii="Arial" w:eastAsia="宋体" w:hAnsi="Arial" w:cs="Arial"/>
          <w:color w:val="000000"/>
          <w:sz w:val="18"/>
          <w:szCs w:val="18"/>
        </w:rPr>
        <w:t>7</w:t>
      </w:r>
    </w:p>
    <w:p w14:paraId="4090E1D8" w14:textId="77777777" w:rsidR="00833634" w:rsidRDefault="00E15D51">
      <w:r>
        <w:pict w14:anchorId="4090FE27">
          <v:rect id="_x0000_i1033" style="width:415.3pt;height:1.5pt" o:hralign="center" o:hrstd="t" o:hr="t" fillcolor="#a0a0a0" stroked="f"/>
        </w:pict>
      </w:r>
    </w:p>
    <w:p w14:paraId="4090E1D9" w14:textId="77777777" w:rsidR="00833634" w:rsidRDefault="00E15D51">
      <w:pPr>
        <w:spacing w:after="180"/>
        <w:jc w:val="both"/>
      </w:pPr>
      <w:hyperlink r:id="rId110" w:anchor="i8d805bfb1e1c4815a1dcd5b6d1e0b117_10" w:history="1">
        <w:r>
          <w:rPr>
            <w:rStyle w:val="a5"/>
            <w:rFonts w:ascii="Arial" w:eastAsia="宋体" w:hAnsi="Arial" w:cs="Arial"/>
            <w:sz w:val="18"/>
            <w:szCs w:val="18"/>
          </w:rPr>
          <w:t>Table of Contents</w:t>
        </w:r>
      </w:hyperlink>
    </w:p>
    <w:p w14:paraId="4090E1DA" w14:textId="77777777" w:rsidR="00833634" w:rsidRDefault="00E15D51">
      <w:pPr>
        <w:jc w:val="center"/>
      </w:pPr>
      <w:r>
        <w:rPr>
          <w:rFonts w:ascii="Arial" w:eastAsia="宋体" w:hAnsi="Arial" w:cs="Arial"/>
          <w:b/>
          <w:bCs/>
          <w:color w:val="000000"/>
          <w:sz w:val="20"/>
          <w:szCs w:val="20"/>
        </w:rPr>
        <w:t>The Boeing Company and Subsidiaries</w:t>
      </w:r>
    </w:p>
    <w:p w14:paraId="4090E1DB" w14:textId="77777777" w:rsidR="00833634" w:rsidRDefault="00E15D51">
      <w:pPr>
        <w:jc w:val="center"/>
      </w:pPr>
      <w:r>
        <w:rPr>
          <w:rFonts w:ascii="Arial" w:eastAsia="宋体" w:hAnsi="Arial" w:cs="Arial"/>
          <w:b/>
          <w:bCs/>
          <w:color w:val="000000"/>
          <w:sz w:val="20"/>
          <w:szCs w:val="20"/>
        </w:rPr>
        <w:t>Notes to the Condensed Consolidated Financial Stat</w:t>
      </w:r>
      <w:r>
        <w:rPr>
          <w:rFonts w:ascii="Arial" w:eastAsia="宋体" w:hAnsi="Arial" w:cs="Arial"/>
          <w:b/>
          <w:bCs/>
          <w:color w:val="000000"/>
          <w:sz w:val="20"/>
          <w:szCs w:val="20"/>
        </w:rPr>
        <w:t>ements</w:t>
      </w:r>
    </w:p>
    <w:p w14:paraId="4090E1DC" w14:textId="77777777" w:rsidR="00833634" w:rsidRDefault="00E15D51">
      <w:pPr>
        <w:jc w:val="center"/>
      </w:pPr>
      <w:r>
        <w:rPr>
          <w:rFonts w:ascii="Arial" w:eastAsia="宋体" w:hAnsi="Arial" w:cs="Arial"/>
          <w:color w:val="000000"/>
          <w:sz w:val="20"/>
          <w:szCs w:val="20"/>
        </w:rPr>
        <w:t>(Dollars in millions, except otherwise stated)</w:t>
      </w:r>
    </w:p>
    <w:p w14:paraId="4090E1DD" w14:textId="77777777" w:rsidR="00833634" w:rsidRDefault="00E15D51">
      <w:pPr>
        <w:spacing w:after="60"/>
        <w:jc w:val="center"/>
      </w:pPr>
      <w:r>
        <w:rPr>
          <w:rFonts w:ascii="Arial" w:eastAsia="宋体" w:hAnsi="Arial" w:cs="Arial"/>
          <w:color w:val="000000"/>
          <w:sz w:val="20"/>
          <w:szCs w:val="20"/>
        </w:rPr>
        <w:t>(Unaudited)</w:t>
      </w:r>
    </w:p>
    <w:p w14:paraId="4090E1DE" w14:textId="77777777" w:rsidR="00833634" w:rsidRDefault="00E15D51">
      <w:pPr>
        <w:spacing w:after="180"/>
        <w:jc w:val="both"/>
      </w:pPr>
      <w:r>
        <w:rPr>
          <w:rFonts w:ascii="Arial" w:eastAsia="宋体" w:hAnsi="Arial" w:cs="Arial"/>
          <w:b/>
          <w:bCs/>
          <w:color w:val="000000"/>
          <w:sz w:val="20"/>
          <w:szCs w:val="20"/>
        </w:rPr>
        <w:t>Note 1 – Basis of Presentation</w:t>
      </w:r>
    </w:p>
    <w:p w14:paraId="4090E1DF" w14:textId="77777777" w:rsidR="00833634" w:rsidRDefault="00E15D51">
      <w:pPr>
        <w:spacing w:after="180"/>
        <w:jc w:val="both"/>
      </w:pPr>
      <w:r>
        <w:rPr>
          <w:rFonts w:ascii="Arial" w:eastAsia="宋体" w:hAnsi="Arial" w:cs="Arial"/>
          <w:color w:val="000000"/>
          <w:sz w:val="20"/>
          <w:szCs w:val="20"/>
        </w:rPr>
        <w:t>The condensed consolidated interim financial statements included in this report have been prepared by management of The Boeing Company (herein referred to as “Boeing”, the “Company”, “we”, “us”, or “our”). In the opinion of management, all adjustments (con</w:t>
      </w:r>
      <w:r>
        <w:rPr>
          <w:rFonts w:ascii="Arial" w:eastAsia="宋体" w:hAnsi="Arial" w:cs="Arial"/>
          <w:color w:val="000000"/>
          <w:sz w:val="20"/>
          <w:szCs w:val="20"/>
        </w:rPr>
        <w:t>sisting of normal recurring accruals) necessary for a fair presentation are reflected in the interim financial statements. The results of operations for the period ended September 30, 2020 are not necessarily indicative of the operating results for the ful</w:t>
      </w:r>
      <w:r>
        <w:rPr>
          <w:rFonts w:ascii="Arial" w:eastAsia="宋体" w:hAnsi="Arial" w:cs="Arial"/>
          <w:color w:val="000000"/>
          <w:sz w:val="20"/>
          <w:szCs w:val="20"/>
        </w:rPr>
        <w:t xml:space="preserve">l year. The interim financial statements should be read in conjunction with the audited Consolidated Financial Statements, including the notes thereto, included in our 2019 Annual Report on Form 10-K. Certain amounts in prior periods have been adjusted to </w:t>
      </w:r>
      <w:r>
        <w:rPr>
          <w:rFonts w:ascii="Arial" w:eastAsia="宋体" w:hAnsi="Arial" w:cs="Arial"/>
          <w:color w:val="000000"/>
          <w:sz w:val="20"/>
          <w:szCs w:val="20"/>
        </w:rPr>
        <w:t xml:space="preserve">conform with the current year presentation. </w:t>
      </w:r>
    </w:p>
    <w:p w14:paraId="4090E1E0" w14:textId="77777777" w:rsidR="00833634" w:rsidRDefault="00E15D51">
      <w:pPr>
        <w:spacing w:after="180"/>
        <w:jc w:val="both"/>
      </w:pPr>
      <w:r>
        <w:rPr>
          <w:rFonts w:ascii="Arial" w:eastAsia="宋体" w:hAnsi="Arial" w:cs="Arial"/>
          <w:b/>
          <w:bCs/>
          <w:color w:val="000000"/>
          <w:sz w:val="20"/>
          <w:szCs w:val="20"/>
        </w:rPr>
        <w:t xml:space="preserve">Liquidity Matters </w:t>
      </w:r>
    </w:p>
    <w:p w14:paraId="4090E1E1" w14:textId="77777777" w:rsidR="00833634" w:rsidRDefault="00E15D51">
      <w:pPr>
        <w:spacing w:after="180"/>
        <w:jc w:val="both"/>
      </w:pPr>
      <w:r>
        <w:rPr>
          <w:rFonts w:ascii="Arial" w:eastAsia="宋体" w:hAnsi="Arial" w:cs="Arial"/>
          <w:color w:val="000000"/>
          <w:sz w:val="20"/>
          <w:szCs w:val="20"/>
        </w:rPr>
        <w:t>The global outbreak of COVID-19 and the ongoing grounding of the 737 MAX airplane are having a significant adverse impact on our business and are expected to continue to negatively impact reve</w:t>
      </w:r>
      <w:r>
        <w:rPr>
          <w:rFonts w:ascii="Arial" w:eastAsia="宋体" w:hAnsi="Arial" w:cs="Arial"/>
          <w:color w:val="000000"/>
          <w:sz w:val="20"/>
          <w:szCs w:val="20"/>
        </w:rPr>
        <w:t xml:space="preserve">nue, earnings and operating cash flow in future quarters. The COVID-19 pandemic has caused an unprecedented shock to demand for air travel, creating a tremendous challenge for our customers, our business and the entire aerospace manufacturing and services </w:t>
      </w:r>
      <w:r>
        <w:rPr>
          <w:rFonts w:ascii="Arial" w:eastAsia="宋体" w:hAnsi="Arial" w:cs="Arial"/>
          <w:color w:val="000000"/>
          <w:sz w:val="20"/>
          <w:szCs w:val="20"/>
        </w:rPr>
        <w:t>sector. We currently expect it will take approximately three years for travel to return to 2019 levels and a few years beyond that for the industry to return to long-term trend growth. There is significant uncertainty with respect to when commercial air tr</w:t>
      </w:r>
      <w:r>
        <w:rPr>
          <w:rFonts w:ascii="Arial" w:eastAsia="宋体" w:hAnsi="Arial" w:cs="Arial"/>
          <w:color w:val="000000"/>
          <w:sz w:val="20"/>
          <w:szCs w:val="20"/>
        </w:rPr>
        <w:t xml:space="preserve">affic levels will recover, and whether and at what point capacity will return to and/or exceed pre-COVID-19 levels. </w:t>
      </w:r>
    </w:p>
    <w:p w14:paraId="4090E1E2" w14:textId="77777777" w:rsidR="00833634" w:rsidRDefault="00E15D51">
      <w:pPr>
        <w:spacing w:after="180"/>
        <w:jc w:val="both"/>
      </w:pPr>
      <w:r>
        <w:rPr>
          <w:rFonts w:ascii="Arial" w:eastAsia="宋体" w:hAnsi="Arial" w:cs="Arial"/>
          <w:color w:val="000000"/>
          <w:sz w:val="20"/>
          <w:szCs w:val="20"/>
        </w:rPr>
        <w:t>During the first nine months of 2020, net cash used by operating activities was $14.4 billion and we expect negative operating cash flows i</w:t>
      </w:r>
      <w:r>
        <w:rPr>
          <w:rFonts w:ascii="Arial" w:eastAsia="宋体" w:hAnsi="Arial" w:cs="Arial"/>
          <w:color w:val="000000"/>
          <w:sz w:val="20"/>
          <w:szCs w:val="20"/>
        </w:rPr>
        <w:t>n future quarters until commercial deliveries ramp up. In the first quarter of 2020, we entered into and fully drew on a $13.8 billion two-year delayed draw term loan credit agreement (delayed draw term loan facility). In the second quarter of 2020, we iss</w:t>
      </w:r>
      <w:r>
        <w:rPr>
          <w:rFonts w:ascii="Arial" w:eastAsia="宋体" w:hAnsi="Arial" w:cs="Arial"/>
          <w:color w:val="000000"/>
          <w:sz w:val="20"/>
          <w:szCs w:val="20"/>
        </w:rPr>
        <w:t>ued $25 billion of fixed rate senior notes that mature between 2023 and 2060. As a result, our cash and short-term investment balance was $27.1 billion and our debt balance was $61.0 billion at September 30, 2020.</w:t>
      </w:r>
    </w:p>
    <w:p w14:paraId="4090E1E3" w14:textId="77777777" w:rsidR="00833634" w:rsidRDefault="00E15D51">
      <w:pPr>
        <w:spacing w:after="180"/>
        <w:jc w:val="both"/>
      </w:pPr>
      <w:r>
        <w:rPr>
          <w:rFonts w:ascii="Arial" w:eastAsia="宋体" w:hAnsi="Arial" w:cs="Arial"/>
          <w:color w:val="000000"/>
          <w:sz w:val="20"/>
          <w:szCs w:val="20"/>
        </w:rPr>
        <w:t>The major credit rating agencies downgrade</w:t>
      </w:r>
      <w:r>
        <w:rPr>
          <w:rFonts w:ascii="Arial" w:eastAsia="宋体" w:hAnsi="Arial" w:cs="Arial"/>
          <w:color w:val="000000"/>
          <w:sz w:val="20"/>
          <w:szCs w:val="20"/>
        </w:rPr>
        <w:t>d our short term and long term credit ratings during the first half of 2020, and there is risk for further downgrades. At September 30, 2020, debt includes $1.9 billion of commercial paper, all of which matures in the fourth quarter of 2020, down from $6.1</w:t>
      </w:r>
      <w:r>
        <w:rPr>
          <w:rFonts w:ascii="Arial" w:eastAsia="宋体" w:hAnsi="Arial" w:cs="Arial"/>
          <w:color w:val="000000"/>
          <w:sz w:val="20"/>
          <w:szCs w:val="20"/>
        </w:rPr>
        <w:t xml:space="preserve"> billion at December 31, 2019. In the current environment, we may have limited future access to the commercial paper market. In addition, we have term notes of $350 maturing in the fourth quarter of 2020 and $1,450 maturing in 2021.</w:t>
      </w:r>
    </w:p>
    <w:p w14:paraId="4090E1E4" w14:textId="77777777" w:rsidR="00833634" w:rsidRDefault="00E15D51">
      <w:pPr>
        <w:spacing w:after="180"/>
        <w:jc w:val="both"/>
      </w:pPr>
      <w:r>
        <w:rPr>
          <w:rFonts w:ascii="Arial" w:eastAsia="宋体" w:hAnsi="Arial" w:cs="Arial"/>
          <w:color w:val="000000"/>
          <w:sz w:val="20"/>
          <w:szCs w:val="20"/>
        </w:rPr>
        <w:t xml:space="preserve">At September 30, 2020, </w:t>
      </w:r>
      <w:r>
        <w:rPr>
          <w:rFonts w:ascii="Arial" w:eastAsia="宋体" w:hAnsi="Arial" w:cs="Arial"/>
          <w:color w:val="000000"/>
          <w:sz w:val="20"/>
          <w:szCs w:val="20"/>
        </w:rPr>
        <w:t xml:space="preserve">trade payables included $4.8 billion payable to suppliers who have elected to participate in supply chain financing programs. While access to supply chain financing has been reduced due to our current credit ratings and debt levels, we do not believe that </w:t>
      </w:r>
      <w:r>
        <w:rPr>
          <w:rFonts w:ascii="Arial" w:eastAsia="宋体" w:hAnsi="Arial" w:cs="Arial"/>
          <w:color w:val="000000"/>
          <w:sz w:val="20"/>
          <w:szCs w:val="20"/>
        </w:rPr>
        <w:t xml:space="preserve">these or future changes in the availability of supply chain financing will have a significant impact on our liquidity. </w:t>
      </w:r>
    </w:p>
    <w:p w14:paraId="4090E1E5" w14:textId="77777777" w:rsidR="00833634" w:rsidRDefault="00E15D51">
      <w:pPr>
        <w:spacing w:after="180"/>
        <w:jc w:val="both"/>
      </w:pPr>
      <w:r>
        <w:rPr>
          <w:rFonts w:ascii="Arial" w:eastAsia="宋体" w:hAnsi="Arial" w:cs="Arial"/>
          <w:color w:val="000000"/>
          <w:sz w:val="20"/>
          <w:szCs w:val="20"/>
        </w:rPr>
        <w:t>At September 30, 2020 and December 31, 2019, we had $9.6 billion of unused borrowing capacity on revolving credit agreements. We anticip</w:t>
      </w:r>
      <w:r>
        <w:rPr>
          <w:rFonts w:ascii="Arial" w:eastAsia="宋体" w:hAnsi="Arial" w:cs="Arial"/>
          <w:color w:val="000000"/>
          <w:sz w:val="20"/>
          <w:szCs w:val="20"/>
        </w:rPr>
        <w:t>ate that these credit lines will primarily serve as back-up liquidity to support our general corporate borrowing needs. $3.2 billion of the $9.6 billion is a 364-day revolving credit facility, which was set to expire in October 2020. We renewed that 364-da</w:t>
      </w:r>
      <w:r>
        <w:rPr>
          <w:rFonts w:ascii="Arial" w:eastAsia="宋体" w:hAnsi="Arial" w:cs="Arial"/>
          <w:color w:val="000000"/>
          <w:sz w:val="20"/>
          <w:szCs w:val="20"/>
        </w:rPr>
        <w:t xml:space="preserve">y revolving credit facility at $3.1 billion, which now expires in October 2021. </w:t>
      </w:r>
    </w:p>
    <w:p w14:paraId="4090E1E6" w14:textId="77777777" w:rsidR="00833634" w:rsidRDefault="00E15D51">
      <w:pPr>
        <w:spacing w:after="180"/>
        <w:jc w:val="both"/>
      </w:pPr>
      <w:r>
        <w:rPr>
          <w:rFonts w:ascii="Arial" w:eastAsia="宋体" w:hAnsi="Arial" w:cs="Arial"/>
          <w:color w:val="000000"/>
          <w:sz w:val="20"/>
          <w:szCs w:val="20"/>
        </w:rPr>
        <w:t>In addition to our debt issuances, we have taken a number of actions to improve liquidity. During the first quarter of 2020, our Board of Directors terminated its prior author</w:t>
      </w:r>
      <w:r>
        <w:rPr>
          <w:rFonts w:ascii="Arial" w:eastAsia="宋体" w:hAnsi="Arial" w:cs="Arial"/>
          <w:color w:val="000000"/>
          <w:sz w:val="20"/>
          <w:szCs w:val="20"/>
        </w:rPr>
        <w:t>ization to repurchase shares of the Company’s outstanding common stock and suspended the declaration and/or payment of dividends until further notice. We have also reduced production rates in our commercial business to reflect the impact of COVID-19 on the</w:t>
      </w:r>
      <w:r>
        <w:rPr>
          <w:rFonts w:ascii="Arial" w:eastAsia="宋体" w:hAnsi="Arial" w:cs="Arial"/>
          <w:color w:val="000000"/>
          <w:sz w:val="20"/>
          <w:szCs w:val="20"/>
        </w:rPr>
        <w:t xml:space="preserve"> industry. We have furloughed certain employees and are executing on our plans to </w:t>
      </w:r>
    </w:p>
    <w:p w14:paraId="4090E1E7" w14:textId="77777777" w:rsidR="00833634" w:rsidRDefault="00E15D51">
      <w:pPr>
        <w:spacing w:after="180"/>
        <w:jc w:val="center"/>
      </w:pPr>
      <w:r>
        <w:rPr>
          <w:rFonts w:ascii="Arial" w:eastAsia="宋体" w:hAnsi="Arial" w:cs="Arial"/>
          <w:color w:val="000000"/>
          <w:sz w:val="18"/>
          <w:szCs w:val="18"/>
        </w:rPr>
        <w:t>8</w:t>
      </w:r>
    </w:p>
    <w:p w14:paraId="4090E1E8" w14:textId="77777777" w:rsidR="00833634" w:rsidRDefault="00E15D51">
      <w:r>
        <w:pict w14:anchorId="4090FE28">
          <v:rect id="_x0000_i1034" style="width:415.3pt;height:1.5pt" o:hralign="center" o:hrstd="t" o:hr="t" fillcolor="#a0a0a0" stroked="f"/>
        </w:pict>
      </w:r>
    </w:p>
    <w:p w14:paraId="4090E1E9" w14:textId="77777777" w:rsidR="00833634" w:rsidRDefault="00E15D51">
      <w:pPr>
        <w:spacing w:after="180"/>
        <w:jc w:val="both"/>
      </w:pPr>
      <w:hyperlink r:id="rId111" w:anchor="i8d805bfb1e1c4815a1dcd5b6d1e0b117_10" w:history="1">
        <w:r>
          <w:rPr>
            <w:rStyle w:val="a5"/>
            <w:rFonts w:ascii="Arial" w:eastAsia="宋体" w:hAnsi="Arial" w:cs="Arial"/>
            <w:sz w:val="18"/>
            <w:szCs w:val="18"/>
          </w:rPr>
          <w:t>Table of Contents</w:t>
        </w:r>
      </w:hyperlink>
    </w:p>
    <w:p w14:paraId="4090E1EA" w14:textId="77777777" w:rsidR="00833634" w:rsidRDefault="00E15D51">
      <w:pPr>
        <w:spacing w:after="180"/>
        <w:jc w:val="both"/>
      </w:pPr>
      <w:r>
        <w:rPr>
          <w:rFonts w:ascii="Arial" w:eastAsia="宋体" w:hAnsi="Arial" w:cs="Arial"/>
          <w:color w:val="000000"/>
          <w:sz w:val="20"/>
          <w:szCs w:val="20"/>
        </w:rPr>
        <w:t>reduce our workforce through a combination of voluntary and involuntary layoffs and natural turnover. In the second and third quarters of 2020, we recorded severance costs for approximately 26,000 employees, of which approximately half have left the Compa</w:t>
      </w:r>
      <w:r>
        <w:rPr>
          <w:rFonts w:ascii="Arial" w:eastAsia="宋体" w:hAnsi="Arial" w:cs="Arial"/>
          <w:color w:val="000000"/>
          <w:sz w:val="20"/>
          <w:szCs w:val="20"/>
        </w:rPr>
        <w:t xml:space="preserve">ny as of September 30, 2020, and the remainder are expected to leave in 2020 and 2021. </w:t>
      </w:r>
    </w:p>
    <w:p w14:paraId="4090E1EB" w14:textId="77777777" w:rsidR="00833634" w:rsidRDefault="00E15D51">
      <w:pPr>
        <w:spacing w:after="180"/>
        <w:jc w:val="both"/>
      </w:pPr>
      <w:r>
        <w:rPr>
          <w:rFonts w:ascii="Arial" w:eastAsia="宋体" w:hAnsi="Arial" w:cs="Arial"/>
          <w:color w:val="000000"/>
          <w:sz w:val="20"/>
          <w:szCs w:val="20"/>
        </w:rPr>
        <w:t>We are also working with our customers and supply chain to accelerate receipts and conserve cash. For example, the United States Department of Defense (U.S. DoD) has ta</w:t>
      </w:r>
      <w:r>
        <w:rPr>
          <w:rFonts w:ascii="Arial" w:eastAsia="宋体" w:hAnsi="Arial" w:cs="Arial"/>
          <w:color w:val="000000"/>
          <w:sz w:val="20"/>
          <w:szCs w:val="20"/>
        </w:rPr>
        <w:t xml:space="preserve">ken steps to work with its industry partners to increase liquidity in the form of increased progress payment rates and reductions in withholds among other initiatives. We are also deferring certain tax payments pursuant to the Coronavirus Aid, Relief, and </w:t>
      </w:r>
      <w:r>
        <w:rPr>
          <w:rFonts w:ascii="Arial" w:eastAsia="宋体" w:hAnsi="Arial" w:cs="Arial"/>
          <w:color w:val="000000"/>
          <w:sz w:val="20"/>
          <w:szCs w:val="20"/>
        </w:rPr>
        <w:t xml:space="preserve">Economic Security (CARES) Act. </w:t>
      </w:r>
    </w:p>
    <w:p w14:paraId="4090E1EC" w14:textId="77777777" w:rsidR="00833634" w:rsidRDefault="00E15D51">
      <w:pPr>
        <w:spacing w:after="180"/>
        <w:jc w:val="both"/>
      </w:pPr>
      <w:r>
        <w:rPr>
          <w:rFonts w:ascii="Arial" w:eastAsia="宋体" w:hAnsi="Arial" w:cs="Arial"/>
          <w:color w:val="000000"/>
          <w:sz w:val="20"/>
          <w:szCs w:val="20"/>
        </w:rPr>
        <w:t xml:space="preserve">In the fourth quarter of 2020, the Company plans to begin using our common stock in lieu of cash to fund Company contributions to our 401(k) plans for the foreseeable future. Common stock would be contributed to our 401(k) plans following each pay period. </w:t>
      </w:r>
      <w:r>
        <w:rPr>
          <w:rFonts w:ascii="Arial" w:eastAsia="宋体" w:hAnsi="Arial" w:cs="Arial"/>
          <w:color w:val="000000"/>
          <w:sz w:val="20"/>
          <w:szCs w:val="20"/>
        </w:rPr>
        <w:t xml:space="preserve">We expect this measure to further enable the Company to conserve cash. </w:t>
      </w:r>
    </w:p>
    <w:p w14:paraId="4090E1ED" w14:textId="77777777" w:rsidR="00833634" w:rsidRDefault="00E15D51">
      <w:pPr>
        <w:spacing w:after="180"/>
        <w:jc w:val="both"/>
      </w:pPr>
      <w:r>
        <w:rPr>
          <w:rFonts w:ascii="Arial" w:eastAsia="宋体" w:hAnsi="Arial" w:cs="Arial"/>
          <w:color w:val="000000"/>
          <w:sz w:val="20"/>
          <w:szCs w:val="20"/>
        </w:rPr>
        <w:t xml:space="preserve">We have reduced discretionary spending, including reducing or deferring research and development and capital expenditures. </w:t>
      </w:r>
    </w:p>
    <w:p w14:paraId="4090E1EE" w14:textId="77777777" w:rsidR="00833634" w:rsidRDefault="00E15D51">
      <w:pPr>
        <w:spacing w:after="180"/>
        <w:jc w:val="both"/>
      </w:pPr>
      <w:r>
        <w:rPr>
          <w:rFonts w:ascii="Arial" w:eastAsia="宋体" w:hAnsi="Arial" w:cs="Arial"/>
          <w:color w:val="000000"/>
          <w:sz w:val="20"/>
          <w:szCs w:val="20"/>
        </w:rPr>
        <w:t>In July 2020, we announced our business transformation effor</w:t>
      </w:r>
      <w:r>
        <w:rPr>
          <w:rFonts w:ascii="Arial" w:eastAsia="宋体" w:hAnsi="Arial" w:cs="Arial"/>
          <w:color w:val="000000"/>
          <w:sz w:val="20"/>
          <w:szCs w:val="20"/>
        </w:rPr>
        <w:t>ts to assess our business across five key pillars – infrastructure, overhead and organization, portfolio and investments, supply chain health and operational excellence. Within the infrastructure pillar we are assessing our overall facility requirements in</w:t>
      </w:r>
      <w:r>
        <w:rPr>
          <w:rFonts w:ascii="Arial" w:eastAsia="宋体" w:hAnsi="Arial" w:cs="Arial"/>
          <w:color w:val="000000"/>
          <w:sz w:val="20"/>
          <w:szCs w:val="20"/>
        </w:rPr>
        <w:t xml:space="preserve"> light of reduced demand in our commercial businesses and remote and virtual work opportunities for large numbers of our workforce. The overhead and organization pillar is focused on our cost structure and how we are organized so we can right size our work</w:t>
      </w:r>
      <w:r>
        <w:rPr>
          <w:rFonts w:ascii="Arial" w:eastAsia="宋体" w:hAnsi="Arial" w:cs="Arial"/>
          <w:color w:val="000000"/>
          <w:sz w:val="20"/>
          <w:szCs w:val="20"/>
        </w:rPr>
        <w:t>force and simplify and reduce management layers and bureaucracy. The portfolio and investments pillar is working on aligning our portfolio and investments to focus on our core business and the changes in market conditions. The supply chain pillar is focuse</w:t>
      </w:r>
      <w:r>
        <w:rPr>
          <w:rFonts w:ascii="Arial" w:eastAsia="宋体" w:hAnsi="Arial" w:cs="Arial"/>
          <w:color w:val="000000"/>
          <w:sz w:val="20"/>
          <w:szCs w:val="20"/>
        </w:rPr>
        <w:t>d on supply chain health and stability, reducing indirect procurement spend and streamlining our transportation, logistics and warehousing approach. The operational excellence pillar is focused on improving performance, enhancing quality and reducing rewor</w:t>
      </w:r>
      <w:r>
        <w:rPr>
          <w:rFonts w:ascii="Arial" w:eastAsia="宋体" w:hAnsi="Arial" w:cs="Arial"/>
          <w:color w:val="000000"/>
          <w:sz w:val="20"/>
          <w:szCs w:val="20"/>
        </w:rPr>
        <w:t>k. Successful execution of these measures will improve near term liquidity and long term cost competitiveness. Apart from severance, we did not incur significant restructuring charges during the quarter.</w:t>
      </w:r>
    </w:p>
    <w:p w14:paraId="4090E1EF" w14:textId="77777777" w:rsidR="00833634" w:rsidRDefault="00E15D51">
      <w:pPr>
        <w:spacing w:after="180"/>
        <w:jc w:val="both"/>
      </w:pPr>
      <w:r>
        <w:rPr>
          <w:rFonts w:ascii="Arial" w:eastAsia="宋体" w:hAnsi="Arial" w:cs="Arial"/>
          <w:color w:val="000000"/>
          <w:sz w:val="20"/>
          <w:szCs w:val="20"/>
        </w:rPr>
        <w:t>Based on our current best estimates of market demand</w:t>
      </w:r>
      <w:r>
        <w:rPr>
          <w:rFonts w:ascii="Arial" w:eastAsia="宋体" w:hAnsi="Arial" w:cs="Arial"/>
          <w:color w:val="000000"/>
          <w:sz w:val="20"/>
          <w:szCs w:val="20"/>
        </w:rPr>
        <w:t>, planned production rates, timing of cash receipts and expenditures, our ability to successfully implement further actions to improve liquidity as well our ability to access additional liquidity, if needed, we believe it is probable that we will be able t</w:t>
      </w:r>
      <w:r>
        <w:rPr>
          <w:rFonts w:ascii="Arial" w:eastAsia="宋体" w:hAnsi="Arial" w:cs="Arial"/>
          <w:color w:val="000000"/>
          <w:sz w:val="20"/>
          <w:szCs w:val="20"/>
        </w:rPr>
        <w:t>o fund our operations for the foreseeable future.</w:t>
      </w:r>
    </w:p>
    <w:p w14:paraId="4090E1F0" w14:textId="77777777" w:rsidR="00833634" w:rsidRDefault="00E15D51">
      <w:pPr>
        <w:spacing w:after="180"/>
        <w:jc w:val="both"/>
      </w:pPr>
      <w:r>
        <w:rPr>
          <w:rFonts w:ascii="Arial" w:eastAsia="宋体" w:hAnsi="Arial" w:cs="Arial"/>
          <w:b/>
          <w:bCs/>
          <w:color w:val="000000"/>
          <w:sz w:val="20"/>
          <w:szCs w:val="20"/>
        </w:rPr>
        <w:t>Standards Issued and Implemented</w:t>
      </w:r>
    </w:p>
    <w:p w14:paraId="4090E1F1" w14:textId="77777777" w:rsidR="00833634" w:rsidRDefault="00E15D51">
      <w:pPr>
        <w:spacing w:after="180"/>
        <w:jc w:val="both"/>
      </w:pPr>
      <w:r>
        <w:rPr>
          <w:rFonts w:ascii="Arial" w:eastAsia="宋体" w:hAnsi="Arial" w:cs="Arial"/>
          <w:color w:val="000000"/>
          <w:sz w:val="20"/>
          <w:szCs w:val="20"/>
        </w:rPr>
        <w:t xml:space="preserve">In the first quarter of 2020, we adopted ASU 2016-13, </w:t>
      </w:r>
      <w:r>
        <w:rPr>
          <w:rFonts w:ascii="Arial" w:eastAsia="宋体" w:hAnsi="Arial" w:cs="Arial"/>
          <w:i/>
          <w:iCs/>
          <w:color w:val="000000"/>
          <w:sz w:val="20"/>
          <w:szCs w:val="20"/>
        </w:rPr>
        <w:t>Financial Instruments - Credit Losses (Topic 326): Measurement of Credit Losses on Financial Instr</w:t>
      </w:r>
      <w:r>
        <w:rPr>
          <w:rFonts w:ascii="Arial" w:eastAsia="宋体" w:hAnsi="Arial" w:cs="Arial"/>
          <w:color w:val="000000"/>
          <w:sz w:val="20"/>
          <w:szCs w:val="20"/>
        </w:rPr>
        <w:t>uments (ASU 2016-13),</w:t>
      </w:r>
      <w:r>
        <w:rPr>
          <w:rFonts w:ascii="Arial" w:eastAsia="宋体" w:hAnsi="Arial" w:cs="Arial"/>
          <w:color w:val="000000"/>
          <w:sz w:val="20"/>
          <w:szCs w:val="20"/>
        </w:rPr>
        <w:t xml:space="preserve"> using a modified retrospective method, which resulted in the recognition of allowances for credit losses on our Condensed Consolidated Statement of Financial Position as of January 1, 2020 and a $162 cumulative-effect adjustment to retained earnings to al</w:t>
      </w:r>
      <w:r>
        <w:rPr>
          <w:rFonts w:ascii="Arial" w:eastAsia="宋体" w:hAnsi="Arial" w:cs="Arial"/>
          <w:color w:val="000000"/>
          <w:sz w:val="20"/>
          <w:szCs w:val="20"/>
        </w:rPr>
        <w:t>ign our credit loss methodology with the new standard. The standard replaces the incurred loss impairment methodology under Topic 310 with a methodology that reflects expected credit losses and requires the use of a forward-looking expected credit loss mod</w:t>
      </w:r>
      <w:r>
        <w:rPr>
          <w:rFonts w:ascii="Arial" w:eastAsia="宋体" w:hAnsi="Arial" w:cs="Arial"/>
          <w:color w:val="000000"/>
          <w:sz w:val="20"/>
          <w:szCs w:val="20"/>
        </w:rPr>
        <w:t>el for accounts receivables, loans, and certain other financial assets. See Note 5, 8 and 9 for additional disclosures.</w:t>
      </w:r>
    </w:p>
    <w:p w14:paraId="4090E1F2" w14:textId="77777777" w:rsidR="00833634" w:rsidRDefault="00E15D51">
      <w:pPr>
        <w:spacing w:after="180"/>
        <w:jc w:val="both"/>
      </w:pPr>
      <w:r>
        <w:rPr>
          <w:rFonts w:ascii="Arial" w:eastAsia="宋体" w:hAnsi="Arial" w:cs="Arial"/>
          <w:color w:val="000000"/>
          <w:sz w:val="20"/>
          <w:szCs w:val="20"/>
        </w:rPr>
        <w:t xml:space="preserve">In the first quarter of 2020, we also adopted ASU 2017-04, </w:t>
      </w:r>
      <w:r>
        <w:rPr>
          <w:rFonts w:ascii="Arial" w:eastAsia="宋体" w:hAnsi="Arial" w:cs="Arial"/>
          <w:i/>
          <w:iCs/>
          <w:color w:val="000000"/>
          <w:sz w:val="20"/>
          <w:szCs w:val="20"/>
        </w:rPr>
        <w:t>Intangibles-Goodwill and Other (Topic 350): Simplifying the Test for Goodwill</w:t>
      </w:r>
      <w:r>
        <w:rPr>
          <w:rFonts w:ascii="Arial" w:eastAsia="宋体" w:hAnsi="Arial" w:cs="Arial"/>
          <w:i/>
          <w:iCs/>
          <w:color w:val="000000"/>
          <w:sz w:val="20"/>
          <w:szCs w:val="20"/>
        </w:rPr>
        <w:t xml:space="preserve"> Impairment (</w:t>
      </w:r>
      <w:r>
        <w:rPr>
          <w:rFonts w:ascii="Arial" w:eastAsia="宋体" w:hAnsi="Arial" w:cs="Arial"/>
          <w:color w:val="000000"/>
          <w:sz w:val="20"/>
          <w:szCs w:val="20"/>
        </w:rPr>
        <w:t xml:space="preserve">ASU 2017-04). See Note 2 for additional disclosures. </w:t>
      </w:r>
    </w:p>
    <w:p w14:paraId="4090E1F3" w14:textId="77777777" w:rsidR="00833634" w:rsidRDefault="00E15D51">
      <w:pPr>
        <w:spacing w:after="180"/>
        <w:jc w:val="both"/>
      </w:pPr>
      <w:r>
        <w:rPr>
          <w:rFonts w:ascii="Arial" w:eastAsia="宋体" w:hAnsi="Arial" w:cs="Arial"/>
          <w:b/>
          <w:bCs/>
          <w:color w:val="000000"/>
          <w:sz w:val="20"/>
          <w:szCs w:val="20"/>
        </w:rPr>
        <w:t>Significant Accounting Policies - Update</w:t>
      </w:r>
    </w:p>
    <w:p w14:paraId="4090E1F4" w14:textId="77777777" w:rsidR="00833634" w:rsidRDefault="00E15D51">
      <w:pPr>
        <w:spacing w:after="180"/>
        <w:jc w:val="both"/>
      </w:pPr>
      <w:r>
        <w:rPr>
          <w:rFonts w:ascii="Arial" w:eastAsia="宋体" w:hAnsi="Arial" w:cs="Arial"/>
          <w:color w:val="000000"/>
          <w:sz w:val="20"/>
          <w:szCs w:val="20"/>
        </w:rPr>
        <w:t xml:space="preserve">Our significant accounting policies are described in "Note 1: Summary of Significant Accounting Policies" of our Annual Report on Form 10-K for the </w:t>
      </w:r>
      <w:r>
        <w:rPr>
          <w:rFonts w:ascii="Arial" w:eastAsia="宋体" w:hAnsi="Arial" w:cs="Arial"/>
          <w:color w:val="000000"/>
          <w:sz w:val="20"/>
          <w:szCs w:val="20"/>
        </w:rPr>
        <w:t>year ended December 31, 2019. Our updated significant accounting policies described below reflect the impact of adopting Topic 326.</w:t>
      </w:r>
    </w:p>
    <w:p w14:paraId="4090E1F5" w14:textId="77777777" w:rsidR="00833634" w:rsidRDefault="00E15D51">
      <w:pPr>
        <w:spacing w:after="180"/>
        <w:jc w:val="center"/>
      </w:pPr>
      <w:r>
        <w:rPr>
          <w:rFonts w:ascii="Arial" w:eastAsia="宋体" w:hAnsi="Arial" w:cs="Arial"/>
          <w:color w:val="000000"/>
          <w:sz w:val="18"/>
          <w:szCs w:val="18"/>
        </w:rPr>
        <w:t>9</w:t>
      </w:r>
    </w:p>
    <w:p w14:paraId="4090E1F6" w14:textId="77777777" w:rsidR="00833634" w:rsidRDefault="00E15D51">
      <w:r>
        <w:pict w14:anchorId="4090FE29">
          <v:rect id="_x0000_i1035" style="width:415.3pt;height:1.5pt" o:hralign="center" o:hrstd="t" o:hr="t" fillcolor="#a0a0a0" stroked="f"/>
        </w:pict>
      </w:r>
    </w:p>
    <w:p w14:paraId="4090E1F7" w14:textId="77777777" w:rsidR="00833634" w:rsidRDefault="00E15D51">
      <w:pPr>
        <w:spacing w:after="180"/>
        <w:jc w:val="both"/>
      </w:pPr>
      <w:hyperlink r:id="rId112" w:anchor="i8d805bfb1e1c4815a1dcd5b6d1e0b117_10" w:history="1">
        <w:r>
          <w:rPr>
            <w:rStyle w:val="a5"/>
            <w:rFonts w:ascii="Arial" w:eastAsia="宋体" w:hAnsi="Arial" w:cs="Arial"/>
            <w:sz w:val="18"/>
            <w:szCs w:val="18"/>
          </w:rPr>
          <w:t>Table of Contents</w:t>
        </w:r>
      </w:hyperlink>
    </w:p>
    <w:p w14:paraId="4090E1F8" w14:textId="77777777" w:rsidR="00833634" w:rsidRDefault="00E15D51">
      <w:pPr>
        <w:spacing w:after="180"/>
        <w:jc w:val="both"/>
      </w:pPr>
      <w:r>
        <w:rPr>
          <w:rFonts w:ascii="Arial" w:eastAsia="宋体" w:hAnsi="Arial" w:cs="Arial"/>
          <w:b/>
          <w:bCs/>
          <w:color w:val="000000"/>
          <w:sz w:val="20"/>
          <w:szCs w:val="20"/>
        </w:rPr>
        <w:t>Allowances for losses on certain financial assets</w:t>
      </w:r>
      <w:r>
        <w:rPr>
          <w:rFonts w:ascii="Arial" w:eastAsia="宋体" w:hAnsi="Arial" w:cs="Arial"/>
          <w:color w:val="000000"/>
          <w:sz w:val="20"/>
          <w:szCs w:val="20"/>
        </w:rPr>
        <w:t xml:space="preserve"> </w:t>
      </w:r>
    </w:p>
    <w:p w14:paraId="4090E1F9" w14:textId="77777777" w:rsidR="00833634" w:rsidRDefault="00E15D51">
      <w:pPr>
        <w:spacing w:after="180"/>
        <w:jc w:val="both"/>
      </w:pPr>
      <w:r>
        <w:rPr>
          <w:rFonts w:ascii="Arial" w:eastAsia="宋体" w:hAnsi="Arial" w:cs="Arial"/>
          <w:color w:val="000000"/>
          <w:sz w:val="20"/>
          <w:szCs w:val="20"/>
        </w:rPr>
        <w:t>We establish allowances for credit losses on accounts receivable, unbilled receivables, customer financing receivables, and certain other financial assets.</w:t>
      </w:r>
      <w:r>
        <w:rPr>
          <w:rFonts w:ascii="Arial" w:eastAsia="宋体" w:hAnsi="Arial" w:cs="Arial"/>
          <w:color w:val="000000"/>
          <w:sz w:val="20"/>
          <w:szCs w:val="20"/>
        </w:rPr>
        <w:t xml:space="preserve"> The adequacy of these allowances are assessed quarterly through consideration of factors including, but not limited to, customer credit ratings, bankruptcy filings, published or estimated credit default rates, age of the receivable, expected loss rates an</w:t>
      </w:r>
      <w:r>
        <w:rPr>
          <w:rFonts w:ascii="Arial" w:eastAsia="宋体" w:hAnsi="Arial" w:cs="Arial"/>
          <w:color w:val="000000"/>
          <w:sz w:val="20"/>
          <w:szCs w:val="20"/>
        </w:rPr>
        <w:t>d collateral exposures. We assign internal credit ratings for all customers and determine the creditworthiness of each customer based upon publicly available information and information obtained directly from our customers. Our rating categories are compar</w:t>
      </w:r>
      <w:r>
        <w:rPr>
          <w:rFonts w:ascii="Arial" w:eastAsia="宋体" w:hAnsi="Arial" w:cs="Arial"/>
          <w:color w:val="000000"/>
          <w:sz w:val="20"/>
          <w:szCs w:val="20"/>
        </w:rPr>
        <w:t>able to those used by major credit rating agencies.</w:t>
      </w:r>
    </w:p>
    <w:p w14:paraId="4090E1FA" w14:textId="77777777" w:rsidR="00833634" w:rsidRDefault="00E15D51">
      <w:pPr>
        <w:spacing w:after="180"/>
        <w:jc w:val="both"/>
      </w:pPr>
      <w:r>
        <w:rPr>
          <w:rFonts w:ascii="Arial" w:eastAsia="宋体" w:hAnsi="Arial" w:cs="Arial"/>
          <w:b/>
          <w:bCs/>
          <w:color w:val="000000"/>
          <w:sz w:val="20"/>
          <w:szCs w:val="20"/>
        </w:rPr>
        <w:t>Use of Estimates</w:t>
      </w:r>
    </w:p>
    <w:p w14:paraId="4090E1FB" w14:textId="77777777" w:rsidR="00833634" w:rsidRDefault="00E15D51">
      <w:pPr>
        <w:spacing w:after="180"/>
        <w:jc w:val="both"/>
      </w:pPr>
      <w:r>
        <w:rPr>
          <w:rFonts w:ascii="Arial" w:eastAsia="宋体" w:hAnsi="Arial" w:cs="Arial"/>
          <w:color w:val="000000"/>
          <w:sz w:val="20"/>
          <w:szCs w:val="20"/>
        </w:rPr>
        <w:t>The preparation of financial statements in conformity with U.S. generally accepted accounting principles (GAAP) requires management to make estimates and assumptions that affect the reported amounts of assets and liabilities and disclosure of contingent as</w:t>
      </w:r>
      <w:r>
        <w:rPr>
          <w:rFonts w:ascii="Arial" w:eastAsia="宋体" w:hAnsi="Arial" w:cs="Arial"/>
          <w:color w:val="000000"/>
          <w:sz w:val="20"/>
          <w:szCs w:val="20"/>
        </w:rPr>
        <w:t>sets and liabilities at the date of the financial statements and the reported amounts of revenues and expenses during the reporting period. We believe that the accounting estimates and assumptions are appropriate given the increased uncertainties surroundi</w:t>
      </w:r>
      <w:r>
        <w:rPr>
          <w:rFonts w:ascii="Arial" w:eastAsia="宋体" w:hAnsi="Arial" w:cs="Arial"/>
          <w:color w:val="000000"/>
          <w:sz w:val="20"/>
          <w:szCs w:val="20"/>
        </w:rPr>
        <w:t xml:space="preserve">ng the severity and duration of the impacts of the COVID-19 pandemic, however actual results could differ from those estimates. </w:t>
      </w:r>
    </w:p>
    <w:p w14:paraId="4090E1FC" w14:textId="77777777" w:rsidR="00833634" w:rsidRDefault="00E15D51">
      <w:pPr>
        <w:spacing w:after="180"/>
        <w:jc w:val="both"/>
      </w:pPr>
      <w:r>
        <w:rPr>
          <w:rFonts w:ascii="Arial" w:eastAsia="宋体" w:hAnsi="Arial" w:cs="Arial"/>
          <w:color w:val="000000"/>
          <w:sz w:val="20"/>
          <w:szCs w:val="20"/>
        </w:rPr>
        <w:t>Changes in estimated revenues, cost of sales and the related effect on operating income are recognized using a cumulative catch</w:t>
      </w:r>
      <w:r>
        <w:rPr>
          <w:rFonts w:ascii="Arial" w:eastAsia="宋体" w:hAnsi="Arial" w:cs="Arial"/>
          <w:color w:val="000000"/>
          <w:sz w:val="20"/>
          <w:szCs w:val="20"/>
        </w:rPr>
        <w:t>-up adjustment which recognizes in the current period the cumulative effect of the changes on current and prior periods based on a long-term contract’s percentage-of-completion. When the current estimates of total sales and costs for a long-term contract i</w:t>
      </w:r>
      <w:r>
        <w:rPr>
          <w:rFonts w:ascii="Arial" w:eastAsia="宋体" w:hAnsi="Arial" w:cs="Arial"/>
          <w:color w:val="000000"/>
          <w:sz w:val="20"/>
          <w:szCs w:val="20"/>
        </w:rPr>
        <w:t xml:space="preserve">ndicate a loss, a provision for the entire reach-forward loss on the long-term contract is recognized. </w:t>
      </w:r>
    </w:p>
    <w:p w14:paraId="4090E1FD" w14:textId="77777777" w:rsidR="00833634" w:rsidRDefault="00E15D51">
      <w:pPr>
        <w:jc w:val="both"/>
      </w:pPr>
      <w:r>
        <w:rPr>
          <w:rFonts w:ascii="Arial" w:eastAsia="宋体" w:hAnsi="Arial" w:cs="Arial"/>
          <w:color w:val="000000"/>
          <w:sz w:val="20"/>
          <w:szCs w:val="20"/>
        </w:rPr>
        <w:t xml:space="preserve">Net cumulative catch-up adjustments to prior periods' revenue and earnings, including certain reach-forward losses, across all long-term contracts were </w:t>
      </w:r>
      <w:r>
        <w:rPr>
          <w:rFonts w:ascii="Arial" w:eastAsia="宋体" w:hAnsi="Arial" w:cs="Arial"/>
          <w:color w:val="000000"/>
          <w:sz w:val="20"/>
          <w:szCs w:val="20"/>
        </w:rPr>
        <w:t>as follows:</w:t>
      </w:r>
    </w:p>
    <w:tbl>
      <w:tblPr>
        <w:tblW w:w="5000" w:type="pct"/>
        <w:tblCellMar>
          <w:top w:w="15" w:type="dxa"/>
          <w:left w:w="15" w:type="dxa"/>
          <w:bottom w:w="15" w:type="dxa"/>
          <w:right w:w="15" w:type="dxa"/>
        </w:tblCellMar>
        <w:tblLook w:val="04A0" w:firstRow="1" w:lastRow="0" w:firstColumn="1" w:lastColumn="0" w:noHBand="0" w:noVBand="1"/>
      </w:tblPr>
      <w:tblGrid>
        <w:gridCol w:w="59"/>
        <w:gridCol w:w="4442"/>
        <w:gridCol w:w="37"/>
        <w:gridCol w:w="62"/>
        <w:gridCol w:w="775"/>
        <w:gridCol w:w="37"/>
        <w:gridCol w:w="37"/>
        <w:gridCol w:w="37"/>
        <w:gridCol w:w="37"/>
        <w:gridCol w:w="55"/>
        <w:gridCol w:w="771"/>
        <w:gridCol w:w="36"/>
        <w:gridCol w:w="36"/>
        <w:gridCol w:w="36"/>
        <w:gridCol w:w="36"/>
        <w:gridCol w:w="62"/>
        <w:gridCol w:w="768"/>
        <w:gridCol w:w="37"/>
        <w:gridCol w:w="37"/>
        <w:gridCol w:w="37"/>
        <w:gridCol w:w="37"/>
        <w:gridCol w:w="62"/>
        <w:gridCol w:w="767"/>
        <w:gridCol w:w="36"/>
      </w:tblGrid>
      <w:tr w:rsidR="00833634" w14:paraId="4090E216" w14:textId="77777777">
        <w:tc>
          <w:tcPr>
            <w:tcW w:w="50" w:type="pct"/>
            <w:shd w:val="clear" w:color="auto" w:fill="auto"/>
          </w:tcPr>
          <w:p w14:paraId="4090E1FE" w14:textId="77777777" w:rsidR="00833634" w:rsidRDefault="00833634">
            <w:pPr>
              <w:rPr>
                <w:rFonts w:ascii="宋体"/>
              </w:rPr>
            </w:pPr>
          </w:p>
        </w:tc>
        <w:tc>
          <w:tcPr>
            <w:tcW w:w="2677" w:type="pct"/>
            <w:shd w:val="clear" w:color="auto" w:fill="auto"/>
          </w:tcPr>
          <w:p w14:paraId="4090E1FF" w14:textId="77777777" w:rsidR="00833634" w:rsidRDefault="00833634">
            <w:pPr>
              <w:rPr>
                <w:rFonts w:ascii="宋体"/>
              </w:rPr>
            </w:pPr>
          </w:p>
        </w:tc>
        <w:tc>
          <w:tcPr>
            <w:tcW w:w="5" w:type="pct"/>
            <w:shd w:val="clear" w:color="auto" w:fill="auto"/>
          </w:tcPr>
          <w:p w14:paraId="4090E200" w14:textId="77777777" w:rsidR="00833634" w:rsidRDefault="00833634">
            <w:pPr>
              <w:rPr>
                <w:rFonts w:ascii="宋体"/>
              </w:rPr>
            </w:pPr>
          </w:p>
        </w:tc>
        <w:tc>
          <w:tcPr>
            <w:tcW w:w="50" w:type="pct"/>
            <w:shd w:val="clear" w:color="auto" w:fill="auto"/>
          </w:tcPr>
          <w:p w14:paraId="4090E201" w14:textId="77777777" w:rsidR="00833634" w:rsidRDefault="00833634">
            <w:pPr>
              <w:rPr>
                <w:rFonts w:ascii="宋体"/>
              </w:rPr>
            </w:pPr>
          </w:p>
        </w:tc>
        <w:tc>
          <w:tcPr>
            <w:tcW w:w="481" w:type="pct"/>
            <w:shd w:val="clear" w:color="auto" w:fill="auto"/>
          </w:tcPr>
          <w:p w14:paraId="4090E202" w14:textId="77777777" w:rsidR="00833634" w:rsidRDefault="00833634">
            <w:pPr>
              <w:rPr>
                <w:rFonts w:ascii="宋体"/>
              </w:rPr>
            </w:pPr>
          </w:p>
        </w:tc>
        <w:tc>
          <w:tcPr>
            <w:tcW w:w="5" w:type="pct"/>
            <w:shd w:val="clear" w:color="auto" w:fill="auto"/>
          </w:tcPr>
          <w:p w14:paraId="4090E203" w14:textId="77777777" w:rsidR="00833634" w:rsidRDefault="00833634">
            <w:pPr>
              <w:rPr>
                <w:rFonts w:ascii="宋体"/>
              </w:rPr>
            </w:pPr>
          </w:p>
        </w:tc>
        <w:tc>
          <w:tcPr>
            <w:tcW w:w="5" w:type="pct"/>
            <w:shd w:val="clear" w:color="auto" w:fill="auto"/>
          </w:tcPr>
          <w:p w14:paraId="4090E204" w14:textId="77777777" w:rsidR="00833634" w:rsidRDefault="00833634">
            <w:pPr>
              <w:rPr>
                <w:rFonts w:ascii="宋体"/>
              </w:rPr>
            </w:pPr>
          </w:p>
        </w:tc>
        <w:tc>
          <w:tcPr>
            <w:tcW w:w="30" w:type="pct"/>
            <w:shd w:val="clear" w:color="auto" w:fill="auto"/>
          </w:tcPr>
          <w:p w14:paraId="4090E205" w14:textId="77777777" w:rsidR="00833634" w:rsidRDefault="00833634">
            <w:pPr>
              <w:rPr>
                <w:rFonts w:ascii="宋体"/>
              </w:rPr>
            </w:pPr>
          </w:p>
        </w:tc>
        <w:tc>
          <w:tcPr>
            <w:tcW w:w="5" w:type="pct"/>
            <w:shd w:val="clear" w:color="auto" w:fill="auto"/>
          </w:tcPr>
          <w:p w14:paraId="4090E206" w14:textId="77777777" w:rsidR="00833634" w:rsidRDefault="00833634">
            <w:pPr>
              <w:rPr>
                <w:rFonts w:ascii="宋体"/>
              </w:rPr>
            </w:pPr>
          </w:p>
        </w:tc>
        <w:tc>
          <w:tcPr>
            <w:tcW w:w="50" w:type="pct"/>
            <w:shd w:val="clear" w:color="auto" w:fill="auto"/>
          </w:tcPr>
          <w:p w14:paraId="4090E207" w14:textId="77777777" w:rsidR="00833634" w:rsidRDefault="00833634">
            <w:pPr>
              <w:rPr>
                <w:rFonts w:ascii="宋体"/>
              </w:rPr>
            </w:pPr>
          </w:p>
        </w:tc>
        <w:tc>
          <w:tcPr>
            <w:tcW w:w="481" w:type="pct"/>
            <w:shd w:val="clear" w:color="auto" w:fill="auto"/>
          </w:tcPr>
          <w:p w14:paraId="4090E208" w14:textId="77777777" w:rsidR="00833634" w:rsidRDefault="00833634">
            <w:pPr>
              <w:rPr>
                <w:rFonts w:ascii="宋体"/>
              </w:rPr>
            </w:pPr>
          </w:p>
        </w:tc>
        <w:tc>
          <w:tcPr>
            <w:tcW w:w="5" w:type="pct"/>
            <w:shd w:val="clear" w:color="auto" w:fill="auto"/>
          </w:tcPr>
          <w:p w14:paraId="4090E209" w14:textId="77777777" w:rsidR="00833634" w:rsidRDefault="00833634">
            <w:pPr>
              <w:rPr>
                <w:rFonts w:ascii="宋体"/>
              </w:rPr>
            </w:pPr>
          </w:p>
        </w:tc>
        <w:tc>
          <w:tcPr>
            <w:tcW w:w="5" w:type="pct"/>
            <w:shd w:val="clear" w:color="auto" w:fill="auto"/>
          </w:tcPr>
          <w:p w14:paraId="4090E20A" w14:textId="77777777" w:rsidR="00833634" w:rsidRDefault="00833634">
            <w:pPr>
              <w:rPr>
                <w:rFonts w:ascii="宋体"/>
              </w:rPr>
            </w:pPr>
          </w:p>
        </w:tc>
        <w:tc>
          <w:tcPr>
            <w:tcW w:w="30" w:type="pct"/>
            <w:shd w:val="clear" w:color="auto" w:fill="auto"/>
          </w:tcPr>
          <w:p w14:paraId="4090E20B" w14:textId="77777777" w:rsidR="00833634" w:rsidRDefault="00833634">
            <w:pPr>
              <w:rPr>
                <w:rFonts w:ascii="宋体"/>
              </w:rPr>
            </w:pPr>
          </w:p>
        </w:tc>
        <w:tc>
          <w:tcPr>
            <w:tcW w:w="5" w:type="pct"/>
            <w:shd w:val="clear" w:color="auto" w:fill="auto"/>
          </w:tcPr>
          <w:p w14:paraId="4090E20C" w14:textId="77777777" w:rsidR="00833634" w:rsidRDefault="00833634">
            <w:pPr>
              <w:rPr>
                <w:rFonts w:ascii="宋体"/>
              </w:rPr>
            </w:pPr>
          </w:p>
        </w:tc>
        <w:tc>
          <w:tcPr>
            <w:tcW w:w="50" w:type="pct"/>
            <w:shd w:val="clear" w:color="auto" w:fill="auto"/>
          </w:tcPr>
          <w:p w14:paraId="4090E20D" w14:textId="77777777" w:rsidR="00833634" w:rsidRDefault="00833634">
            <w:pPr>
              <w:rPr>
                <w:rFonts w:ascii="宋体"/>
              </w:rPr>
            </w:pPr>
          </w:p>
        </w:tc>
        <w:tc>
          <w:tcPr>
            <w:tcW w:w="481" w:type="pct"/>
            <w:shd w:val="clear" w:color="auto" w:fill="auto"/>
          </w:tcPr>
          <w:p w14:paraId="4090E20E" w14:textId="77777777" w:rsidR="00833634" w:rsidRDefault="00833634">
            <w:pPr>
              <w:rPr>
                <w:rFonts w:ascii="宋体"/>
              </w:rPr>
            </w:pPr>
          </w:p>
        </w:tc>
        <w:tc>
          <w:tcPr>
            <w:tcW w:w="5" w:type="pct"/>
            <w:shd w:val="clear" w:color="auto" w:fill="auto"/>
          </w:tcPr>
          <w:p w14:paraId="4090E20F" w14:textId="77777777" w:rsidR="00833634" w:rsidRDefault="00833634">
            <w:pPr>
              <w:rPr>
                <w:rFonts w:ascii="宋体"/>
              </w:rPr>
            </w:pPr>
          </w:p>
        </w:tc>
        <w:tc>
          <w:tcPr>
            <w:tcW w:w="5" w:type="pct"/>
            <w:shd w:val="clear" w:color="auto" w:fill="auto"/>
          </w:tcPr>
          <w:p w14:paraId="4090E210" w14:textId="77777777" w:rsidR="00833634" w:rsidRDefault="00833634">
            <w:pPr>
              <w:rPr>
                <w:rFonts w:ascii="宋体"/>
              </w:rPr>
            </w:pPr>
          </w:p>
        </w:tc>
        <w:tc>
          <w:tcPr>
            <w:tcW w:w="30" w:type="pct"/>
            <w:shd w:val="clear" w:color="auto" w:fill="auto"/>
          </w:tcPr>
          <w:p w14:paraId="4090E211" w14:textId="77777777" w:rsidR="00833634" w:rsidRDefault="00833634">
            <w:pPr>
              <w:rPr>
                <w:rFonts w:ascii="宋体"/>
              </w:rPr>
            </w:pPr>
          </w:p>
        </w:tc>
        <w:tc>
          <w:tcPr>
            <w:tcW w:w="5" w:type="pct"/>
            <w:shd w:val="clear" w:color="auto" w:fill="auto"/>
          </w:tcPr>
          <w:p w14:paraId="4090E212" w14:textId="77777777" w:rsidR="00833634" w:rsidRDefault="00833634">
            <w:pPr>
              <w:rPr>
                <w:rFonts w:ascii="宋体"/>
              </w:rPr>
            </w:pPr>
          </w:p>
        </w:tc>
        <w:tc>
          <w:tcPr>
            <w:tcW w:w="50" w:type="pct"/>
            <w:shd w:val="clear" w:color="auto" w:fill="auto"/>
          </w:tcPr>
          <w:p w14:paraId="4090E213" w14:textId="77777777" w:rsidR="00833634" w:rsidRDefault="00833634">
            <w:pPr>
              <w:rPr>
                <w:rFonts w:ascii="宋体"/>
              </w:rPr>
            </w:pPr>
          </w:p>
        </w:tc>
        <w:tc>
          <w:tcPr>
            <w:tcW w:w="481" w:type="pct"/>
            <w:shd w:val="clear" w:color="auto" w:fill="auto"/>
          </w:tcPr>
          <w:p w14:paraId="4090E214" w14:textId="77777777" w:rsidR="00833634" w:rsidRDefault="00833634">
            <w:pPr>
              <w:rPr>
                <w:rFonts w:ascii="宋体"/>
              </w:rPr>
            </w:pPr>
          </w:p>
        </w:tc>
        <w:tc>
          <w:tcPr>
            <w:tcW w:w="5" w:type="pct"/>
            <w:shd w:val="clear" w:color="auto" w:fill="auto"/>
          </w:tcPr>
          <w:p w14:paraId="4090E215" w14:textId="77777777" w:rsidR="00833634" w:rsidRDefault="00833634">
            <w:pPr>
              <w:rPr>
                <w:rFonts w:ascii="宋体"/>
              </w:rPr>
            </w:pPr>
          </w:p>
        </w:tc>
      </w:tr>
      <w:tr w:rsidR="00833634" w14:paraId="4090E21B"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17" w14:textId="77777777" w:rsidR="00833634" w:rsidRDefault="00E15D51">
            <w:pPr>
              <w:textAlignment w:val="bottom"/>
            </w:pPr>
            <w:r>
              <w:rPr>
                <w:rFonts w:ascii="Arial" w:eastAsia="宋体" w:hAnsi="Arial" w:cs="Arial"/>
                <w:i/>
                <w:iCs/>
                <w:color w:val="000000"/>
                <w:sz w:val="20"/>
                <w:szCs w:val="20"/>
              </w:rPr>
              <w:t>(In millions - except per share amounts)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090E218"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tcBorders>
              <w:top w:val="single" w:sz="8" w:space="0" w:color="000000"/>
            </w:tcBorders>
            <w:shd w:val="clear" w:color="auto" w:fill="auto"/>
            <w:tcMar>
              <w:top w:w="0" w:type="dxa"/>
              <w:left w:w="20" w:type="dxa"/>
              <w:bottom w:w="0" w:type="dxa"/>
              <w:right w:w="20" w:type="dxa"/>
            </w:tcMar>
          </w:tcPr>
          <w:p w14:paraId="4090E219" w14:textId="77777777" w:rsidR="00833634" w:rsidRDefault="00833634">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4090E21A"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224"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21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1D"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21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1F"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E22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21"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22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23" w14:textId="77777777" w:rsidR="00833634" w:rsidRDefault="00E15D51">
            <w:pPr>
              <w:jc w:val="right"/>
              <w:textAlignment w:val="bottom"/>
            </w:pPr>
            <w:r>
              <w:rPr>
                <w:rFonts w:ascii="Arial" w:eastAsia="宋体" w:hAnsi="Arial" w:cs="Arial"/>
                <w:color w:val="000000"/>
                <w:sz w:val="20"/>
                <w:szCs w:val="20"/>
              </w:rPr>
              <w:t>2019</w:t>
            </w:r>
          </w:p>
        </w:tc>
      </w:tr>
      <w:tr w:rsidR="00833634" w14:paraId="4090E23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225" w14:textId="77777777" w:rsidR="00833634" w:rsidRDefault="00E15D51">
            <w:pPr>
              <w:textAlignment w:val="bottom"/>
            </w:pPr>
            <w:r>
              <w:rPr>
                <w:rFonts w:ascii="Arial" w:eastAsia="宋体" w:hAnsi="Arial" w:cs="Arial"/>
                <w:color w:val="000000"/>
                <w:sz w:val="20"/>
                <w:szCs w:val="20"/>
              </w:rPr>
              <w:t>(Decrease)/increase to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26" w14:textId="77777777" w:rsidR="00833634" w:rsidRDefault="00E15D51">
            <w:pPr>
              <w:jc w:val="right"/>
              <w:textAlignment w:val="bottom"/>
            </w:pPr>
            <w:r>
              <w:rPr>
                <w:rFonts w:ascii="Arial" w:eastAsia="宋体" w:hAnsi="Arial" w:cs="Arial"/>
                <w:b/>
                <w:bCs/>
                <w:color w:val="000000"/>
                <w:sz w:val="20"/>
                <w:szCs w:val="20"/>
              </w:rPr>
              <w:t>($265)</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2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2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29" w14:textId="77777777" w:rsidR="00833634" w:rsidRDefault="00E15D51">
            <w:pPr>
              <w:jc w:val="right"/>
              <w:textAlignment w:val="bottom"/>
            </w:pPr>
            <w:r>
              <w:rPr>
                <w:rFonts w:ascii="Arial" w:eastAsia="宋体" w:hAnsi="Arial" w:cs="Arial"/>
                <w:color w:val="000000"/>
                <w:sz w:val="20"/>
                <w:szCs w:val="20"/>
              </w:rPr>
              <w:t>$166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2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2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2C" w14:textId="77777777" w:rsidR="00833634" w:rsidRDefault="00E15D51">
            <w:pPr>
              <w:jc w:val="right"/>
              <w:textAlignment w:val="bottom"/>
            </w:pPr>
            <w:r>
              <w:rPr>
                <w:rFonts w:ascii="Arial" w:eastAsia="宋体" w:hAnsi="Arial" w:cs="Arial"/>
                <w:b/>
                <w:bCs/>
                <w:color w:val="000000"/>
                <w:sz w:val="20"/>
                <w:szCs w:val="20"/>
              </w:rPr>
              <w:t>$25</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2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2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2F" w14:textId="77777777" w:rsidR="00833634" w:rsidRDefault="00E15D51">
            <w:pPr>
              <w:jc w:val="right"/>
              <w:textAlignment w:val="bottom"/>
            </w:pPr>
            <w:r>
              <w:rPr>
                <w:rFonts w:ascii="Arial" w:eastAsia="宋体" w:hAnsi="Arial" w:cs="Arial"/>
                <w:color w:val="000000"/>
                <w:sz w:val="20"/>
                <w:szCs w:val="20"/>
              </w:rPr>
              <w:t>($63)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30" w14:textId="77777777" w:rsidR="00833634" w:rsidRDefault="00833634">
            <w:pPr>
              <w:jc w:val="right"/>
              <w:rPr>
                <w:rFonts w:ascii="宋体"/>
              </w:rPr>
            </w:pPr>
          </w:p>
        </w:tc>
      </w:tr>
      <w:tr w:rsidR="00833634" w14:paraId="4090E23E" w14:textId="77777777">
        <w:tc>
          <w:tcPr>
            <w:tcW w:w="0" w:type="auto"/>
            <w:gridSpan w:val="3"/>
            <w:shd w:val="clear" w:color="auto" w:fill="FFFFFF"/>
            <w:tcMar>
              <w:top w:w="40" w:type="dxa"/>
              <w:left w:w="20" w:type="dxa"/>
              <w:bottom w:w="40" w:type="dxa"/>
              <w:right w:w="20" w:type="dxa"/>
            </w:tcMar>
            <w:vAlign w:val="bottom"/>
          </w:tcPr>
          <w:p w14:paraId="4090E232" w14:textId="77777777" w:rsidR="00833634" w:rsidRDefault="00E15D51">
            <w:pPr>
              <w:textAlignment w:val="bottom"/>
            </w:pPr>
            <w:r>
              <w:rPr>
                <w:rFonts w:ascii="Arial" w:eastAsia="宋体" w:hAnsi="Arial" w:cs="Arial"/>
                <w:color w:val="000000"/>
                <w:sz w:val="20"/>
                <w:szCs w:val="20"/>
              </w:rPr>
              <w:t>(Decrease)/increase to (Loss)/earnings from operations</w:t>
            </w:r>
          </w:p>
        </w:tc>
        <w:tc>
          <w:tcPr>
            <w:tcW w:w="0" w:type="auto"/>
            <w:gridSpan w:val="2"/>
            <w:shd w:val="clear" w:color="auto" w:fill="FFFFFF"/>
            <w:tcMar>
              <w:top w:w="40" w:type="dxa"/>
              <w:left w:w="20" w:type="dxa"/>
              <w:bottom w:w="40" w:type="dxa"/>
              <w:right w:w="0" w:type="dxa"/>
            </w:tcMar>
            <w:vAlign w:val="bottom"/>
          </w:tcPr>
          <w:p w14:paraId="4090E233" w14:textId="77777777" w:rsidR="00833634" w:rsidRDefault="00E15D51">
            <w:pPr>
              <w:jc w:val="right"/>
              <w:textAlignment w:val="bottom"/>
            </w:pPr>
            <w:r>
              <w:rPr>
                <w:rFonts w:ascii="Arial" w:eastAsia="宋体" w:hAnsi="Arial" w:cs="Arial"/>
                <w:b/>
                <w:bCs/>
                <w:color w:val="000000"/>
                <w:sz w:val="20"/>
                <w:szCs w:val="20"/>
              </w:rPr>
              <w:t>($787)</w:t>
            </w:r>
          </w:p>
        </w:tc>
        <w:tc>
          <w:tcPr>
            <w:tcW w:w="0" w:type="auto"/>
            <w:shd w:val="clear" w:color="auto" w:fill="FFFFFF"/>
            <w:tcMar>
              <w:top w:w="40" w:type="dxa"/>
              <w:left w:w="0" w:type="dxa"/>
              <w:bottom w:w="40" w:type="dxa"/>
              <w:right w:w="20" w:type="dxa"/>
            </w:tcMar>
            <w:vAlign w:val="bottom"/>
          </w:tcPr>
          <w:p w14:paraId="4090E23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23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236" w14:textId="77777777" w:rsidR="00833634" w:rsidRDefault="00E15D51">
            <w:pPr>
              <w:jc w:val="right"/>
              <w:textAlignment w:val="bottom"/>
            </w:pPr>
            <w:r>
              <w:rPr>
                <w:rFonts w:ascii="Arial" w:eastAsia="宋体" w:hAnsi="Arial" w:cs="Arial"/>
                <w:color w:val="000000"/>
                <w:sz w:val="20"/>
                <w:szCs w:val="20"/>
              </w:rPr>
              <w:t>$152 </w:t>
            </w:r>
          </w:p>
        </w:tc>
        <w:tc>
          <w:tcPr>
            <w:tcW w:w="0" w:type="auto"/>
            <w:shd w:val="clear" w:color="auto" w:fill="FFFFFF"/>
            <w:tcMar>
              <w:top w:w="40" w:type="dxa"/>
              <w:left w:w="0" w:type="dxa"/>
              <w:bottom w:w="40" w:type="dxa"/>
              <w:right w:w="20" w:type="dxa"/>
            </w:tcMar>
            <w:vAlign w:val="bottom"/>
          </w:tcPr>
          <w:p w14:paraId="4090E23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23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239" w14:textId="77777777" w:rsidR="00833634" w:rsidRDefault="00E15D51">
            <w:pPr>
              <w:jc w:val="right"/>
              <w:textAlignment w:val="bottom"/>
            </w:pPr>
            <w:r>
              <w:rPr>
                <w:rFonts w:ascii="Arial" w:eastAsia="宋体" w:hAnsi="Arial" w:cs="Arial"/>
                <w:b/>
                <w:bCs/>
                <w:color w:val="000000"/>
                <w:sz w:val="20"/>
                <w:szCs w:val="20"/>
              </w:rPr>
              <w:t>($38)</w:t>
            </w:r>
          </w:p>
        </w:tc>
        <w:tc>
          <w:tcPr>
            <w:tcW w:w="0" w:type="auto"/>
            <w:shd w:val="clear" w:color="auto" w:fill="FFFFFF"/>
            <w:tcMar>
              <w:top w:w="40" w:type="dxa"/>
              <w:left w:w="0" w:type="dxa"/>
              <w:bottom w:w="40" w:type="dxa"/>
              <w:right w:w="20" w:type="dxa"/>
            </w:tcMar>
            <w:vAlign w:val="bottom"/>
          </w:tcPr>
          <w:p w14:paraId="4090E23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23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23C" w14:textId="77777777" w:rsidR="00833634" w:rsidRDefault="00E15D51">
            <w:pPr>
              <w:jc w:val="right"/>
              <w:textAlignment w:val="bottom"/>
            </w:pPr>
            <w:r>
              <w:rPr>
                <w:rFonts w:ascii="Arial" w:eastAsia="宋体" w:hAnsi="Arial" w:cs="Arial"/>
                <w:color w:val="000000"/>
                <w:sz w:val="20"/>
                <w:szCs w:val="20"/>
              </w:rPr>
              <w:t>($23)</w:t>
            </w:r>
          </w:p>
        </w:tc>
        <w:tc>
          <w:tcPr>
            <w:tcW w:w="0" w:type="auto"/>
            <w:shd w:val="clear" w:color="auto" w:fill="FFFFFF"/>
            <w:tcMar>
              <w:top w:w="40" w:type="dxa"/>
              <w:left w:w="0" w:type="dxa"/>
              <w:bottom w:w="40" w:type="dxa"/>
              <w:right w:w="20" w:type="dxa"/>
            </w:tcMar>
            <w:vAlign w:val="bottom"/>
          </w:tcPr>
          <w:p w14:paraId="4090E23D" w14:textId="77777777" w:rsidR="00833634" w:rsidRDefault="00833634">
            <w:pPr>
              <w:jc w:val="right"/>
              <w:rPr>
                <w:rFonts w:ascii="宋体"/>
              </w:rPr>
            </w:pPr>
          </w:p>
        </w:tc>
      </w:tr>
      <w:tr w:rsidR="00833634" w14:paraId="4090E24B"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E23F" w14:textId="77777777" w:rsidR="00833634" w:rsidRDefault="00E15D51">
            <w:pPr>
              <w:textAlignment w:val="bottom"/>
            </w:pPr>
            <w:r>
              <w:rPr>
                <w:rFonts w:ascii="Arial" w:eastAsia="宋体" w:hAnsi="Arial" w:cs="Arial"/>
                <w:color w:val="000000"/>
                <w:sz w:val="20"/>
                <w:szCs w:val="20"/>
              </w:rPr>
              <w:t>(Decrease)/increase to Diluted EPS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E240" w14:textId="77777777" w:rsidR="00833634" w:rsidRDefault="00E15D51">
            <w:pPr>
              <w:jc w:val="right"/>
              <w:textAlignment w:val="bottom"/>
            </w:pPr>
            <w:r>
              <w:rPr>
                <w:rFonts w:ascii="Arial" w:eastAsia="宋体" w:hAnsi="Arial" w:cs="Arial"/>
                <w:b/>
                <w:bCs/>
                <w:color w:val="000000"/>
                <w:sz w:val="20"/>
                <w:szCs w:val="20"/>
              </w:rPr>
              <w:t>($0.83)</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E241" w14:textId="77777777" w:rsidR="00833634" w:rsidRDefault="00833634">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4090E242"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E243" w14:textId="77777777" w:rsidR="00833634" w:rsidRDefault="00E15D51">
            <w:pPr>
              <w:jc w:val="right"/>
              <w:textAlignment w:val="bottom"/>
            </w:pPr>
            <w:r>
              <w:rPr>
                <w:rFonts w:ascii="Arial" w:eastAsia="宋体" w:hAnsi="Arial" w:cs="Arial"/>
                <w:color w:val="000000"/>
                <w:sz w:val="20"/>
                <w:szCs w:val="20"/>
              </w:rPr>
              <w:t>$1.20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E244" w14:textId="77777777" w:rsidR="00833634" w:rsidRDefault="00833634">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4090E245"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E246" w14:textId="77777777" w:rsidR="00833634" w:rsidRDefault="00E15D51">
            <w:pPr>
              <w:jc w:val="right"/>
              <w:textAlignment w:val="bottom"/>
            </w:pPr>
            <w:r>
              <w:rPr>
                <w:rFonts w:ascii="Arial" w:eastAsia="宋体" w:hAnsi="Arial" w:cs="Arial"/>
                <w:b/>
                <w:bCs/>
                <w:color w:val="000000"/>
                <w:sz w:val="20"/>
                <w:szCs w:val="20"/>
              </w:rPr>
              <w:t>($0.03)</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E247" w14:textId="77777777" w:rsidR="00833634" w:rsidRDefault="00833634">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4090E248"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E249" w14:textId="77777777" w:rsidR="00833634" w:rsidRDefault="00E15D51">
            <w:pPr>
              <w:jc w:val="right"/>
              <w:textAlignment w:val="bottom"/>
            </w:pPr>
            <w:r>
              <w:rPr>
                <w:rFonts w:ascii="Arial" w:eastAsia="宋体" w:hAnsi="Arial" w:cs="Arial"/>
                <w:color w:val="000000"/>
                <w:sz w:val="20"/>
                <w:szCs w:val="20"/>
              </w:rPr>
              <w:t>($0.04)</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E24A" w14:textId="77777777" w:rsidR="00833634" w:rsidRDefault="00833634">
            <w:pPr>
              <w:jc w:val="right"/>
              <w:rPr>
                <w:rFonts w:ascii="宋体"/>
              </w:rPr>
            </w:pPr>
          </w:p>
        </w:tc>
      </w:tr>
    </w:tbl>
    <w:p w14:paraId="4090E24C" w14:textId="77777777" w:rsidR="00833634" w:rsidRDefault="00E15D51">
      <w:pPr>
        <w:spacing w:before="300" w:after="180"/>
        <w:jc w:val="both"/>
      </w:pPr>
      <w:r>
        <w:rPr>
          <w:rFonts w:ascii="Arial" w:eastAsia="宋体" w:hAnsi="Arial" w:cs="Arial"/>
          <w:b/>
          <w:bCs/>
          <w:color w:val="000000"/>
          <w:sz w:val="20"/>
          <w:szCs w:val="20"/>
        </w:rPr>
        <w:t xml:space="preserve">Note 2 – Goodwill and Acquired Intangibles </w:t>
      </w:r>
    </w:p>
    <w:p w14:paraId="4090E24D" w14:textId="77777777" w:rsidR="00833634" w:rsidRDefault="00E15D51">
      <w:pPr>
        <w:spacing w:after="180"/>
        <w:jc w:val="both"/>
      </w:pPr>
      <w:r>
        <w:rPr>
          <w:rFonts w:ascii="Arial" w:eastAsia="宋体" w:hAnsi="Arial" w:cs="Arial"/>
          <w:color w:val="000000"/>
          <w:sz w:val="20"/>
          <w:szCs w:val="20"/>
        </w:rPr>
        <w:t xml:space="preserve">In the first quarter of 2020, we adopted ASU 2017-04, </w:t>
      </w:r>
      <w:r>
        <w:rPr>
          <w:rFonts w:ascii="Arial" w:eastAsia="宋体" w:hAnsi="Arial" w:cs="Arial"/>
          <w:i/>
          <w:iCs/>
          <w:color w:val="000000"/>
          <w:sz w:val="20"/>
          <w:szCs w:val="20"/>
        </w:rPr>
        <w:t>Intangibles-Goodwill and Other (Topic 350): Simplifying the Test for Goodwill Impairment</w:t>
      </w:r>
      <w:r>
        <w:rPr>
          <w:rFonts w:ascii="Arial" w:eastAsia="宋体" w:hAnsi="Arial" w:cs="Arial"/>
          <w:color w:val="000000"/>
          <w:sz w:val="20"/>
          <w:szCs w:val="20"/>
        </w:rPr>
        <w:t>. The standard simplifies the quantitative impairment test from a two-step process to a one-step process. The quan</w:t>
      </w:r>
      <w:r>
        <w:rPr>
          <w:rFonts w:ascii="Arial" w:eastAsia="宋体" w:hAnsi="Arial" w:cs="Arial"/>
          <w:color w:val="000000"/>
          <w:sz w:val="20"/>
          <w:szCs w:val="20"/>
        </w:rPr>
        <w:t>titative test is performed by comparing the carrying value of net assets to the estimated fair value of the related operations. If the fair value is determined to be less than carrying value, the shortfall up to the carrying value of the goodwill represent</w:t>
      </w:r>
      <w:r>
        <w:rPr>
          <w:rFonts w:ascii="Arial" w:eastAsia="宋体" w:hAnsi="Arial" w:cs="Arial"/>
          <w:color w:val="000000"/>
          <w:sz w:val="20"/>
          <w:szCs w:val="20"/>
        </w:rPr>
        <w:t>s the amount of goodwill impairment. The standard continues to permit a company to test goodwill for impairment by performing a qualitative assessment or using the quantitative test.</w:t>
      </w:r>
    </w:p>
    <w:p w14:paraId="4090E24E" w14:textId="77777777" w:rsidR="00833634" w:rsidRDefault="00E15D51">
      <w:pPr>
        <w:spacing w:after="180"/>
        <w:jc w:val="both"/>
      </w:pPr>
      <w:r>
        <w:rPr>
          <w:rFonts w:ascii="Arial" w:eastAsia="宋体" w:hAnsi="Arial" w:cs="Arial"/>
          <w:color w:val="000000"/>
          <w:sz w:val="20"/>
          <w:szCs w:val="20"/>
        </w:rPr>
        <w:t>We completed our annual assessment of goodwill as of April 1, 2020 and de</w:t>
      </w:r>
      <w:r>
        <w:rPr>
          <w:rFonts w:ascii="Arial" w:eastAsia="宋体" w:hAnsi="Arial" w:cs="Arial"/>
          <w:color w:val="000000"/>
          <w:sz w:val="20"/>
          <w:szCs w:val="20"/>
        </w:rPr>
        <w:t>termined that the fair value of each reporting unit exceeded its corresponding carrying value and that there is no impairment of goodwill.</w:t>
      </w:r>
    </w:p>
    <w:p w14:paraId="4090E24F" w14:textId="77777777" w:rsidR="00833634" w:rsidRDefault="00E15D51">
      <w:pPr>
        <w:jc w:val="both"/>
      </w:pPr>
      <w:r>
        <w:rPr>
          <w:rFonts w:ascii="Arial" w:eastAsia="宋体" w:hAnsi="Arial" w:cs="Arial"/>
          <w:color w:val="000000"/>
          <w:sz w:val="20"/>
          <w:szCs w:val="20"/>
        </w:rPr>
        <w:t>As a result of the continuing significant adverse impacts of the COVID-19 pandemic on our Commercial Airplanes and Co</w:t>
      </w:r>
      <w:r>
        <w:rPr>
          <w:rFonts w:ascii="Arial" w:eastAsia="宋体" w:hAnsi="Arial" w:cs="Arial"/>
          <w:color w:val="000000"/>
          <w:sz w:val="20"/>
          <w:szCs w:val="20"/>
        </w:rPr>
        <w:t>mmercial Services businesses, we concluded it is a triggering event for testing whether goodwill recorded by our Commercial Airplanes and Commercial Services reporting units is impaired. At September 30, 2020, Commercial Airplanes has $1,315 of goodwill an</w:t>
      </w:r>
      <w:r>
        <w:rPr>
          <w:rFonts w:ascii="Arial" w:eastAsia="宋体" w:hAnsi="Arial" w:cs="Arial"/>
          <w:color w:val="000000"/>
          <w:sz w:val="20"/>
          <w:szCs w:val="20"/>
        </w:rPr>
        <w:t xml:space="preserve">d Commercial Services has $3,078. We performed a qualitative assessment and determined it is not more likely than not that the fair values of our Commercial Airplane and Commercial Services reporting units were less than their carrying </w:t>
      </w:r>
    </w:p>
    <w:p w14:paraId="4090E250" w14:textId="77777777" w:rsidR="00833634" w:rsidRDefault="00E15D51">
      <w:pPr>
        <w:spacing w:after="180"/>
        <w:jc w:val="center"/>
      </w:pPr>
      <w:r>
        <w:rPr>
          <w:rFonts w:ascii="Arial" w:eastAsia="宋体" w:hAnsi="Arial" w:cs="Arial"/>
          <w:color w:val="000000"/>
          <w:sz w:val="18"/>
          <w:szCs w:val="18"/>
        </w:rPr>
        <w:t>10</w:t>
      </w:r>
    </w:p>
    <w:p w14:paraId="4090E251" w14:textId="77777777" w:rsidR="00833634" w:rsidRDefault="00E15D51">
      <w:r>
        <w:pict w14:anchorId="4090FE2A">
          <v:rect id="_x0000_i1036" style="width:415.3pt;height:1.5pt" o:hralign="center" o:hrstd="t" o:hr="t" fillcolor="#a0a0a0" stroked="f"/>
        </w:pict>
      </w:r>
    </w:p>
    <w:p w14:paraId="4090E252" w14:textId="77777777" w:rsidR="00833634" w:rsidRDefault="00E15D51">
      <w:pPr>
        <w:spacing w:after="180"/>
        <w:jc w:val="both"/>
      </w:pPr>
      <w:hyperlink r:id="rId113" w:anchor="i8d805bfb1e1c4815a1dcd5b6d1e0b117_10" w:history="1">
        <w:r>
          <w:rPr>
            <w:rStyle w:val="a5"/>
            <w:rFonts w:ascii="Arial" w:eastAsia="宋体" w:hAnsi="Arial" w:cs="Arial"/>
            <w:sz w:val="18"/>
            <w:szCs w:val="18"/>
          </w:rPr>
          <w:t>Table of Contents</w:t>
        </w:r>
      </w:hyperlink>
    </w:p>
    <w:p w14:paraId="4090E253" w14:textId="77777777" w:rsidR="00833634" w:rsidRDefault="00E15D51">
      <w:pPr>
        <w:jc w:val="both"/>
      </w:pPr>
      <w:r>
        <w:rPr>
          <w:rFonts w:ascii="Arial" w:eastAsia="宋体" w:hAnsi="Arial" w:cs="Arial"/>
          <w:color w:val="000000"/>
          <w:sz w:val="20"/>
          <w:szCs w:val="20"/>
        </w:rPr>
        <w:t>values as of September 30, 2020. We will continue to monitor the impacts of the COVID-</w:t>
      </w:r>
      <w:r>
        <w:rPr>
          <w:rFonts w:ascii="Arial" w:eastAsia="宋体" w:hAnsi="Arial" w:cs="Arial"/>
          <w:color w:val="000000"/>
          <w:sz w:val="20"/>
          <w:szCs w:val="20"/>
        </w:rPr>
        <w:t>19 pandemic in future quarters. Changes in our forecasts, especially with respect to our Commercial Services reporting unit, or further decreases in the value of our common stock could cause book values to exceed fair values which may result in goodwill im</w:t>
      </w:r>
      <w:r>
        <w:rPr>
          <w:rFonts w:ascii="Arial" w:eastAsia="宋体" w:hAnsi="Arial" w:cs="Arial"/>
          <w:color w:val="000000"/>
          <w:sz w:val="20"/>
          <w:szCs w:val="20"/>
        </w:rPr>
        <w:t>pairment charges in future periods.</w:t>
      </w:r>
    </w:p>
    <w:p w14:paraId="4090E254" w14:textId="77777777" w:rsidR="00833634" w:rsidRDefault="00E15D51">
      <w:pPr>
        <w:spacing w:before="300" w:after="180"/>
        <w:jc w:val="both"/>
      </w:pPr>
      <w:r>
        <w:rPr>
          <w:rFonts w:ascii="Arial" w:eastAsia="宋体" w:hAnsi="Arial" w:cs="Arial"/>
          <w:b/>
          <w:bCs/>
          <w:color w:val="000000"/>
          <w:sz w:val="20"/>
          <w:szCs w:val="20"/>
        </w:rPr>
        <w:t>Note 3 – Earnings Per Share</w:t>
      </w:r>
    </w:p>
    <w:p w14:paraId="4090E255" w14:textId="77777777" w:rsidR="00833634" w:rsidRDefault="00E15D51">
      <w:pPr>
        <w:spacing w:after="300"/>
        <w:jc w:val="both"/>
      </w:pPr>
      <w:r>
        <w:rPr>
          <w:rFonts w:ascii="Arial" w:eastAsia="宋体" w:hAnsi="Arial" w:cs="Arial"/>
          <w:color w:val="000000"/>
          <w:sz w:val="20"/>
          <w:szCs w:val="20"/>
        </w:rPr>
        <w:t>Basic and diluted earnings per share are computed using the two-class method, which is an earnings allocation method that determines earnings per share for common shares and participating secu</w:t>
      </w:r>
      <w:r>
        <w:rPr>
          <w:rFonts w:ascii="Arial" w:eastAsia="宋体" w:hAnsi="Arial" w:cs="Arial"/>
          <w:color w:val="000000"/>
          <w:sz w:val="20"/>
          <w:szCs w:val="20"/>
        </w:rPr>
        <w:t>rities. The undistributed earnings are allocated between common shares and participating securities as if all earnings had been distributed during the period. Participating securities and common shares have equal rights to undistributed earnings.</w:t>
      </w:r>
    </w:p>
    <w:p w14:paraId="4090E256" w14:textId="77777777" w:rsidR="00833634" w:rsidRDefault="00E15D51">
      <w:pPr>
        <w:spacing w:after="180"/>
        <w:jc w:val="both"/>
      </w:pPr>
      <w:r>
        <w:rPr>
          <w:rFonts w:ascii="Arial" w:eastAsia="宋体" w:hAnsi="Arial" w:cs="Arial"/>
          <w:color w:val="000000"/>
          <w:sz w:val="20"/>
          <w:szCs w:val="20"/>
        </w:rPr>
        <w:t>Basic ear</w:t>
      </w:r>
      <w:r>
        <w:rPr>
          <w:rFonts w:ascii="Arial" w:eastAsia="宋体" w:hAnsi="Arial" w:cs="Arial"/>
          <w:color w:val="000000"/>
          <w:sz w:val="20"/>
          <w:szCs w:val="20"/>
        </w:rPr>
        <w:t>nings per share is calculated by taking net earnings, less earnings available to participating securities, divided by the basic weighted average common shares outstanding.</w:t>
      </w:r>
    </w:p>
    <w:p w14:paraId="4090E257" w14:textId="77777777" w:rsidR="00833634" w:rsidRDefault="00E15D51">
      <w:pPr>
        <w:spacing w:after="180"/>
        <w:jc w:val="both"/>
      </w:pPr>
      <w:r>
        <w:rPr>
          <w:rFonts w:ascii="Arial" w:eastAsia="宋体" w:hAnsi="Arial" w:cs="Arial"/>
          <w:color w:val="000000"/>
          <w:sz w:val="20"/>
          <w:szCs w:val="20"/>
        </w:rPr>
        <w:t>Diluted earnings per share is calculated by taking net earnings, less earnings avail</w:t>
      </w:r>
      <w:r>
        <w:rPr>
          <w:rFonts w:ascii="Arial" w:eastAsia="宋体" w:hAnsi="Arial" w:cs="Arial"/>
          <w:color w:val="000000"/>
          <w:sz w:val="20"/>
          <w:szCs w:val="20"/>
        </w:rPr>
        <w:t>able to participating securities, divided by the diluted weighted average common shares outstanding.</w:t>
      </w:r>
    </w:p>
    <w:p w14:paraId="4090E258" w14:textId="77777777" w:rsidR="00833634" w:rsidRDefault="00E15D51">
      <w:pPr>
        <w:jc w:val="both"/>
      </w:pPr>
      <w:r>
        <w:rPr>
          <w:rFonts w:ascii="Arial" w:eastAsia="宋体" w:hAnsi="Arial" w:cs="Arial"/>
          <w:color w:val="000000"/>
          <w:sz w:val="20"/>
          <w:szCs w:val="20"/>
        </w:rPr>
        <w:t>The elements used in the computation of basic and diluted earnings per share were as follows:</w:t>
      </w:r>
    </w:p>
    <w:tbl>
      <w:tblPr>
        <w:tblW w:w="5000" w:type="pct"/>
        <w:tblCellMar>
          <w:top w:w="15" w:type="dxa"/>
          <w:left w:w="15" w:type="dxa"/>
          <w:bottom w:w="15" w:type="dxa"/>
          <w:right w:w="15" w:type="dxa"/>
        </w:tblCellMar>
        <w:tblLook w:val="04A0" w:firstRow="1" w:lastRow="0" w:firstColumn="1" w:lastColumn="0" w:noHBand="0" w:noVBand="1"/>
      </w:tblPr>
      <w:tblGrid>
        <w:gridCol w:w="59"/>
        <w:gridCol w:w="4442"/>
        <w:gridCol w:w="37"/>
        <w:gridCol w:w="73"/>
        <w:gridCol w:w="764"/>
        <w:gridCol w:w="37"/>
        <w:gridCol w:w="37"/>
        <w:gridCol w:w="37"/>
        <w:gridCol w:w="37"/>
        <w:gridCol w:w="55"/>
        <w:gridCol w:w="771"/>
        <w:gridCol w:w="36"/>
        <w:gridCol w:w="36"/>
        <w:gridCol w:w="36"/>
        <w:gridCol w:w="36"/>
        <w:gridCol w:w="62"/>
        <w:gridCol w:w="768"/>
        <w:gridCol w:w="37"/>
        <w:gridCol w:w="37"/>
        <w:gridCol w:w="37"/>
        <w:gridCol w:w="37"/>
        <w:gridCol w:w="65"/>
        <w:gridCol w:w="764"/>
        <w:gridCol w:w="36"/>
      </w:tblGrid>
      <w:tr w:rsidR="00833634" w14:paraId="4090E271" w14:textId="77777777">
        <w:tc>
          <w:tcPr>
            <w:tcW w:w="50" w:type="pct"/>
            <w:shd w:val="clear" w:color="auto" w:fill="auto"/>
          </w:tcPr>
          <w:p w14:paraId="4090E259" w14:textId="77777777" w:rsidR="00833634" w:rsidRDefault="00833634">
            <w:pPr>
              <w:rPr>
                <w:rFonts w:ascii="宋体"/>
              </w:rPr>
            </w:pPr>
          </w:p>
        </w:tc>
        <w:tc>
          <w:tcPr>
            <w:tcW w:w="2677" w:type="pct"/>
            <w:shd w:val="clear" w:color="auto" w:fill="auto"/>
          </w:tcPr>
          <w:p w14:paraId="4090E25A" w14:textId="77777777" w:rsidR="00833634" w:rsidRDefault="00833634">
            <w:pPr>
              <w:rPr>
                <w:rFonts w:ascii="宋体"/>
              </w:rPr>
            </w:pPr>
          </w:p>
        </w:tc>
        <w:tc>
          <w:tcPr>
            <w:tcW w:w="5" w:type="pct"/>
            <w:shd w:val="clear" w:color="auto" w:fill="auto"/>
          </w:tcPr>
          <w:p w14:paraId="4090E25B" w14:textId="77777777" w:rsidR="00833634" w:rsidRDefault="00833634">
            <w:pPr>
              <w:rPr>
                <w:rFonts w:ascii="宋体"/>
              </w:rPr>
            </w:pPr>
          </w:p>
        </w:tc>
        <w:tc>
          <w:tcPr>
            <w:tcW w:w="50" w:type="pct"/>
            <w:shd w:val="clear" w:color="auto" w:fill="auto"/>
          </w:tcPr>
          <w:p w14:paraId="4090E25C" w14:textId="77777777" w:rsidR="00833634" w:rsidRDefault="00833634">
            <w:pPr>
              <w:rPr>
                <w:rFonts w:ascii="宋体"/>
              </w:rPr>
            </w:pPr>
          </w:p>
        </w:tc>
        <w:tc>
          <w:tcPr>
            <w:tcW w:w="481" w:type="pct"/>
            <w:shd w:val="clear" w:color="auto" w:fill="auto"/>
          </w:tcPr>
          <w:p w14:paraId="4090E25D" w14:textId="77777777" w:rsidR="00833634" w:rsidRDefault="00833634">
            <w:pPr>
              <w:rPr>
                <w:rFonts w:ascii="宋体"/>
              </w:rPr>
            </w:pPr>
          </w:p>
        </w:tc>
        <w:tc>
          <w:tcPr>
            <w:tcW w:w="5" w:type="pct"/>
            <w:shd w:val="clear" w:color="auto" w:fill="auto"/>
          </w:tcPr>
          <w:p w14:paraId="4090E25E" w14:textId="77777777" w:rsidR="00833634" w:rsidRDefault="00833634">
            <w:pPr>
              <w:rPr>
                <w:rFonts w:ascii="宋体"/>
              </w:rPr>
            </w:pPr>
          </w:p>
        </w:tc>
        <w:tc>
          <w:tcPr>
            <w:tcW w:w="5" w:type="pct"/>
            <w:shd w:val="clear" w:color="auto" w:fill="auto"/>
          </w:tcPr>
          <w:p w14:paraId="4090E25F" w14:textId="77777777" w:rsidR="00833634" w:rsidRDefault="00833634">
            <w:pPr>
              <w:rPr>
                <w:rFonts w:ascii="宋体"/>
              </w:rPr>
            </w:pPr>
          </w:p>
        </w:tc>
        <w:tc>
          <w:tcPr>
            <w:tcW w:w="30" w:type="pct"/>
            <w:shd w:val="clear" w:color="auto" w:fill="auto"/>
          </w:tcPr>
          <w:p w14:paraId="4090E260" w14:textId="77777777" w:rsidR="00833634" w:rsidRDefault="00833634">
            <w:pPr>
              <w:rPr>
                <w:rFonts w:ascii="宋体"/>
              </w:rPr>
            </w:pPr>
          </w:p>
        </w:tc>
        <w:tc>
          <w:tcPr>
            <w:tcW w:w="5" w:type="pct"/>
            <w:shd w:val="clear" w:color="auto" w:fill="auto"/>
          </w:tcPr>
          <w:p w14:paraId="4090E261" w14:textId="77777777" w:rsidR="00833634" w:rsidRDefault="00833634">
            <w:pPr>
              <w:rPr>
                <w:rFonts w:ascii="宋体"/>
              </w:rPr>
            </w:pPr>
          </w:p>
        </w:tc>
        <w:tc>
          <w:tcPr>
            <w:tcW w:w="50" w:type="pct"/>
            <w:shd w:val="clear" w:color="auto" w:fill="auto"/>
          </w:tcPr>
          <w:p w14:paraId="4090E262" w14:textId="77777777" w:rsidR="00833634" w:rsidRDefault="00833634">
            <w:pPr>
              <w:rPr>
                <w:rFonts w:ascii="宋体"/>
              </w:rPr>
            </w:pPr>
          </w:p>
        </w:tc>
        <w:tc>
          <w:tcPr>
            <w:tcW w:w="481" w:type="pct"/>
            <w:shd w:val="clear" w:color="auto" w:fill="auto"/>
          </w:tcPr>
          <w:p w14:paraId="4090E263" w14:textId="77777777" w:rsidR="00833634" w:rsidRDefault="00833634">
            <w:pPr>
              <w:rPr>
                <w:rFonts w:ascii="宋体"/>
              </w:rPr>
            </w:pPr>
          </w:p>
        </w:tc>
        <w:tc>
          <w:tcPr>
            <w:tcW w:w="5" w:type="pct"/>
            <w:shd w:val="clear" w:color="auto" w:fill="auto"/>
          </w:tcPr>
          <w:p w14:paraId="4090E264" w14:textId="77777777" w:rsidR="00833634" w:rsidRDefault="00833634">
            <w:pPr>
              <w:rPr>
                <w:rFonts w:ascii="宋体"/>
              </w:rPr>
            </w:pPr>
          </w:p>
        </w:tc>
        <w:tc>
          <w:tcPr>
            <w:tcW w:w="5" w:type="pct"/>
            <w:shd w:val="clear" w:color="auto" w:fill="auto"/>
          </w:tcPr>
          <w:p w14:paraId="4090E265" w14:textId="77777777" w:rsidR="00833634" w:rsidRDefault="00833634">
            <w:pPr>
              <w:rPr>
                <w:rFonts w:ascii="宋体"/>
              </w:rPr>
            </w:pPr>
          </w:p>
        </w:tc>
        <w:tc>
          <w:tcPr>
            <w:tcW w:w="30" w:type="pct"/>
            <w:shd w:val="clear" w:color="auto" w:fill="auto"/>
          </w:tcPr>
          <w:p w14:paraId="4090E266" w14:textId="77777777" w:rsidR="00833634" w:rsidRDefault="00833634">
            <w:pPr>
              <w:rPr>
                <w:rFonts w:ascii="宋体"/>
              </w:rPr>
            </w:pPr>
          </w:p>
        </w:tc>
        <w:tc>
          <w:tcPr>
            <w:tcW w:w="5" w:type="pct"/>
            <w:shd w:val="clear" w:color="auto" w:fill="auto"/>
          </w:tcPr>
          <w:p w14:paraId="4090E267" w14:textId="77777777" w:rsidR="00833634" w:rsidRDefault="00833634">
            <w:pPr>
              <w:rPr>
                <w:rFonts w:ascii="宋体"/>
              </w:rPr>
            </w:pPr>
          </w:p>
        </w:tc>
        <w:tc>
          <w:tcPr>
            <w:tcW w:w="50" w:type="pct"/>
            <w:shd w:val="clear" w:color="auto" w:fill="auto"/>
          </w:tcPr>
          <w:p w14:paraId="4090E268" w14:textId="77777777" w:rsidR="00833634" w:rsidRDefault="00833634">
            <w:pPr>
              <w:rPr>
                <w:rFonts w:ascii="宋体"/>
              </w:rPr>
            </w:pPr>
          </w:p>
        </w:tc>
        <w:tc>
          <w:tcPr>
            <w:tcW w:w="481" w:type="pct"/>
            <w:shd w:val="clear" w:color="auto" w:fill="auto"/>
          </w:tcPr>
          <w:p w14:paraId="4090E269" w14:textId="77777777" w:rsidR="00833634" w:rsidRDefault="00833634">
            <w:pPr>
              <w:rPr>
                <w:rFonts w:ascii="宋体"/>
              </w:rPr>
            </w:pPr>
          </w:p>
        </w:tc>
        <w:tc>
          <w:tcPr>
            <w:tcW w:w="5" w:type="pct"/>
            <w:shd w:val="clear" w:color="auto" w:fill="auto"/>
          </w:tcPr>
          <w:p w14:paraId="4090E26A" w14:textId="77777777" w:rsidR="00833634" w:rsidRDefault="00833634">
            <w:pPr>
              <w:rPr>
                <w:rFonts w:ascii="宋体"/>
              </w:rPr>
            </w:pPr>
          </w:p>
        </w:tc>
        <w:tc>
          <w:tcPr>
            <w:tcW w:w="5" w:type="pct"/>
            <w:shd w:val="clear" w:color="auto" w:fill="auto"/>
          </w:tcPr>
          <w:p w14:paraId="4090E26B" w14:textId="77777777" w:rsidR="00833634" w:rsidRDefault="00833634">
            <w:pPr>
              <w:rPr>
                <w:rFonts w:ascii="宋体"/>
              </w:rPr>
            </w:pPr>
          </w:p>
        </w:tc>
        <w:tc>
          <w:tcPr>
            <w:tcW w:w="30" w:type="pct"/>
            <w:shd w:val="clear" w:color="auto" w:fill="auto"/>
          </w:tcPr>
          <w:p w14:paraId="4090E26C" w14:textId="77777777" w:rsidR="00833634" w:rsidRDefault="00833634">
            <w:pPr>
              <w:rPr>
                <w:rFonts w:ascii="宋体"/>
              </w:rPr>
            </w:pPr>
          </w:p>
        </w:tc>
        <w:tc>
          <w:tcPr>
            <w:tcW w:w="5" w:type="pct"/>
            <w:shd w:val="clear" w:color="auto" w:fill="auto"/>
          </w:tcPr>
          <w:p w14:paraId="4090E26D" w14:textId="77777777" w:rsidR="00833634" w:rsidRDefault="00833634">
            <w:pPr>
              <w:rPr>
                <w:rFonts w:ascii="宋体"/>
              </w:rPr>
            </w:pPr>
          </w:p>
        </w:tc>
        <w:tc>
          <w:tcPr>
            <w:tcW w:w="50" w:type="pct"/>
            <w:shd w:val="clear" w:color="auto" w:fill="auto"/>
          </w:tcPr>
          <w:p w14:paraId="4090E26E" w14:textId="77777777" w:rsidR="00833634" w:rsidRDefault="00833634">
            <w:pPr>
              <w:rPr>
                <w:rFonts w:ascii="宋体"/>
              </w:rPr>
            </w:pPr>
          </w:p>
        </w:tc>
        <w:tc>
          <w:tcPr>
            <w:tcW w:w="481" w:type="pct"/>
            <w:shd w:val="clear" w:color="auto" w:fill="auto"/>
          </w:tcPr>
          <w:p w14:paraId="4090E26F" w14:textId="77777777" w:rsidR="00833634" w:rsidRDefault="00833634">
            <w:pPr>
              <w:rPr>
                <w:rFonts w:ascii="宋体"/>
              </w:rPr>
            </w:pPr>
          </w:p>
        </w:tc>
        <w:tc>
          <w:tcPr>
            <w:tcW w:w="5" w:type="pct"/>
            <w:shd w:val="clear" w:color="auto" w:fill="auto"/>
          </w:tcPr>
          <w:p w14:paraId="4090E270" w14:textId="77777777" w:rsidR="00833634" w:rsidRDefault="00833634">
            <w:pPr>
              <w:rPr>
                <w:rFonts w:ascii="宋体"/>
              </w:rPr>
            </w:pPr>
          </w:p>
        </w:tc>
      </w:tr>
      <w:tr w:rsidR="00833634" w14:paraId="4090E276" w14:textId="77777777">
        <w:tc>
          <w:tcPr>
            <w:tcW w:w="0" w:type="auto"/>
            <w:gridSpan w:val="3"/>
            <w:shd w:val="clear" w:color="auto" w:fill="auto"/>
            <w:tcMar>
              <w:top w:w="40" w:type="dxa"/>
              <w:left w:w="20" w:type="dxa"/>
              <w:bottom w:w="40" w:type="dxa"/>
              <w:right w:w="20" w:type="dxa"/>
            </w:tcMar>
            <w:vAlign w:val="bottom"/>
          </w:tcPr>
          <w:p w14:paraId="4090E272" w14:textId="77777777" w:rsidR="00833634" w:rsidRDefault="00E15D51">
            <w:pPr>
              <w:textAlignment w:val="bottom"/>
            </w:pPr>
            <w:r>
              <w:rPr>
                <w:rFonts w:ascii="Arial" w:eastAsia="宋体" w:hAnsi="Arial" w:cs="Arial"/>
                <w:i/>
                <w:iCs/>
                <w:color w:val="000000"/>
                <w:sz w:val="20"/>
                <w:szCs w:val="20"/>
              </w:rPr>
              <w:t>(In millions - except per share amounts)</w:t>
            </w:r>
          </w:p>
        </w:tc>
        <w:tc>
          <w:tcPr>
            <w:tcW w:w="0" w:type="auto"/>
            <w:gridSpan w:val="9"/>
            <w:shd w:val="clear" w:color="auto" w:fill="auto"/>
            <w:tcMar>
              <w:top w:w="40" w:type="dxa"/>
              <w:left w:w="20" w:type="dxa"/>
              <w:bottom w:w="40" w:type="dxa"/>
              <w:right w:w="20" w:type="dxa"/>
            </w:tcMar>
            <w:vAlign w:val="bottom"/>
          </w:tcPr>
          <w:p w14:paraId="4090E273"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E274"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275"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27F"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277"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78"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279"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7A"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E27B"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7C"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27D"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7E" w14:textId="77777777" w:rsidR="00833634" w:rsidRDefault="00E15D51">
            <w:pPr>
              <w:jc w:val="right"/>
              <w:textAlignment w:val="bottom"/>
            </w:pPr>
            <w:r>
              <w:rPr>
                <w:rFonts w:ascii="Arial" w:eastAsia="宋体" w:hAnsi="Arial" w:cs="Arial"/>
                <w:color w:val="000000"/>
                <w:sz w:val="20"/>
                <w:szCs w:val="20"/>
              </w:rPr>
              <w:t>2019</w:t>
            </w:r>
          </w:p>
        </w:tc>
      </w:tr>
      <w:tr w:rsidR="00833634" w14:paraId="4090E28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280" w14:textId="77777777" w:rsidR="00833634" w:rsidRDefault="00E15D51">
            <w:pPr>
              <w:textAlignment w:val="bottom"/>
            </w:pPr>
            <w:r>
              <w:rPr>
                <w:rFonts w:ascii="Arial" w:eastAsia="宋体" w:hAnsi="Arial" w:cs="Arial"/>
                <w:color w:val="000000"/>
                <w:sz w:val="20"/>
                <w:szCs w:val="20"/>
              </w:rPr>
              <w:t>Net (loss)/earnings attributable to Boeing Shareholders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81" w14:textId="77777777" w:rsidR="00833634" w:rsidRDefault="00E15D51">
            <w:pPr>
              <w:jc w:val="right"/>
              <w:textAlignment w:val="bottom"/>
            </w:pPr>
            <w:r>
              <w:rPr>
                <w:rFonts w:ascii="Arial" w:eastAsia="宋体" w:hAnsi="Arial" w:cs="Arial"/>
                <w:b/>
                <w:bCs/>
                <w:color w:val="000000"/>
                <w:sz w:val="20"/>
                <w:szCs w:val="20"/>
              </w:rPr>
              <w:t>($3,453)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8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8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84"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8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8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87" w14:textId="77777777" w:rsidR="00833634" w:rsidRDefault="00E15D51">
            <w:pPr>
              <w:jc w:val="right"/>
              <w:textAlignment w:val="bottom"/>
            </w:pPr>
            <w:r>
              <w:rPr>
                <w:rFonts w:ascii="Arial" w:eastAsia="宋体" w:hAnsi="Arial" w:cs="Arial"/>
                <w:b/>
                <w:bCs/>
                <w:color w:val="000000"/>
                <w:sz w:val="20"/>
                <w:szCs w:val="20"/>
              </w:rPr>
              <w:t>($449)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8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8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8A" w14:textId="77777777" w:rsidR="00833634" w:rsidRDefault="00E15D51">
            <w:pPr>
              <w:jc w:val="right"/>
              <w:textAlignment w:val="bottom"/>
            </w:pPr>
            <w:r>
              <w:rPr>
                <w:rFonts w:ascii="Arial" w:eastAsia="宋体" w:hAnsi="Arial" w:cs="Arial"/>
                <w:color w:val="000000"/>
                <w:sz w:val="20"/>
                <w:szCs w:val="20"/>
              </w:rPr>
              <w:t>$1,167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8B" w14:textId="77777777" w:rsidR="00833634" w:rsidRDefault="00833634">
            <w:pPr>
              <w:jc w:val="right"/>
              <w:rPr>
                <w:rFonts w:ascii="宋体"/>
              </w:rPr>
            </w:pPr>
          </w:p>
        </w:tc>
      </w:tr>
      <w:tr w:rsidR="00833634" w14:paraId="4090E296" w14:textId="77777777">
        <w:tc>
          <w:tcPr>
            <w:tcW w:w="0" w:type="auto"/>
            <w:gridSpan w:val="3"/>
            <w:shd w:val="clear" w:color="auto" w:fill="FFFFFF"/>
            <w:tcMar>
              <w:top w:w="40" w:type="dxa"/>
              <w:left w:w="20" w:type="dxa"/>
              <w:bottom w:w="40" w:type="dxa"/>
              <w:right w:w="20" w:type="dxa"/>
            </w:tcMar>
            <w:vAlign w:val="bottom"/>
          </w:tcPr>
          <w:p w14:paraId="4090E28D" w14:textId="77777777" w:rsidR="00833634" w:rsidRDefault="00E15D51">
            <w:pPr>
              <w:textAlignment w:val="bottom"/>
            </w:pPr>
            <w:r>
              <w:rPr>
                <w:rFonts w:ascii="Arial" w:eastAsia="宋体" w:hAnsi="Arial" w:cs="Arial"/>
                <w:color w:val="000000"/>
                <w:sz w:val="20"/>
                <w:szCs w:val="20"/>
              </w:rPr>
              <w:t>Less: earnings available to participating securities</w:t>
            </w:r>
          </w:p>
        </w:tc>
        <w:tc>
          <w:tcPr>
            <w:tcW w:w="0" w:type="auto"/>
            <w:gridSpan w:val="3"/>
            <w:shd w:val="clear" w:color="auto" w:fill="FFFFFF"/>
            <w:tcMar>
              <w:top w:w="0" w:type="dxa"/>
              <w:left w:w="20" w:type="dxa"/>
              <w:bottom w:w="0" w:type="dxa"/>
              <w:right w:w="20" w:type="dxa"/>
            </w:tcMar>
          </w:tcPr>
          <w:p w14:paraId="4090E28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28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29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29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292"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29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294" w14:textId="77777777" w:rsidR="00833634" w:rsidRDefault="00E15D51">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4090E295" w14:textId="77777777" w:rsidR="00833634" w:rsidRDefault="00833634">
            <w:pPr>
              <w:jc w:val="right"/>
              <w:rPr>
                <w:rFonts w:ascii="宋体"/>
              </w:rPr>
            </w:pPr>
          </w:p>
        </w:tc>
      </w:tr>
      <w:tr w:rsidR="00833634" w14:paraId="4090E2A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297" w14:textId="77777777" w:rsidR="00833634" w:rsidRDefault="00E15D51">
            <w:pPr>
              <w:textAlignment w:val="bottom"/>
            </w:pPr>
            <w:r>
              <w:rPr>
                <w:rFonts w:ascii="Arial" w:eastAsia="宋体" w:hAnsi="Arial" w:cs="Arial"/>
                <w:color w:val="000000"/>
                <w:sz w:val="20"/>
                <w:szCs w:val="20"/>
              </w:rPr>
              <w:t>Net (loss)/earnings available to common shareholders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98" w14:textId="77777777" w:rsidR="00833634" w:rsidRDefault="00E15D51">
            <w:pPr>
              <w:jc w:val="right"/>
              <w:textAlignment w:val="bottom"/>
            </w:pPr>
            <w:r>
              <w:rPr>
                <w:rFonts w:ascii="Arial" w:eastAsia="宋体" w:hAnsi="Arial" w:cs="Arial"/>
                <w:b/>
                <w:bCs/>
                <w:color w:val="000000"/>
                <w:sz w:val="20"/>
                <w:szCs w:val="20"/>
              </w:rPr>
              <w:t>($3,453)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9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9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9B"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9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9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9E" w14:textId="77777777" w:rsidR="00833634" w:rsidRDefault="00E15D51">
            <w:pPr>
              <w:jc w:val="right"/>
              <w:textAlignment w:val="bottom"/>
            </w:pPr>
            <w:r>
              <w:rPr>
                <w:rFonts w:ascii="Arial" w:eastAsia="宋体" w:hAnsi="Arial" w:cs="Arial"/>
                <w:b/>
                <w:bCs/>
                <w:color w:val="000000"/>
                <w:sz w:val="20"/>
                <w:szCs w:val="20"/>
              </w:rPr>
              <w:t>($449)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9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A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A1" w14:textId="77777777" w:rsidR="00833634" w:rsidRDefault="00E15D51">
            <w:pPr>
              <w:jc w:val="right"/>
              <w:textAlignment w:val="bottom"/>
            </w:pPr>
            <w:r>
              <w:rPr>
                <w:rFonts w:ascii="Arial" w:eastAsia="宋体" w:hAnsi="Arial" w:cs="Arial"/>
                <w:color w:val="000000"/>
                <w:sz w:val="20"/>
                <w:szCs w:val="20"/>
              </w:rPr>
              <w:t>$1,166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A2" w14:textId="77777777" w:rsidR="00833634" w:rsidRDefault="00833634">
            <w:pPr>
              <w:jc w:val="right"/>
              <w:rPr>
                <w:rFonts w:ascii="宋体"/>
              </w:rPr>
            </w:pPr>
          </w:p>
        </w:tc>
      </w:tr>
      <w:tr w:rsidR="00833634" w14:paraId="4090E2AC" w14:textId="77777777">
        <w:tc>
          <w:tcPr>
            <w:tcW w:w="0" w:type="auto"/>
            <w:gridSpan w:val="3"/>
            <w:tcBorders>
              <w:top w:val="double" w:sz="6" w:space="0" w:color="000000"/>
            </w:tcBorders>
            <w:shd w:val="clear" w:color="auto" w:fill="auto"/>
            <w:tcMar>
              <w:top w:w="40" w:type="dxa"/>
              <w:left w:w="20" w:type="dxa"/>
              <w:bottom w:w="40" w:type="dxa"/>
              <w:right w:w="20" w:type="dxa"/>
            </w:tcMar>
            <w:vAlign w:val="bottom"/>
          </w:tcPr>
          <w:p w14:paraId="4090E2A4" w14:textId="77777777" w:rsidR="00833634" w:rsidRDefault="00E15D51">
            <w:pPr>
              <w:textAlignment w:val="bottom"/>
            </w:pPr>
            <w:r>
              <w:rPr>
                <w:rFonts w:ascii="Arial" w:eastAsia="宋体" w:hAnsi="Arial" w:cs="Arial"/>
                <w:color w:val="000000"/>
                <w:sz w:val="20"/>
                <w:szCs w:val="20"/>
              </w:rPr>
              <w:t>Basic</w:t>
            </w:r>
          </w:p>
        </w:tc>
        <w:tc>
          <w:tcPr>
            <w:tcW w:w="0" w:type="auto"/>
            <w:gridSpan w:val="3"/>
            <w:tcBorders>
              <w:top w:val="double" w:sz="6" w:space="0" w:color="000000"/>
            </w:tcBorders>
            <w:shd w:val="clear" w:color="auto" w:fill="FFFFFF"/>
            <w:tcMar>
              <w:top w:w="0" w:type="dxa"/>
              <w:left w:w="20" w:type="dxa"/>
              <w:bottom w:w="0" w:type="dxa"/>
              <w:right w:w="20" w:type="dxa"/>
            </w:tcMar>
          </w:tcPr>
          <w:p w14:paraId="4090E2A5"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2A6"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2A7"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2A8"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2A9"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2AA"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2AB" w14:textId="77777777" w:rsidR="00833634" w:rsidRDefault="00833634">
            <w:pPr>
              <w:rPr>
                <w:rFonts w:ascii="宋体"/>
              </w:rPr>
            </w:pPr>
          </w:p>
        </w:tc>
      </w:tr>
      <w:tr w:rsidR="00833634" w14:paraId="4090E2B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2AD" w14:textId="77777777" w:rsidR="00833634" w:rsidRDefault="00E15D51">
            <w:pPr>
              <w:textAlignment w:val="bottom"/>
            </w:pPr>
            <w:r>
              <w:rPr>
                <w:rFonts w:ascii="Arial" w:eastAsia="宋体" w:hAnsi="Arial" w:cs="Arial"/>
                <w:color w:val="000000"/>
                <w:sz w:val="20"/>
                <w:szCs w:val="20"/>
              </w:rPr>
              <w:t>Basic weighted average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AE" w14:textId="77777777" w:rsidR="00833634" w:rsidRDefault="00E15D51">
            <w:pPr>
              <w:jc w:val="right"/>
              <w:textAlignment w:val="bottom"/>
            </w:pPr>
            <w:r>
              <w:rPr>
                <w:rFonts w:ascii="Arial" w:eastAsia="宋体" w:hAnsi="Arial" w:cs="Arial"/>
                <w:b/>
                <w:bCs/>
                <w:color w:val="000000"/>
                <w:sz w:val="20"/>
                <w:szCs w:val="20"/>
              </w:rPr>
              <w:t>566.3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A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B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B1" w14:textId="77777777" w:rsidR="00833634" w:rsidRDefault="00E15D51">
            <w:pPr>
              <w:jc w:val="right"/>
              <w:textAlignment w:val="bottom"/>
            </w:pPr>
            <w:r>
              <w:rPr>
                <w:rFonts w:ascii="Arial" w:eastAsia="宋体" w:hAnsi="Arial" w:cs="Arial"/>
                <w:color w:val="000000"/>
                <w:sz w:val="20"/>
                <w:szCs w:val="20"/>
              </w:rPr>
              <w:t>566.2 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B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B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B4" w14:textId="77777777" w:rsidR="00833634" w:rsidRDefault="00E15D51">
            <w:pPr>
              <w:jc w:val="right"/>
              <w:textAlignment w:val="bottom"/>
            </w:pPr>
            <w:r>
              <w:rPr>
                <w:rFonts w:ascii="Arial" w:eastAsia="宋体" w:hAnsi="Arial" w:cs="Arial"/>
                <w:b/>
                <w:bCs/>
                <w:color w:val="000000"/>
                <w:sz w:val="20"/>
                <w:szCs w:val="20"/>
              </w:rPr>
              <w:t>566.6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B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B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B7" w14:textId="77777777" w:rsidR="00833634" w:rsidRDefault="00E15D51">
            <w:pPr>
              <w:jc w:val="right"/>
              <w:textAlignment w:val="bottom"/>
            </w:pPr>
            <w:r>
              <w:rPr>
                <w:rFonts w:ascii="Arial" w:eastAsia="宋体" w:hAnsi="Arial" w:cs="Arial"/>
                <w:color w:val="000000"/>
                <w:sz w:val="20"/>
                <w:szCs w:val="20"/>
              </w:rPr>
              <w:t>565.2 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B8" w14:textId="77777777" w:rsidR="00833634" w:rsidRDefault="00833634">
            <w:pPr>
              <w:jc w:val="right"/>
              <w:rPr>
                <w:rFonts w:ascii="宋体"/>
              </w:rPr>
            </w:pPr>
          </w:p>
        </w:tc>
      </w:tr>
      <w:tr w:rsidR="00833634" w14:paraId="4090E2C6" w14:textId="77777777">
        <w:tc>
          <w:tcPr>
            <w:tcW w:w="0" w:type="auto"/>
            <w:gridSpan w:val="3"/>
            <w:shd w:val="clear" w:color="auto" w:fill="FFFFFF"/>
            <w:tcMar>
              <w:top w:w="40" w:type="dxa"/>
              <w:left w:w="20" w:type="dxa"/>
              <w:bottom w:w="40" w:type="dxa"/>
              <w:right w:w="20" w:type="dxa"/>
            </w:tcMar>
            <w:vAlign w:val="bottom"/>
          </w:tcPr>
          <w:p w14:paraId="4090E2BA" w14:textId="77777777" w:rsidR="00833634" w:rsidRDefault="00E15D51">
            <w:pPr>
              <w:textAlignment w:val="bottom"/>
            </w:pPr>
            <w:r>
              <w:rPr>
                <w:rFonts w:ascii="Arial" w:eastAsia="宋体" w:hAnsi="Arial" w:cs="Arial"/>
                <w:color w:val="000000"/>
                <w:sz w:val="20"/>
                <w:szCs w:val="20"/>
              </w:rPr>
              <w:t>Less: participating securities</w:t>
            </w:r>
          </w:p>
        </w:tc>
        <w:tc>
          <w:tcPr>
            <w:tcW w:w="0" w:type="auto"/>
            <w:gridSpan w:val="2"/>
            <w:shd w:val="clear" w:color="auto" w:fill="FFFFFF"/>
            <w:tcMar>
              <w:top w:w="40" w:type="dxa"/>
              <w:left w:w="20" w:type="dxa"/>
              <w:bottom w:w="40" w:type="dxa"/>
              <w:right w:w="0" w:type="dxa"/>
            </w:tcMar>
            <w:vAlign w:val="bottom"/>
          </w:tcPr>
          <w:p w14:paraId="4090E2BB" w14:textId="77777777" w:rsidR="00833634" w:rsidRDefault="00E15D51">
            <w:pPr>
              <w:jc w:val="right"/>
              <w:textAlignment w:val="bottom"/>
            </w:pPr>
            <w:r>
              <w:rPr>
                <w:rFonts w:ascii="Arial" w:eastAsia="宋体" w:hAnsi="Arial" w:cs="Arial"/>
                <w:b/>
                <w:bCs/>
                <w:color w:val="000000"/>
                <w:sz w:val="20"/>
                <w:szCs w:val="20"/>
              </w:rPr>
              <w:t>0.5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2B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2B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2BE" w14:textId="77777777" w:rsidR="00833634" w:rsidRDefault="00E15D51">
            <w:pPr>
              <w:jc w:val="right"/>
              <w:textAlignment w:val="bottom"/>
            </w:pPr>
            <w:r>
              <w:rPr>
                <w:rFonts w:ascii="Arial" w:eastAsia="宋体" w:hAnsi="Arial" w:cs="Arial"/>
                <w:color w:val="000000"/>
                <w:sz w:val="20"/>
                <w:szCs w:val="20"/>
              </w:rPr>
              <w:t>0.6 </w:t>
            </w:r>
          </w:p>
        </w:tc>
        <w:tc>
          <w:tcPr>
            <w:tcW w:w="0" w:type="auto"/>
            <w:shd w:val="clear" w:color="auto" w:fill="FFFFFF"/>
            <w:tcMar>
              <w:top w:w="40" w:type="dxa"/>
              <w:left w:w="0" w:type="dxa"/>
              <w:bottom w:w="40" w:type="dxa"/>
              <w:right w:w="20" w:type="dxa"/>
            </w:tcMar>
            <w:vAlign w:val="bottom"/>
          </w:tcPr>
          <w:p w14:paraId="4090E2B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2C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2C1" w14:textId="77777777" w:rsidR="00833634" w:rsidRDefault="00E15D51">
            <w:pPr>
              <w:jc w:val="right"/>
              <w:textAlignment w:val="bottom"/>
            </w:pPr>
            <w:r>
              <w:rPr>
                <w:rFonts w:ascii="Arial" w:eastAsia="宋体" w:hAnsi="Arial" w:cs="Arial"/>
                <w:b/>
                <w:bCs/>
                <w:color w:val="000000"/>
                <w:sz w:val="20"/>
                <w:szCs w:val="20"/>
              </w:rPr>
              <w:t>0.5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2C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2C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2C4" w14:textId="77777777" w:rsidR="00833634" w:rsidRDefault="00E15D51">
            <w:pPr>
              <w:jc w:val="right"/>
              <w:textAlignment w:val="bottom"/>
            </w:pPr>
            <w:r>
              <w:rPr>
                <w:rFonts w:ascii="Arial" w:eastAsia="宋体" w:hAnsi="Arial" w:cs="Arial"/>
                <w:color w:val="000000"/>
                <w:sz w:val="20"/>
                <w:szCs w:val="20"/>
              </w:rPr>
              <w:t>0.6 </w:t>
            </w:r>
          </w:p>
        </w:tc>
        <w:tc>
          <w:tcPr>
            <w:tcW w:w="0" w:type="auto"/>
            <w:shd w:val="clear" w:color="auto" w:fill="FFFFFF"/>
            <w:tcMar>
              <w:top w:w="40" w:type="dxa"/>
              <w:left w:w="0" w:type="dxa"/>
              <w:bottom w:w="40" w:type="dxa"/>
              <w:right w:w="20" w:type="dxa"/>
            </w:tcMar>
            <w:vAlign w:val="bottom"/>
          </w:tcPr>
          <w:p w14:paraId="4090E2C5" w14:textId="77777777" w:rsidR="00833634" w:rsidRDefault="00833634">
            <w:pPr>
              <w:jc w:val="right"/>
              <w:rPr>
                <w:rFonts w:ascii="宋体"/>
              </w:rPr>
            </w:pPr>
          </w:p>
        </w:tc>
      </w:tr>
      <w:tr w:rsidR="00833634" w14:paraId="4090E2D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2C7" w14:textId="77777777" w:rsidR="00833634" w:rsidRDefault="00E15D51">
            <w:pPr>
              <w:ind w:hanging="180"/>
              <w:textAlignment w:val="bottom"/>
            </w:pPr>
            <w:r>
              <w:rPr>
                <w:rFonts w:ascii="Arial" w:eastAsia="宋体" w:hAnsi="Arial" w:cs="Arial"/>
                <w:color w:val="000000"/>
                <w:sz w:val="20"/>
                <w:szCs w:val="20"/>
              </w:rPr>
              <w:t>Basic weighted average common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C8" w14:textId="77777777" w:rsidR="00833634" w:rsidRDefault="00E15D51">
            <w:pPr>
              <w:jc w:val="right"/>
              <w:textAlignment w:val="bottom"/>
            </w:pPr>
            <w:r>
              <w:rPr>
                <w:rFonts w:ascii="Arial" w:eastAsia="宋体" w:hAnsi="Arial" w:cs="Arial"/>
                <w:b/>
                <w:bCs/>
                <w:color w:val="000000"/>
                <w:sz w:val="20"/>
                <w:szCs w:val="20"/>
              </w:rPr>
              <w:t>565.8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C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C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CB" w14:textId="77777777" w:rsidR="00833634" w:rsidRDefault="00E15D51">
            <w:pPr>
              <w:jc w:val="right"/>
              <w:textAlignment w:val="bottom"/>
            </w:pPr>
            <w:r>
              <w:rPr>
                <w:rFonts w:ascii="Arial" w:eastAsia="宋体" w:hAnsi="Arial" w:cs="Arial"/>
                <w:color w:val="000000"/>
                <w:sz w:val="20"/>
                <w:szCs w:val="20"/>
              </w:rPr>
              <w:t>565.6 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C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C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CE" w14:textId="77777777" w:rsidR="00833634" w:rsidRDefault="00E15D51">
            <w:pPr>
              <w:jc w:val="right"/>
              <w:textAlignment w:val="bottom"/>
            </w:pPr>
            <w:r>
              <w:rPr>
                <w:rFonts w:ascii="Arial" w:eastAsia="宋体" w:hAnsi="Arial" w:cs="Arial"/>
                <w:b/>
                <w:bCs/>
                <w:color w:val="000000"/>
                <w:sz w:val="20"/>
                <w:szCs w:val="20"/>
              </w:rPr>
              <w:t>566.1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C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D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D1" w14:textId="77777777" w:rsidR="00833634" w:rsidRDefault="00E15D51">
            <w:pPr>
              <w:jc w:val="right"/>
              <w:textAlignment w:val="bottom"/>
            </w:pPr>
            <w:r>
              <w:rPr>
                <w:rFonts w:ascii="Arial" w:eastAsia="宋体" w:hAnsi="Arial" w:cs="Arial"/>
                <w:color w:val="000000"/>
                <w:sz w:val="20"/>
                <w:szCs w:val="20"/>
              </w:rPr>
              <w:t>564.6 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D2" w14:textId="77777777" w:rsidR="00833634" w:rsidRDefault="00833634">
            <w:pPr>
              <w:jc w:val="right"/>
              <w:rPr>
                <w:rFonts w:ascii="宋体"/>
              </w:rPr>
            </w:pPr>
          </w:p>
        </w:tc>
      </w:tr>
      <w:tr w:rsidR="00833634" w14:paraId="4090E2DC"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2D4" w14:textId="77777777" w:rsidR="00833634" w:rsidRDefault="00E15D51">
            <w:pPr>
              <w:textAlignment w:val="bottom"/>
            </w:pPr>
            <w:r>
              <w:rPr>
                <w:rFonts w:ascii="Arial" w:eastAsia="宋体" w:hAnsi="Arial" w:cs="Arial"/>
                <w:color w:val="000000"/>
                <w:sz w:val="20"/>
                <w:szCs w:val="20"/>
              </w:rPr>
              <w:t>Diluted</w:t>
            </w:r>
          </w:p>
        </w:tc>
        <w:tc>
          <w:tcPr>
            <w:tcW w:w="0" w:type="auto"/>
            <w:gridSpan w:val="3"/>
            <w:tcBorders>
              <w:top w:val="single" w:sz="8" w:space="0" w:color="000000"/>
            </w:tcBorders>
            <w:shd w:val="clear" w:color="auto" w:fill="FFFFFF"/>
            <w:tcMar>
              <w:top w:w="0" w:type="dxa"/>
              <w:left w:w="20" w:type="dxa"/>
              <w:bottom w:w="0" w:type="dxa"/>
              <w:right w:w="20" w:type="dxa"/>
            </w:tcMar>
          </w:tcPr>
          <w:p w14:paraId="4090E2D5"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2D6"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2D7"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2D8"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2D9"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2DA"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2DB" w14:textId="77777777" w:rsidR="00833634" w:rsidRDefault="00833634">
            <w:pPr>
              <w:rPr>
                <w:rFonts w:ascii="宋体"/>
              </w:rPr>
            </w:pPr>
          </w:p>
        </w:tc>
      </w:tr>
      <w:tr w:rsidR="00833634" w14:paraId="4090E2E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2DD" w14:textId="77777777" w:rsidR="00833634" w:rsidRDefault="00E15D51">
            <w:pPr>
              <w:textAlignment w:val="bottom"/>
            </w:pPr>
            <w:r>
              <w:rPr>
                <w:rFonts w:ascii="Arial" w:eastAsia="宋体" w:hAnsi="Arial" w:cs="Arial"/>
                <w:color w:val="000000"/>
                <w:sz w:val="20"/>
                <w:szCs w:val="20"/>
              </w:rPr>
              <w:t>Basic weighted average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DE" w14:textId="77777777" w:rsidR="00833634" w:rsidRDefault="00E15D51">
            <w:pPr>
              <w:jc w:val="right"/>
              <w:textAlignment w:val="bottom"/>
            </w:pPr>
            <w:r>
              <w:rPr>
                <w:rFonts w:ascii="Arial" w:eastAsia="宋体" w:hAnsi="Arial" w:cs="Arial"/>
                <w:b/>
                <w:bCs/>
                <w:color w:val="000000"/>
                <w:sz w:val="20"/>
                <w:szCs w:val="20"/>
              </w:rPr>
              <w:t>566.3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D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E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E1" w14:textId="77777777" w:rsidR="00833634" w:rsidRDefault="00E15D51">
            <w:pPr>
              <w:jc w:val="right"/>
              <w:textAlignment w:val="bottom"/>
            </w:pPr>
            <w:r>
              <w:rPr>
                <w:rFonts w:ascii="Arial" w:eastAsia="宋体" w:hAnsi="Arial" w:cs="Arial"/>
                <w:color w:val="000000"/>
                <w:sz w:val="20"/>
                <w:szCs w:val="20"/>
              </w:rPr>
              <w:t>566.2 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E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E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E4" w14:textId="77777777" w:rsidR="00833634" w:rsidRDefault="00E15D51">
            <w:pPr>
              <w:jc w:val="right"/>
              <w:textAlignment w:val="bottom"/>
            </w:pPr>
            <w:r>
              <w:rPr>
                <w:rFonts w:ascii="Arial" w:eastAsia="宋体" w:hAnsi="Arial" w:cs="Arial"/>
                <w:b/>
                <w:bCs/>
                <w:color w:val="000000"/>
                <w:sz w:val="20"/>
                <w:szCs w:val="20"/>
              </w:rPr>
              <w:t>566.6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E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E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E7" w14:textId="77777777" w:rsidR="00833634" w:rsidRDefault="00E15D51">
            <w:pPr>
              <w:jc w:val="right"/>
              <w:textAlignment w:val="bottom"/>
            </w:pPr>
            <w:r>
              <w:rPr>
                <w:rFonts w:ascii="Arial" w:eastAsia="宋体" w:hAnsi="Arial" w:cs="Arial"/>
                <w:color w:val="000000"/>
                <w:sz w:val="20"/>
                <w:szCs w:val="20"/>
              </w:rPr>
              <w:t>565.2 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E8" w14:textId="77777777" w:rsidR="00833634" w:rsidRDefault="00833634">
            <w:pPr>
              <w:jc w:val="right"/>
              <w:rPr>
                <w:rFonts w:ascii="宋体"/>
              </w:rPr>
            </w:pPr>
          </w:p>
        </w:tc>
      </w:tr>
      <w:tr w:rsidR="00833634" w14:paraId="4090E2F4" w14:textId="77777777">
        <w:tc>
          <w:tcPr>
            <w:tcW w:w="0" w:type="auto"/>
            <w:gridSpan w:val="3"/>
            <w:shd w:val="clear" w:color="auto" w:fill="FFFFFF"/>
            <w:tcMar>
              <w:top w:w="40" w:type="dxa"/>
              <w:left w:w="20" w:type="dxa"/>
              <w:bottom w:w="40" w:type="dxa"/>
              <w:right w:w="20" w:type="dxa"/>
            </w:tcMar>
            <w:vAlign w:val="bottom"/>
          </w:tcPr>
          <w:p w14:paraId="4090E2EA" w14:textId="77777777" w:rsidR="00833634" w:rsidRDefault="00E15D51">
            <w:pPr>
              <w:textAlignment w:val="bottom"/>
            </w:pPr>
            <w:r>
              <w:rPr>
                <w:rFonts w:ascii="Arial" w:eastAsia="宋体" w:hAnsi="Arial" w:cs="Arial"/>
                <w:color w:val="000000"/>
                <w:sz w:val="20"/>
                <w:szCs w:val="20"/>
              </w:rPr>
              <w:t>Dilutive potential common shares</w:t>
            </w:r>
            <w:r>
              <w:rPr>
                <w:rFonts w:ascii="Arial" w:eastAsia="宋体" w:hAnsi="Arial" w:cs="Arial"/>
                <w:color w:val="000000"/>
                <w:sz w:val="13"/>
                <w:szCs w:val="13"/>
              </w:rPr>
              <w:t>(1)</w:t>
            </w:r>
          </w:p>
        </w:tc>
        <w:tc>
          <w:tcPr>
            <w:tcW w:w="0" w:type="auto"/>
            <w:gridSpan w:val="3"/>
            <w:shd w:val="clear" w:color="auto" w:fill="FFFFFF"/>
            <w:tcMar>
              <w:top w:w="0" w:type="dxa"/>
              <w:left w:w="20" w:type="dxa"/>
              <w:bottom w:w="0" w:type="dxa"/>
              <w:right w:w="20" w:type="dxa"/>
            </w:tcMar>
          </w:tcPr>
          <w:p w14:paraId="4090E2E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2E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2ED" w14:textId="77777777" w:rsidR="00833634" w:rsidRDefault="00E15D51">
            <w:pPr>
              <w:jc w:val="right"/>
              <w:textAlignment w:val="bottom"/>
            </w:pPr>
            <w:r>
              <w:rPr>
                <w:rFonts w:ascii="Arial" w:eastAsia="宋体" w:hAnsi="Arial" w:cs="Arial"/>
                <w:color w:val="000000"/>
                <w:sz w:val="20"/>
                <w:szCs w:val="20"/>
              </w:rPr>
              <w:t>4.2 </w:t>
            </w:r>
          </w:p>
        </w:tc>
        <w:tc>
          <w:tcPr>
            <w:tcW w:w="0" w:type="auto"/>
            <w:shd w:val="clear" w:color="auto" w:fill="FFFFFF"/>
            <w:tcMar>
              <w:top w:w="40" w:type="dxa"/>
              <w:left w:w="0" w:type="dxa"/>
              <w:bottom w:w="40" w:type="dxa"/>
              <w:right w:w="20" w:type="dxa"/>
            </w:tcMar>
            <w:vAlign w:val="bottom"/>
          </w:tcPr>
          <w:p w14:paraId="4090E2E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2E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2F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2F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2F2" w14:textId="77777777" w:rsidR="00833634" w:rsidRDefault="00E15D51">
            <w:pPr>
              <w:jc w:val="right"/>
              <w:textAlignment w:val="bottom"/>
            </w:pPr>
            <w:r>
              <w:rPr>
                <w:rFonts w:ascii="Arial" w:eastAsia="宋体" w:hAnsi="Arial" w:cs="Arial"/>
                <w:color w:val="000000"/>
                <w:sz w:val="20"/>
                <w:szCs w:val="20"/>
              </w:rPr>
              <w:t>4.0 </w:t>
            </w:r>
          </w:p>
        </w:tc>
        <w:tc>
          <w:tcPr>
            <w:tcW w:w="0" w:type="auto"/>
            <w:shd w:val="clear" w:color="auto" w:fill="FFFFFF"/>
            <w:tcMar>
              <w:top w:w="40" w:type="dxa"/>
              <w:left w:w="0" w:type="dxa"/>
              <w:bottom w:w="40" w:type="dxa"/>
              <w:right w:w="20" w:type="dxa"/>
            </w:tcMar>
            <w:vAlign w:val="bottom"/>
          </w:tcPr>
          <w:p w14:paraId="4090E2F3" w14:textId="77777777" w:rsidR="00833634" w:rsidRDefault="00833634">
            <w:pPr>
              <w:jc w:val="right"/>
              <w:rPr>
                <w:rFonts w:ascii="宋体"/>
              </w:rPr>
            </w:pPr>
          </w:p>
        </w:tc>
      </w:tr>
      <w:tr w:rsidR="00833634" w14:paraId="4090E30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2F5" w14:textId="77777777" w:rsidR="00833634" w:rsidRDefault="00E15D51">
            <w:pPr>
              <w:textAlignment w:val="bottom"/>
            </w:pPr>
            <w:r>
              <w:rPr>
                <w:rFonts w:ascii="Arial" w:eastAsia="宋体" w:hAnsi="Arial" w:cs="Arial"/>
                <w:color w:val="000000"/>
                <w:sz w:val="20"/>
                <w:szCs w:val="20"/>
              </w:rPr>
              <w:t>Diluted weighted average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F6" w14:textId="77777777" w:rsidR="00833634" w:rsidRDefault="00E15D51">
            <w:pPr>
              <w:jc w:val="right"/>
              <w:textAlignment w:val="bottom"/>
            </w:pPr>
            <w:r>
              <w:rPr>
                <w:rFonts w:ascii="Arial" w:eastAsia="宋体" w:hAnsi="Arial" w:cs="Arial"/>
                <w:b/>
                <w:bCs/>
                <w:color w:val="000000"/>
                <w:sz w:val="20"/>
                <w:szCs w:val="20"/>
              </w:rPr>
              <w:t>566.3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F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F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F9" w14:textId="77777777" w:rsidR="00833634" w:rsidRDefault="00E15D51">
            <w:pPr>
              <w:jc w:val="right"/>
              <w:textAlignment w:val="bottom"/>
            </w:pPr>
            <w:r>
              <w:rPr>
                <w:rFonts w:ascii="Arial" w:eastAsia="宋体" w:hAnsi="Arial" w:cs="Arial"/>
                <w:color w:val="000000"/>
                <w:sz w:val="20"/>
                <w:szCs w:val="20"/>
              </w:rPr>
              <w:t>570.4 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F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F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FC" w14:textId="77777777" w:rsidR="00833634" w:rsidRDefault="00E15D51">
            <w:pPr>
              <w:jc w:val="right"/>
              <w:textAlignment w:val="bottom"/>
            </w:pPr>
            <w:r>
              <w:rPr>
                <w:rFonts w:ascii="Arial" w:eastAsia="宋体" w:hAnsi="Arial" w:cs="Arial"/>
                <w:b/>
                <w:bCs/>
                <w:color w:val="000000"/>
                <w:sz w:val="20"/>
                <w:szCs w:val="20"/>
              </w:rPr>
              <w:t>566.6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2F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2F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2FF" w14:textId="77777777" w:rsidR="00833634" w:rsidRDefault="00E15D51">
            <w:pPr>
              <w:jc w:val="right"/>
              <w:textAlignment w:val="bottom"/>
            </w:pPr>
            <w:r>
              <w:rPr>
                <w:rFonts w:ascii="Arial" w:eastAsia="宋体" w:hAnsi="Arial" w:cs="Arial"/>
                <w:color w:val="000000"/>
                <w:sz w:val="20"/>
                <w:szCs w:val="20"/>
              </w:rPr>
              <w:t>569.2 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00" w14:textId="77777777" w:rsidR="00833634" w:rsidRDefault="00833634">
            <w:pPr>
              <w:jc w:val="right"/>
              <w:rPr>
                <w:rFonts w:ascii="宋体"/>
              </w:rPr>
            </w:pPr>
          </w:p>
        </w:tc>
      </w:tr>
      <w:tr w:rsidR="00833634" w14:paraId="4090E30E" w14:textId="77777777">
        <w:tc>
          <w:tcPr>
            <w:tcW w:w="0" w:type="auto"/>
            <w:gridSpan w:val="3"/>
            <w:shd w:val="clear" w:color="auto" w:fill="FFFFFF"/>
            <w:tcMar>
              <w:top w:w="40" w:type="dxa"/>
              <w:left w:w="20" w:type="dxa"/>
              <w:bottom w:w="40" w:type="dxa"/>
              <w:right w:w="20" w:type="dxa"/>
            </w:tcMar>
            <w:vAlign w:val="bottom"/>
          </w:tcPr>
          <w:p w14:paraId="4090E302" w14:textId="77777777" w:rsidR="00833634" w:rsidRDefault="00E15D51">
            <w:pPr>
              <w:textAlignment w:val="bottom"/>
            </w:pPr>
            <w:r>
              <w:rPr>
                <w:rFonts w:ascii="Arial" w:eastAsia="宋体" w:hAnsi="Arial" w:cs="Arial"/>
                <w:color w:val="000000"/>
                <w:sz w:val="20"/>
                <w:szCs w:val="20"/>
              </w:rPr>
              <w:t>Less: participating securities</w:t>
            </w:r>
          </w:p>
        </w:tc>
        <w:tc>
          <w:tcPr>
            <w:tcW w:w="0" w:type="auto"/>
            <w:gridSpan w:val="2"/>
            <w:shd w:val="clear" w:color="auto" w:fill="FFFFFF"/>
            <w:tcMar>
              <w:top w:w="40" w:type="dxa"/>
              <w:left w:w="20" w:type="dxa"/>
              <w:bottom w:w="40" w:type="dxa"/>
              <w:right w:w="0" w:type="dxa"/>
            </w:tcMar>
            <w:vAlign w:val="bottom"/>
          </w:tcPr>
          <w:p w14:paraId="4090E303" w14:textId="77777777" w:rsidR="00833634" w:rsidRDefault="00E15D51">
            <w:pPr>
              <w:jc w:val="right"/>
              <w:textAlignment w:val="bottom"/>
            </w:pPr>
            <w:r>
              <w:rPr>
                <w:rFonts w:ascii="Arial" w:eastAsia="宋体" w:hAnsi="Arial" w:cs="Arial"/>
                <w:b/>
                <w:bCs/>
                <w:color w:val="000000"/>
                <w:sz w:val="20"/>
                <w:szCs w:val="20"/>
              </w:rPr>
              <w:t>0.5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30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30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306" w14:textId="77777777" w:rsidR="00833634" w:rsidRDefault="00E15D51">
            <w:pPr>
              <w:jc w:val="right"/>
              <w:textAlignment w:val="bottom"/>
            </w:pPr>
            <w:r>
              <w:rPr>
                <w:rFonts w:ascii="Arial" w:eastAsia="宋体" w:hAnsi="Arial" w:cs="Arial"/>
                <w:color w:val="000000"/>
                <w:sz w:val="20"/>
                <w:szCs w:val="20"/>
              </w:rPr>
              <w:t>0.6 </w:t>
            </w:r>
          </w:p>
        </w:tc>
        <w:tc>
          <w:tcPr>
            <w:tcW w:w="0" w:type="auto"/>
            <w:shd w:val="clear" w:color="auto" w:fill="FFFFFF"/>
            <w:tcMar>
              <w:top w:w="40" w:type="dxa"/>
              <w:left w:w="0" w:type="dxa"/>
              <w:bottom w:w="40" w:type="dxa"/>
              <w:right w:w="20" w:type="dxa"/>
            </w:tcMar>
            <w:vAlign w:val="bottom"/>
          </w:tcPr>
          <w:p w14:paraId="4090E30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30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309" w14:textId="77777777" w:rsidR="00833634" w:rsidRDefault="00E15D51">
            <w:pPr>
              <w:jc w:val="right"/>
              <w:textAlignment w:val="bottom"/>
            </w:pPr>
            <w:r>
              <w:rPr>
                <w:rFonts w:ascii="Arial" w:eastAsia="宋体" w:hAnsi="Arial" w:cs="Arial"/>
                <w:b/>
                <w:bCs/>
                <w:color w:val="000000"/>
                <w:sz w:val="20"/>
                <w:szCs w:val="20"/>
              </w:rPr>
              <w:t>0.5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30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30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30C" w14:textId="77777777" w:rsidR="00833634" w:rsidRDefault="00E15D51">
            <w:pPr>
              <w:jc w:val="right"/>
              <w:textAlignment w:val="bottom"/>
            </w:pPr>
            <w:r>
              <w:rPr>
                <w:rFonts w:ascii="Arial" w:eastAsia="宋体" w:hAnsi="Arial" w:cs="Arial"/>
                <w:color w:val="000000"/>
                <w:sz w:val="20"/>
                <w:szCs w:val="20"/>
              </w:rPr>
              <w:t>0.6 </w:t>
            </w:r>
          </w:p>
        </w:tc>
        <w:tc>
          <w:tcPr>
            <w:tcW w:w="0" w:type="auto"/>
            <w:shd w:val="clear" w:color="auto" w:fill="FFFFFF"/>
            <w:tcMar>
              <w:top w:w="40" w:type="dxa"/>
              <w:left w:w="0" w:type="dxa"/>
              <w:bottom w:w="40" w:type="dxa"/>
              <w:right w:w="20" w:type="dxa"/>
            </w:tcMar>
            <w:vAlign w:val="bottom"/>
          </w:tcPr>
          <w:p w14:paraId="4090E30D" w14:textId="77777777" w:rsidR="00833634" w:rsidRDefault="00833634">
            <w:pPr>
              <w:jc w:val="right"/>
              <w:rPr>
                <w:rFonts w:ascii="宋体"/>
              </w:rPr>
            </w:pPr>
          </w:p>
        </w:tc>
      </w:tr>
      <w:tr w:rsidR="00833634" w14:paraId="4090E31B"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30F" w14:textId="77777777" w:rsidR="00833634" w:rsidRDefault="00E15D51">
            <w:pPr>
              <w:ind w:hanging="180"/>
              <w:textAlignment w:val="bottom"/>
            </w:pPr>
            <w:r>
              <w:rPr>
                <w:rFonts w:ascii="Arial" w:eastAsia="宋体" w:hAnsi="Arial" w:cs="Arial"/>
                <w:color w:val="000000"/>
                <w:sz w:val="20"/>
                <w:szCs w:val="20"/>
              </w:rPr>
              <w:t>Diluted weighted average common shares outstanding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10" w14:textId="77777777" w:rsidR="00833634" w:rsidRDefault="00E15D51">
            <w:pPr>
              <w:jc w:val="right"/>
              <w:textAlignment w:val="bottom"/>
            </w:pPr>
            <w:r>
              <w:rPr>
                <w:rFonts w:ascii="Arial" w:eastAsia="宋体" w:hAnsi="Arial" w:cs="Arial"/>
                <w:b/>
                <w:bCs/>
                <w:color w:val="000000"/>
                <w:sz w:val="20"/>
                <w:szCs w:val="20"/>
              </w:rPr>
              <w:t>565.8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1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31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13" w14:textId="77777777" w:rsidR="00833634" w:rsidRDefault="00E15D51">
            <w:pPr>
              <w:jc w:val="right"/>
              <w:textAlignment w:val="bottom"/>
            </w:pPr>
            <w:r>
              <w:rPr>
                <w:rFonts w:ascii="Arial" w:eastAsia="宋体" w:hAnsi="Arial" w:cs="Arial"/>
                <w:color w:val="000000"/>
                <w:sz w:val="20"/>
                <w:szCs w:val="20"/>
              </w:rPr>
              <w:t>569.8 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1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31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16" w14:textId="77777777" w:rsidR="00833634" w:rsidRDefault="00E15D51">
            <w:pPr>
              <w:jc w:val="right"/>
              <w:textAlignment w:val="bottom"/>
            </w:pPr>
            <w:r>
              <w:rPr>
                <w:rFonts w:ascii="Arial" w:eastAsia="宋体" w:hAnsi="Arial" w:cs="Arial"/>
                <w:b/>
                <w:bCs/>
                <w:color w:val="000000"/>
                <w:sz w:val="20"/>
                <w:szCs w:val="20"/>
              </w:rPr>
              <w:t>566.1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1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31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19" w14:textId="77777777" w:rsidR="00833634" w:rsidRDefault="00E15D51">
            <w:pPr>
              <w:jc w:val="right"/>
              <w:textAlignment w:val="bottom"/>
            </w:pPr>
            <w:r>
              <w:rPr>
                <w:rFonts w:ascii="Arial" w:eastAsia="宋体" w:hAnsi="Arial" w:cs="Arial"/>
                <w:color w:val="000000"/>
                <w:sz w:val="20"/>
                <w:szCs w:val="20"/>
              </w:rPr>
              <w:t>568.6 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1A" w14:textId="77777777" w:rsidR="00833634" w:rsidRDefault="00833634">
            <w:pPr>
              <w:jc w:val="right"/>
              <w:rPr>
                <w:rFonts w:ascii="宋体"/>
              </w:rPr>
            </w:pPr>
          </w:p>
        </w:tc>
      </w:tr>
      <w:tr w:rsidR="00833634" w14:paraId="4090E324" w14:textId="77777777">
        <w:tc>
          <w:tcPr>
            <w:tcW w:w="0" w:type="auto"/>
            <w:gridSpan w:val="3"/>
            <w:tcBorders>
              <w:top w:val="double" w:sz="6" w:space="0" w:color="000000"/>
            </w:tcBorders>
            <w:shd w:val="clear" w:color="auto" w:fill="auto"/>
            <w:tcMar>
              <w:top w:w="40" w:type="dxa"/>
              <w:left w:w="20" w:type="dxa"/>
              <w:bottom w:w="40" w:type="dxa"/>
              <w:right w:w="20" w:type="dxa"/>
            </w:tcMar>
            <w:vAlign w:val="bottom"/>
          </w:tcPr>
          <w:p w14:paraId="4090E31C" w14:textId="77777777" w:rsidR="00833634" w:rsidRDefault="00E15D51">
            <w:pPr>
              <w:textAlignment w:val="bottom"/>
            </w:pPr>
            <w:r>
              <w:rPr>
                <w:rFonts w:ascii="Arial" w:eastAsia="宋体" w:hAnsi="Arial" w:cs="Arial"/>
                <w:color w:val="000000"/>
                <w:sz w:val="20"/>
                <w:szCs w:val="20"/>
              </w:rPr>
              <w:t>Net (loss)/earnings per share:</w:t>
            </w:r>
          </w:p>
        </w:tc>
        <w:tc>
          <w:tcPr>
            <w:tcW w:w="0" w:type="auto"/>
            <w:gridSpan w:val="3"/>
            <w:tcBorders>
              <w:top w:val="double" w:sz="6" w:space="0" w:color="000000"/>
            </w:tcBorders>
            <w:shd w:val="clear" w:color="auto" w:fill="FFFFFF"/>
            <w:tcMar>
              <w:top w:w="0" w:type="dxa"/>
              <w:left w:w="20" w:type="dxa"/>
              <w:bottom w:w="0" w:type="dxa"/>
              <w:right w:w="20" w:type="dxa"/>
            </w:tcMar>
          </w:tcPr>
          <w:p w14:paraId="4090E31D"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31E"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31F"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320"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321"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322"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323" w14:textId="77777777" w:rsidR="00833634" w:rsidRDefault="00833634">
            <w:pPr>
              <w:rPr>
                <w:rFonts w:ascii="宋体"/>
              </w:rPr>
            </w:pPr>
          </w:p>
        </w:tc>
      </w:tr>
      <w:tr w:rsidR="00833634" w14:paraId="4090E33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325" w14:textId="77777777" w:rsidR="00833634" w:rsidRDefault="00E15D51">
            <w:pPr>
              <w:ind w:firstLine="180"/>
              <w:textAlignment w:val="bottom"/>
            </w:pPr>
            <w:r>
              <w:rPr>
                <w:rFonts w:ascii="Arial" w:eastAsia="宋体" w:hAnsi="Arial" w:cs="Arial"/>
                <w:color w:val="000000"/>
                <w:sz w:val="20"/>
                <w:szCs w:val="20"/>
              </w:rPr>
              <w:t>Basic</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26" w14:textId="77777777" w:rsidR="00833634" w:rsidRDefault="00E15D51">
            <w:pPr>
              <w:jc w:val="right"/>
              <w:textAlignment w:val="bottom"/>
            </w:pPr>
            <w:r>
              <w:rPr>
                <w:rFonts w:ascii="Arial" w:eastAsia="宋体" w:hAnsi="Arial" w:cs="Arial"/>
                <w:b/>
                <w:bCs/>
                <w:color w:val="000000"/>
                <w:sz w:val="20"/>
                <w:szCs w:val="20"/>
              </w:rPr>
              <w:t>($6.10)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2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32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29" w14:textId="77777777" w:rsidR="00833634" w:rsidRDefault="00E15D51">
            <w:pPr>
              <w:jc w:val="right"/>
              <w:textAlignment w:val="bottom"/>
            </w:pPr>
            <w:r>
              <w:rPr>
                <w:rFonts w:ascii="Arial" w:eastAsia="宋体" w:hAnsi="Arial" w:cs="Arial"/>
                <w:color w:val="000000"/>
                <w:sz w:val="20"/>
                <w:szCs w:val="20"/>
              </w:rPr>
              <w:t>$0.66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2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32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2C" w14:textId="77777777" w:rsidR="00833634" w:rsidRDefault="00E15D51">
            <w:pPr>
              <w:jc w:val="right"/>
              <w:textAlignment w:val="bottom"/>
            </w:pPr>
            <w:r>
              <w:rPr>
                <w:rFonts w:ascii="Arial" w:eastAsia="宋体" w:hAnsi="Arial" w:cs="Arial"/>
                <w:b/>
                <w:bCs/>
                <w:color w:val="000000"/>
                <w:sz w:val="20"/>
                <w:szCs w:val="20"/>
              </w:rPr>
              <w:t>($0.79)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2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32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2F" w14:textId="77777777" w:rsidR="00833634" w:rsidRDefault="00E15D51">
            <w:pPr>
              <w:jc w:val="right"/>
              <w:textAlignment w:val="bottom"/>
            </w:pPr>
            <w:r>
              <w:rPr>
                <w:rFonts w:ascii="Arial" w:eastAsia="宋体" w:hAnsi="Arial" w:cs="Arial"/>
                <w:color w:val="000000"/>
                <w:sz w:val="20"/>
                <w:szCs w:val="20"/>
              </w:rPr>
              <w:t>$2.07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30" w14:textId="77777777" w:rsidR="00833634" w:rsidRDefault="00833634">
            <w:pPr>
              <w:jc w:val="right"/>
              <w:rPr>
                <w:rFonts w:ascii="宋体"/>
              </w:rPr>
            </w:pPr>
          </w:p>
        </w:tc>
      </w:tr>
      <w:tr w:rsidR="00833634" w14:paraId="4090E33E" w14:textId="77777777">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4090E332" w14:textId="77777777" w:rsidR="00833634" w:rsidRDefault="00E15D51">
            <w:pPr>
              <w:ind w:firstLine="180"/>
              <w:textAlignment w:val="bottom"/>
            </w:pPr>
            <w:r>
              <w:rPr>
                <w:rFonts w:ascii="Arial" w:eastAsia="宋体" w:hAnsi="Arial" w:cs="Arial"/>
                <w:color w:val="000000"/>
                <w:sz w:val="20"/>
                <w:szCs w:val="20"/>
              </w:rPr>
              <w:t>Diluted</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333" w14:textId="77777777" w:rsidR="00833634" w:rsidRDefault="00E15D51">
            <w:pPr>
              <w:jc w:val="right"/>
              <w:textAlignment w:val="bottom"/>
            </w:pPr>
            <w:r>
              <w:rPr>
                <w:rFonts w:ascii="Arial" w:eastAsia="宋体" w:hAnsi="Arial" w:cs="Arial"/>
                <w:b/>
                <w:bCs/>
                <w:color w:val="000000"/>
                <w:sz w:val="20"/>
                <w:szCs w:val="20"/>
              </w:rPr>
              <w:t>(6.10)</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334" w14:textId="77777777" w:rsidR="00833634" w:rsidRDefault="00833634">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4090E335"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336" w14:textId="77777777" w:rsidR="00833634" w:rsidRDefault="00E15D51">
            <w:pPr>
              <w:jc w:val="right"/>
              <w:textAlignment w:val="bottom"/>
            </w:pPr>
            <w:r>
              <w:rPr>
                <w:rFonts w:ascii="Arial" w:eastAsia="宋体" w:hAnsi="Arial" w:cs="Arial"/>
                <w:color w:val="000000"/>
                <w:sz w:val="20"/>
                <w:szCs w:val="20"/>
              </w:rPr>
              <w:t>0.66 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337" w14:textId="77777777" w:rsidR="00833634" w:rsidRDefault="00833634">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4090E338"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339" w14:textId="77777777" w:rsidR="00833634" w:rsidRDefault="00E15D51">
            <w:pPr>
              <w:jc w:val="right"/>
              <w:textAlignment w:val="bottom"/>
            </w:pPr>
            <w:r>
              <w:rPr>
                <w:rFonts w:ascii="Arial" w:eastAsia="宋体" w:hAnsi="Arial" w:cs="Arial"/>
                <w:b/>
                <w:bCs/>
                <w:color w:val="000000"/>
                <w:sz w:val="20"/>
                <w:szCs w:val="20"/>
              </w:rPr>
              <w:t>(0.79)</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33A" w14:textId="77777777" w:rsidR="00833634" w:rsidRDefault="00833634">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4090E33B"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33C" w14:textId="77777777" w:rsidR="00833634" w:rsidRDefault="00E15D51">
            <w:pPr>
              <w:jc w:val="right"/>
              <w:textAlignment w:val="bottom"/>
            </w:pPr>
            <w:r>
              <w:rPr>
                <w:rFonts w:ascii="Arial" w:eastAsia="宋体" w:hAnsi="Arial" w:cs="Arial"/>
                <w:color w:val="000000"/>
                <w:sz w:val="20"/>
                <w:szCs w:val="20"/>
              </w:rPr>
              <w:t>2.05 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33D" w14:textId="77777777" w:rsidR="00833634" w:rsidRDefault="00833634">
            <w:pPr>
              <w:jc w:val="right"/>
              <w:rPr>
                <w:rFonts w:ascii="宋体"/>
              </w:rPr>
            </w:pPr>
          </w:p>
        </w:tc>
      </w:tr>
    </w:tbl>
    <w:p w14:paraId="4090E33F" w14:textId="77777777" w:rsidR="00833634" w:rsidRDefault="00E15D51">
      <w:pPr>
        <w:spacing w:after="18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Diluted earnings per share includes any dilutive impact of stock options, restricted stock units, performance-based restricted stock </w:t>
      </w:r>
      <w:r>
        <w:rPr>
          <w:rFonts w:ascii="Arial" w:eastAsia="宋体" w:hAnsi="Arial" w:cs="Arial"/>
          <w:color w:val="000000"/>
          <w:sz w:val="20"/>
          <w:szCs w:val="20"/>
        </w:rPr>
        <w:t>units and performance awards.</w:t>
      </w:r>
    </w:p>
    <w:p w14:paraId="4090E340" w14:textId="77777777" w:rsidR="00833634" w:rsidRDefault="00E15D51">
      <w:pPr>
        <w:jc w:val="both"/>
      </w:pPr>
      <w:r>
        <w:rPr>
          <w:rFonts w:ascii="Arial" w:eastAsia="宋体" w:hAnsi="Arial" w:cs="Arial"/>
          <w:color w:val="000000"/>
          <w:sz w:val="20"/>
          <w:szCs w:val="20"/>
        </w:rPr>
        <w:t>As a result of incurring a net loss for the nine and three months ended September 30, 2020 potential common shares of 1.6 million and 1.3 million were excluded from diluted loss per share because the effect would have been ant</w:t>
      </w:r>
      <w:r>
        <w:rPr>
          <w:rFonts w:ascii="Arial" w:eastAsia="宋体" w:hAnsi="Arial" w:cs="Arial"/>
          <w:color w:val="000000"/>
          <w:sz w:val="20"/>
          <w:szCs w:val="20"/>
        </w:rPr>
        <w:t xml:space="preserve">idilutive. In addition, the following table includes the number of shares that may </w:t>
      </w:r>
    </w:p>
    <w:p w14:paraId="4090E341" w14:textId="77777777" w:rsidR="00833634" w:rsidRDefault="00E15D51">
      <w:pPr>
        <w:spacing w:after="180"/>
        <w:jc w:val="center"/>
      </w:pPr>
      <w:r>
        <w:rPr>
          <w:rFonts w:ascii="Arial" w:eastAsia="宋体" w:hAnsi="Arial" w:cs="Arial"/>
          <w:color w:val="000000"/>
          <w:sz w:val="18"/>
          <w:szCs w:val="18"/>
        </w:rPr>
        <w:t>11</w:t>
      </w:r>
    </w:p>
    <w:p w14:paraId="4090E342" w14:textId="77777777" w:rsidR="00833634" w:rsidRDefault="00E15D51">
      <w:r>
        <w:pict w14:anchorId="4090FE2B">
          <v:rect id="_x0000_i1037" style="width:415.3pt;height:1.5pt" o:hralign="center" o:hrstd="t" o:hr="t" fillcolor="#a0a0a0" stroked="f"/>
        </w:pict>
      </w:r>
    </w:p>
    <w:p w14:paraId="4090E343" w14:textId="77777777" w:rsidR="00833634" w:rsidRDefault="00E15D51">
      <w:pPr>
        <w:spacing w:after="180"/>
        <w:jc w:val="both"/>
      </w:pPr>
      <w:hyperlink r:id="rId114" w:anchor="i8d805bfb1e1c4815a1dcd5b6d1e0b117_10" w:history="1">
        <w:r>
          <w:rPr>
            <w:rStyle w:val="a5"/>
            <w:rFonts w:ascii="Arial" w:eastAsia="宋体" w:hAnsi="Arial" w:cs="Arial"/>
            <w:sz w:val="18"/>
            <w:szCs w:val="18"/>
          </w:rPr>
          <w:t>Table of Contents</w:t>
        </w:r>
      </w:hyperlink>
    </w:p>
    <w:p w14:paraId="4090E344" w14:textId="77777777" w:rsidR="00833634" w:rsidRDefault="00E15D51">
      <w:pPr>
        <w:jc w:val="both"/>
      </w:pPr>
      <w:r>
        <w:rPr>
          <w:rFonts w:ascii="Arial" w:eastAsia="宋体" w:hAnsi="Arial" w:cs="Arial"/>
          <w:color w:val="000000"/>
          <w:sz w:val="20"/>
          <w:szCs w:val="20"/>
        </w:rPr>
        <w:t>be dilutive potential common shares in the future. These shares were not included in t</w:t>
      </w:r>
      <w:r>
        <w:rPr>
          <w:rFonts w:ascii="Arial" w:eastAsia="宋体" w:hAnsi="Arial" w:cs="Arial"/>
          <w:color w:val="000000"/>
          <w:sz w:val="20"/>
          <w:szCs w:val="20"/>
        </w:rPr>
        <w:t>he computation of diluted loss per share because the effect was either antidilutive or the performance condition was not met.</w:t>
      </w:r>
    </w:p>
    <w:tbl>
      <w:tblPr>
        <w:tblW w:w="5000" w:type="pct"/>
        <w:tblCellMar>
          <w:top w:w="15" w:type="dxa"/>
          <w:left w:w="15" w:type="dxa"/>
          <w:bottom w:w="15" w:type="dxa"/>
          <w:right w:w="15" w:type="dxa"/>
        </w:tblCellMar>
        <w:tblLook w:val="04A0" w:firstRow="1" w:lastRow="0" w:firstColumn="1" w:lastColumn="0" w:noHBand="0" w:noVBand="1"/>
      </w:tblPr>
      <w:tblGrid>
        <w:gridCol w:w="59"/>
        <w:gridCol w:w="4442"/>
        <w:gridCol w:w="38"/>
        <w:gridCol w:w="59"/>
        <w:gridCol w:w="778"/>
        <w:gridCol w:w="37"/>
        <w:gridCol w:w="37"/>
        <w:gridCol w:w="37"/>
        <w:gridCol w:w="37"/>
        <w:gridCol w:w="48"/>
        <w:gridCol w:w="778"/>
        <w:gridCol w:w="36"/>
        <w:gridCol w:w="36"/>
        <w:gridCol w:w="36"/>
        <w:gridCol w:w="36"/>
        <w:gridCol w:w="50"/>
        <w:gridCol w:w="779"/>
        <w:gridCol w:w="37"/>
        <w:gridCol w:w="37"/>
        <w:gridCol w:w="37"/>
        <w:gridCol w:w="37"/>
        <w:gridCol w:w="50"/>
        <w:gridCol w:w="779"/>
        <w:gridCol w:w="36"/>
      </w:tblGrid>
      <w:tr w:rsidR="00833634" w14:paraId="4090E35D" w14:textId="77777777">
        <w:tc>
          <w:tcPr>
            <w:tcW w:w="50" w:type="pct"/>
            <w:shd w:val="clear" w:color="auto" w:fill="auto"/>
          </w:tcPr>
          <w:p w14:paraId="4090E345" w14:textId="77777777" w:rsidR="00833634" w:rsidRDefault="00833634">
            <w:pPr>
              <w:rPr>
                <w:rFonts w:ascii="宋体"/>
              </w:rPr>
            </w:pPr>
          </w:p>
        </w:tc>
        <w:tc>
          <w:tcPr>
            <w:tcW w:w="2677" w:type="pct"/>
            <w:shd w:val="clear" w:color="auto" w:fill="auto"/>
          </w:tcPr>
          <w:p w14:paraId="4090E346" w14:textId="77777777" w:rsidR="00833634" w:rsidRDefault="00833634">
            <w:pPr>
              <w:rPr>
                <w:rFonts w:ascii="宋体"/>
              </w:rPr>
            </w:pPr>
          </w:p>
        </w:tc>
        <w:tc>
          <w:tcPr>
            <w:tcW w:w="5" w:type="pct"/>
            <w:shd w:val="clear" w:color="auto" w:fill="auto"/>
          </w:tcPr>
          <w:p w14:paraId="4090E347" w14:textId="77777777" w:rsidR="00833634" w:rsidRDefault="00833634">
            <w:pPr>
              <w:rPr>
                <w:rFonts w:ascii="宋体"/>
              </w:rPr>
            </w:pPr>
          </w:p>
        </w:tc>
        <w:tc>
          <w:tcPr>
            <w:tcW w:w="50" w:type="pct"/>
            <w:shd w:val="clear" w:color="auto" w:fill="auto"/>
          </w:tcPr>
          <w:p w14:paraId="4090E348" w14:textId="77777777" w:rsidR="00833634" w:rsidRDefault="00833634">
            <w:pPr>
              <w:rPr>
                <w:rFonts w:ascii="宋体"/>
              </w:rPr>
            </w:pPr>
          </w:p>
        </w:tc>
        <w:tc>
          <w:tcPr>
            <w:tcW w:w="481" w:type="pct"/>
            <w:shd w:val="clear" w:color="auto" w:fill="auto"/>
          </w:tcPr>
          <w:p w14:paraId="4090E349" w14:textId="77777777" w:rsidR="00833634" w:rsidRDefault="00833634">
            <w:pPr>
              <w:rPr>
                <w:rFonts w:ascii="宋体"/>
              </w:rPr>
            </w:pPr>
          </w:p>
        </w:tc>
        <w:tc>
          <w:tcPr>
            <w:tcW w:w="5" w:type="pct"/>
            <w:shd w:val="clear" w:color="auto" w:fill="auto"/>
          </w:tcPr>
          <w:p w14:paraId="4090E34A" w14:textId="77777777" w:rsidR="00833634" w:rsidRDefault="00833634">
            <w:pPr>
              <w:rPr>
                <w:rFonts w:ascii="宋体"/>
              </w:rPr>
            </w:pPr>
          </w:p>
        </w:tc>
        <w:tc>
          <w:tcPr>
            <w:tcW w:w="5" w:type="pct"/>
            <w:shd w:val="clear" w:color="auto" w:fill="auto"/>
          </w:tcPr>
          <w:p w14:paraId="4090E34B" w14:textId="77777777" w:rsidR="00833634" w:rsidRDefault="00833634">
            <w:pPr>
              <w:rPr>
                <w:rFonts w:ascii="宋体"/>
              </w:rPr>
            </w:pPr>
          </w:p>
        </w:tc>
        <w:tc>
          <w:tcPr>
            <w:tcW w:w="30" w:type="pct"/>
            <w:shd w:val="clear" w:color="auto" w:fill="auto"/>
          </w:tcPr>
          <w:p w14:paraId="4090E34C" w14:textId="77777777" w:rsidR="00833634" w:rsidRDefault="00833634">
            <w:pPr>
              <w:rPr>
                <w:rFonts w:ascii="宋体"/>
              </w:rPr>
            </w:pPr>
          </w:p>
        </w:tc>
        <w:tc>
          <w:tcPr>
            <w:tcW w:w="5" w:type="pct"/>
            <w:shd w:val="clear" w:color="auto" w:fill="auto"/>
          </w:tcPr>
          <w:p w14:paraId="4090E34D" w14:textId="77777777" w:rsidR="00833634" w:rsidRDefault="00833634">
            <w:pPr>
              <w:rPr>
                <w:rFonts w:ascii="宋体"/>
              </w:rPr>
            </w:pPr>
          </w:p>
        </w:tc>
        <w:tc>
          <w:tcPr>
            <w:tcW w:w="50" w:type="pct"/>
            <w:shd w:val="clear" w:color="auto" w:fill="auto"/>
          </w:tcPr>
          <w:p w14:paraId="4090E34E" w14:textId="77777777" w:rsidR="00833634" w:rsidRDefault="00833634">
            <w:pPr>
              <w:rPr>
                <w:rFonts w:ascii="宋体"/>
              </w:rPr>
            </w:pPr>
          </w:p>
        </w:tc>
        <w:tc>
          <w:tcPr>
            <w:tcW w:w="481" w:type="pct"/>
            <w:shd w:val="clear" w:color="auto" w:fill="auto"/>
          </w:tcPr>
          <w:p w14:paraId="4090E34F" w14:textId="77777777" w:rsidR="00833634" w:rsidRDefault="00833634">
            <w:pPr>
              <w:rPr>
                <w:rFonts w:ascii="宋体"/>
              </w:rPr>
            </w:pPr>
          </w:p>
        </w:tc>
        <w:tc>
          <w:tcPr>
            <w:tcW w:w="5" w:type="pct"/>
            <w:shd w:val="clear" w:color="auto" w:fill="auto"/>
          </w:tcPr>
          <w:p w14:paraId="4090E350" w14:textId="77777777" w:rsidR="00833634" w:rsidRDefault="00833634">
            <w:pPr>
              <w:rPr>
                <w:rFonts w:ascii="宋体"/>
              </w:rPr>
            </w:pPr>
          </w:p>
        </w:tc>
        <w:tc>
          <w:tcPr>
            <w:tcW w:w="5" w:type="pct"/>
            <w:shd w:val="clear" w:color="auto" w:fill="auto"/>
          </w:tcPr>
          <w:p w14:paraId="4090E351" w14:textId="77777777" w:rsidR="00833634" w:rsidRDefault="00833634">
            <w:pPr>
              <w:rPr>
                <w:rFonts w:ascii="宋体"/>
              </w:rPr>
            </w:pPr>
          </w:p>
        </w:tc>
        <w:tc>
          <w:tcPr>
            <w:tcW w:w="30" w:type="pct"/>
            <w:shd w:val="clear" w:color="auto" w:fill="auto"/>
          </w:tcPr>
          <w:p w14:paraId="4090E352" w14:textId="77777777" w:rsidR="00833634" w:rsidRDefault="00833634">
            <w:pPr>
              <w:rPr>
                <w:rFonts w:ascii="宋体"/>
              </w:rPr>
            </w:pPr>
          </w:p>
        </w:tc>
        <w:tc>
          <w:tcPr>
            <w:tcW w:w="5" w:type="pct"/>
            <w:shd w:val="clear" w:color="auto" w:fill="auto"/>
          </w:tcPr>
          <w:p w14:paraId="4090E353" w14:textId="77777777" w:rsidR="00833634" w:rsidRDefault="00833634">
            <w:pPr>
              <w:rPr>
                <w:rFonts w:ascii="宋体"/>
              </w:rPr>
            </w:pPr>
          </w:p>
        </w:tc>
        <w:tc>
          <w:tcPr>
            <w:tcW w:w="50" w:type="pct"/>
            <w:shd w:val="clear" w:color="auto" w:fill="auto"/>
          </w:tcPr>
          <w:p w14:paraId="4090E354" w14:textId="77777777" w:rsidR="00833634" w:rsidRDefault="00833634">
            <w:pPr>
              <w:rPr>
                <w:rFonts w:ascii="宋体"/>
              </w:rPr>
            </w:pPr>
          </w:p>
        </w:tc>
        <w:tc>
          <w:tcPr>
            <w:tcW w:w="481" w:type="pct"/>
            <w:shd w:val="clear" w:color="auto" w:fill="auto"/>
          </w:tcPr>
          <w:p w14:paraId="4090E355" w14:textId="77777777" w:rsidR="00833634" w:rsidRDefault="00833634">
            <w:pPr>
              <w:rPr>
                <w:rFonts w:ascii="宋体"/>
              </w:rPr>
            </w:pPr>
          </w:p>
        </w:tc>
        <w:tc>
          <w:tcPr>
            <w:tcW w:w="5" w:type="pct"/>
            <w:shd w:val="clear" w:color="auto" w:fill="auto"/>
          </w:tcPr>
          <w:p w14:paraId="4090E356" w14:textId="77777777" w:rsidR="00833634" w:rsidRDefault="00833634">
            <w:pPr>
              <w:rPr>
                <w:rFonts w:ascii="宋体"/>
              </w:rPr>
            </w:pPr>
          </w:p>
        </w:tc>
        <w:tc>
          <w:tcPr>
            <w:tcW w:w="5" w:type="pct"/>
            <w:shd w:val="clear" w:color="auto" w:fill="auto"/>
          </w:tcPr>
          <w:p w14:paraId="4090E357" w14:textId="77777777" w:rsidR="00833634" w:rsidRDefault="00833634">
            <w:pPr>
              <w:rPr>
                <w:rFonts w:ascii="宋体"/>
              </w:rPr>
            </w:pPr>
          </w:p>
        </w:tc>
        <w:tc>
          <w:tcPr>
            <w:tcW w:w="30" w:type="pct"/>
            <w:shd w:val="clear" w:color="auto" w:fill="auto"/>
          </w:tcPr>
          <w:p w14:paraId="4090E358" w14:textId="77777777" w:rsidR="00833634" w:rsidRDefault="00833634">
            <w:pPr>
              <w:rPr>
                <w:rFonts w:ascii="宋体"/>
              </w:rPr>
            </w:pPr>
          </w:p>
        </w:tc>
        <w:tc>
          <w:tcPr>
            <w:tcW w:w="5" w:type="pct"/>
            <w:shd w:val="clear" w:color="auto" w:fill="auto"/>
          </w:tcPr>
          <w:p w14:paraId="4090E359" w14:textId="77777777" w:rsidR="00833634" w:rsidRDefault="00833634">
            <w:pPr>
              <w:rPr>
                <w:rFonts w:ascii="宋体"/>
              </w:rPr>
            </w:pPr>
          </w:p>
        </w:tc>
        <w:tc>
          <w:tcPr>
            <w:tcW w:w="50" w:type="pct"/>
            <w:shd w:val="clear" w:color="auto" w:fill="auto"/>
          </w:tcPr>
          <w:p w14:paraId="4090E35A" w14:textId="77777777" w:rsidR="00833634" w:rsidRDefault="00833634">
            <w:pPr>
              <w:rPr>
                <w:rFonts w:ascii="宋体"/>
              </w:rPr>
            </w:pPr>
          </w:p>
        </w:tc>
        <w:tc>
          <w:tcPr>
            <w:tcW w:w="481" w:type="pct"/>
            <w:shd w:val="clear" w:color="auto" w:fill="auto"/>
          </w:tcPr>
          <w:p w14:paraId="4090E35B" w14:textId="77777777" w:rsidR="00833634" w:rsidRDefault="00833634">
            <w:pPr>
              <w:rPr>
                <w:rFonts w:ascii="宋体"/>
              </w:rPr>
            </w:pPr>
          </w:p>
        </w:tc>
        <w:tc>
          <w:tcPr>
            <w:tcW w:w="5" w:type="pct"/>
            <w:shd w:val="clear" w:color="auto" w:fill="auto"/>
          </w:tcPr>
          <w:p w14:paraId="4090E35C" w14:textId="77777777" w:rsidR="00833634" w:rsidRDefault="00833634">
            <w:pPr>
              <w:rPr>
                <w:rFonts w:ascii="宋体"/>
              </w:rPr>
            </w:pPr>
          </w:p>
        </w:tc>
      </w:tr>
      <w:tr w:rsidR="00833634" w14:paraId="4090E362" w14:textId="77777777">
        <w:tc>
          <w:tcPr>
            <w:tcW w:w="0" w:type="auto"/>
            <w:gridSpan w:val="3"/>
            <w:shd w:val="clear" w:color="auto" w:fill="auto"/>
            <w:tcMar>
              <w:top w:w="40" w:type="dxa"/>
              <w:left w:w="20" w:type="dxa"/>
              <w:bottom w:w="40" w:type="dxa"/>
              <w:right w:w="20" w:type="dxa"/>
            </w:tcMar>
            <w:vAlign w:val="bottom"/>
          </w:tcPr>
          <w:p w14:paraId="4090E35E" w14:textId="77777777" w:rsidR="00833634" w:rsidRDefault="00E15D51">
            <w:pPr>
              <w:textAlignment w:val="bottom"/>
            </w:pPr>
            <w:r>
              <w:rPr>
                <w:rFonts w:ascii="Arial" w:eastAsia="宋体" w:hAnsi="Arial" w:cs="Arial"/>
                <w:i/>
                <w:iCs/>
                <w:color w:val="000000"/>
                <w:sz w:val="20"/>
                <w:szCs w:val="20"/>
              </w:rPr>
              <w:t>(Shares in millions)</w:t>
            </w:r>
          </w:p>
        </w:tc>
        <w:tc>
          <w:tcPr>
            <w:tcW w:w="0" w:type="auto"/>
            <w:gridSpan w:val="9"/>
            <w:shd w:val="clear" w:color="auto" w:fill="auto"/>
            <w:tcMar>
              <w:top w:w="40" w:type="dxa"/>
              <w:left w:w="20" w:type="dxa"/>
              <w:bottom w:w="40" w:type="dxa"/>
              <w:right w:w="20" w:type="dxa"/>
            </w:tcMar>
            <w:vAlign w:val="bottom"/>
          </w:tcPr>
          <w:p w14:paraId="4090E35F"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E360"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361"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36B" w14:textId="77777777">
        <w:tc>
          <w:tcPr>
            <w:tcW w:w="0" w:type="auto"/>
            <w:gridSpan w:val="3"/>
            <w:tcBorders>
              <w:top w:val="single" w:sz="8" w:space="0" w:color="000000"/>
            </w:tcBorders>
            <w:shd w:val="clear" w:color="auto" w:fill="FFFFFF"/>
            <w:tcMar>
              <w:top w:w="0" w:type="dxa"/>
              <w:left w:w="20" w:type="dxa"/>
              <w:bottom w:w="0" w:type="dxa"/>
              <w:right w:w="20" w:type="dxa"/>
            </w:tcMar>
          </w:tcPr>
          <w:p w14:paraId="4090E363"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364"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4090E365"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366"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FFFFFF"/>
            <w:tcMar>
              <w:top w:w="0" w:type="dxa"/>
              <w:left w:w="20" w:type="dxa"/>
              <w:bottom w:w="0" w:type="dxa"/>
              <w:right w:w="20" w:type="dxa"/>
            </w:tcMar>
          </w:tcPr>
          <w:p w14:paraId="4090E367"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368"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4090E369"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36A" w14:textId="77777777" w:rsidR="00833634" w:rsidRDefault="00E15D51">
            <w:pPr>
              <w:jc w:val="right"/>
              <w:textAlignment w:val="bottom"/>
            </w:pPr>
            <w:r>
              <w:rPr>
                <w:rFonts w:ascii="Arial" w:eastAsia="宋体" w:hAnsi="Arial" w:cs="Arial"/>
                <w:color w:val="000000"/>
                <w:sz w:val="20"/>
                <w:szCs w:val="20"/>
              </w:rPr>
              <w:t>2019</w:t>
            </w:r>
          </w:p>
        </w:tc>
      </w:tr>
      <w:tr w:rsidR="00833634" w14:paraId="4090E37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36C" w14:textId="77777777" w:rsidR="00833634" w:rsidRDefault="00E15D51">
            <w:pPr>
              <w:textAlignment w:val="bottom"/>
            </w:pPr>
            <w:r>
              <w:rPr>
                <w:rFonts w:ascii="Arial" w:eastAsia="宋体" w:hAnsi="Arial" w:cs="Arial"/>
                <w:color w:val="000000"/>
                <w:sz w:val="20"/>
                <w:szCs w:val="20"/>
              </w:rPr>
              <w:t>Performance awards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6D" w14:textId="77777777" w:rsidR="00833634" w:rsidRDefault="00E15D51">
            <w:pPr>
              <w:jc w:val="right"/>
              <w:textAlignment w:val="bottom"/>
            </w:pPr>
            <w:r>
              <w:rPr>
                <w:rFonts w:ascii="Arial" w:eastAsia="宋体" w:hAnsi="Arial" w:cs="Arial"/>
                <w:b/>
                <w:bCs/>
                <w:color w:val="000000"/>
                <w:sz w:val="20"/>
                <w:szCs w:val="20"/>
              </w:rPr>
              <w:t>6.1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6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36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70" w14:textId="77777777" w:rsidR="00833634" w:rsidRDefault="00E15D51">
            <w:pPr>
              <w:jc w:val="right"/>
              <w:textAlignment w:val="bottom"/>
            </w:pPr>
            <w:r>
              <w:rPr>
                <w:rFonts w:ascii="Arial" w:eastAsia="宋体" w:hAnsi="Arial" w:cs="Arial"/>
                <w:color w:val="000000"/>
                <w:sz w:val="20"/>
                <w:szCs w:val="20"/>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7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37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73" w14:textId="77777777" w:rsidR="00833634" w:rsidRDefault="00E15D51">
            <w:pPr>
              <w:jc w:val="right"/>
              <w:textAlignment w:val="bottom"/>
            </w:pPr>
            <w:r>
              <w:rPr>
                <w:rFonts w:ascii="Arial" w:eastAsia="宋体" w:hAnsi="Arial" w:cs="Arial"/>
                <w:b/>
                <w:bCs/>
                <w:color w:val="000000"/>
                <w:sz w:val="20"/>
                <w:szCs w:val="20"/>
              </w:rPr>
              <w:t>6.0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7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37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76" w14:textId="77777777" w:rsidR="00833634" w:rsidRDefault="00E15D51">
            <w:pPr>
              <w:jc w:val="right"/>
              <w:textAlignment w:val="bottom"/>
            </w:pPr>
            <w:r>
              <w:rPr>
                <w:rFonts w:ascii="Arial" w:eastAsia="宋体" w:hAnsi="Arial" w:cs="Arial"/>
                <w:color w:val="000000"/>
                <w:sz w:val="20"/>
                <w:szCs w:val="20"/>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77" w14:textId="77777777" w:rsidR="00833634" w:rsidRDefault="00833634">
            <w:pPr>
              <w:jc w:val="right"/>
              <w:rPr>
                <w:rFonts w:ascii="宋体"/>
              </w:rPr>
            </w:pPr>
          </w:p>
        </w:tc>
      </w:tr>
      <w:tr w:rsidR="00833634" w14:paraId="4090E385" w14:textId="77777777">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4090E379" w14:textId="77777777" w:rsidR="00833634" w:rsidRDefault="00E15D51">
            <w:pPr>
              <w:textAlignment w:val="bottom"/>
            </w:pPr>
            <w:r>
              <w:rPr>
                <w:rFonts w:ascii="Arial" w:eastAsia="宋体" w:hAnsi="Arial" w:cs="Arial"/>
                <w:color w:val="000000"/>
                <w:sz w:val="20"/>
                <w:szCs w:val="20"/>
              </w:rPr>
              <w:t>Performance-based restricted stock units</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37A" w14:textId="77777777" w:rsidR="00833634" w:rsidRDefault="00E15D51">
            <w:pPr>
              <w:jc w:val="right"/>
              <w:textAlignment w:val="bottom"/>
            </w:pPr>
            <w:r>
              <w:rPr>
                <w:rFonts w:ascii="Arial" w:eastAsia="宋体" w:hAnsi="Arial" w:cs="Arial"/>
                <w:b/>
                <w:bCs/>
                <w:color w:val="000000"/>
                <w:sz w:val="20"/>
                <w:szCs w:val="20"/>
              </w:rPr>
              <w:t>1.4</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37B" w14:textId="77777777" w:rsidR="00833634" w:rsidRDefault="00833634">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4090E37C"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37D" w14:textId="77777777" w:rsidR="00833634" w:rsidRDefault="00E15D51">
            <w:pPr>
              <w:jc w:val="right"/>
              <w:textAlignment w:val="bottom"/>
            </w:pPr>
            <w:r>
              <w:rPr>
                <w:rFonts w:ascii="Arial" w:eastAsia="宋体" w:hAnsi="Arial" w:cs="Arial"/>
                <w:color w:val="000000"/>
                <w:sz w:val="20"/>
                <w:szCs w:val="20"/>
              </w:rPr>
              <w:t>0.6 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37E" w14:textId="77777777" w:rsidR="00833634" w:rsidRDefault="00833634">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4090E37F"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380" w14:textId="77777777" w:rsidR="00833634" w:rsidRDefault="00E15D51">
            <w:pPr>
              <w:jc w:val="right"/>
              <w:textAlignment w:val="bottom"/>
            </w:pPr>
            <w:r>
              <w:rPr>
                <w:rFonts w:ascii="Arial" w:eastAsia="宋体" w:hAnsi="Arial" w:cs="Arial"/>
                <w:b/>
                <w:bCs/>
                <w:color w:val="000000"/>
                <w:sz w:val="20"/>
                <w:szCs w:val="20"/>
              </w:rPr>
              <w:t>1.3</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381" w14:textId="77777777" w:rsidR="00833634" w:rsidRDefault="00833634">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4090E382"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383" w14:textId="77777777" w:rsidR="00833634" w:rsidRDefault="00E15D51">
            <w:pPr>
              <w:jc w:val="right"/>
              <w:textAlignment w:val="bottom"/>
            </w:pPr>
            <w:r>
              <w:rPr>
                <w:rFonts w:ascii="Arial" w:eastAsia="宋体" w:hAnsi="Arial" w:cs="Arial"/>
                <w:color w:val="000000"/>
                <w:sz w:val="20"/>
                <w:szCs w:val="20"/>
              </w:rPr>
              <w:t>0.6 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384" w14:textId="77777777" w:rsidR="00833634" w:rsidRDefault="00833634">
            <w:pPr>
              <w:jc w:val="right"/>
              <w:rPr>
                <w:rFonts w:ascii="宋体"/>
              </w:rPr>
            </w:pPr>
          </w:p>
        </w:tc>
      </w:tr>
    </w:tbl>
    <w:p w14:paraId="4090E386" w14:textId="77777777" w:rsidR="00833634" w:rsidRDefault="00E15D51">
      <w:pPr>
        <w:spacing w:before="300" w:after="180"/>
        <w:jc w:val="both"/>
      </w:pPr>
      <w:r>
        <w:rPr>
          <w:rFonts w:ascii="Arial" w:eastAsia="宋体" w:hAnsi="Arial" w:cs="Arial"/>
          <w:b/>
          <w:bCs/>
          <w:color w:val="000000"/>
          <w:sz w:val="20"/>
          <w:szCs w:val="20"/>
        </w:rPr>
        <w:t>Note 4 – Income Taxes</w:t>
      </w:r>
    </w:p>
    <w:p w14:paraId="4090E387" w14:textId="77777777" w:rsidR="00833634" w:rsidRDefault="00E15D51">
      <w:pPr>
        <w:spacing w:after="180"/>
        <w:jc w:val="both"/>
      </w:pPr>
      <w:r>
        <w:rPr>
          <w:rFonts w:ascii="Arial" w:eastAsia="宋体" w:hAnsi="Arial" w:cs="Arial"/>
          <w:color w:val="000000"/>
          <w:sz w:val="20"/>
          <w:szCs w:val="20"/>
        </w:rPr>
        <w:t>Our effective income tax rates were 40.1% and 49.6% for the nine and three months ended September 30, 2020 and (350.6)% and 0.8% for the same periods in the prior year. The 2020 tax rate includes t</w:t>
      </w:r>
      <w:r>
        <w:rPr>
          <w:rFonts w:ascii="Arial" w:eastAsia="宋体" w:hAnsi="Arial" w:cs="Arial"/>
          <w:color w:val="000000"/>
          <w:sz w:val="20"/>
          <w:szCs w:val="20"/>
        </w:rPr>
        <w:t>ax benefits from the CARES Act enacted on March 27, 2020 due to the Act's five year net operating loss carry back provision while the 2019 tax rate reflects tax benefits associated with intangible income derived from serving non-U.S. markets. The carry bac</w:t>
      </w:r>
      <w:r>
        <w:rPr>
          <w:rFonts w:ascii="Arial" w:eastAsia="宋体" w:hAnsi="Arial" w:cs="Arial"/>
          <w:color w:val="000000"/>
          <w:sz w:val="20"/>
          <w:szCs w:val="20"/>
        </w:rPr>
        <w:t>k provisions enable us to benefit from certain losses and re-measure certain deferred tax assets and liabilities at the former federal tax rate of 35%. The tax rates in 2020 and 2019 also reflect research and development tax credits and excess tax benefits</w:t>
      </w:r>
      <w:r>
        <w:rPr>
          <w:rFonts w:ascii="Arial" w:eastAsia="宋体" w:hAnsi="Arial" w:cs="Arial"/>
          <w:color w:val="000000"/>
          <w:sz w:val="20"/>
          <w:szCs w:val="20"/>
        </w:rPr>
        <w:t xml:space="preserve"> related to share-based payments. The year to date tax rate variance is primarily due to low pre-tax income in 2019, resulting in larger 2019 discrete tax rate benefits.</w:t>
      </w:r>
    </w:p>
    <w:p w14:paraId="4090E388" w14:textId="77777777" w:rsidR="00833634" w:rsidRDefault="00E15D51">
      <w:pPr>
        <w:spacing w:after="180"/>
        <w:jc w:val="both"/>
      </w:pPr>
      <w:r>
        <w:rPr>
          <w:rFonts w:ascii="Arial" w:eastAsia="宋体" w:hAnsi="Arial" w:cs="Arial"/>
          <w:color w:val="000000"/>
          <w:sz w:val="20"/>
          <w:szCs w:val="20"/>
        </w:rPr>
        <w:t xml:space="preserve">The Company has deferred income tax assets that can be used in future years to offset </w:t>
      </w:r>
      <w:r>
        <w:rPr>
          <w:rFonts w:ascii="Arial" w:eastAsia="宋体" w:hAnsi="Arial" w:cs="Arial"/>
          <w:color w:val="000000"/>
          <w:sz w:val="20"/>
          <w:szCs w:val="20"/>
        </w:rPr>
        <w:t xml:space="preserve">taxable income and reduce income taxes payable. The deferred income tax assets relate primarily to U.S. federal and state tax jurisdictions. Management has determined, based on the Company's history of prior operating earnings and its expectations for the </w:t>
      </w:r>
      <w:r>
        <w:rPr>
          <w:rFonts w:ascii="Arial" w:eastAsia="宋体" w:hAnsi="Arial" w:cs="Arial"/>
          <w:color w:val="000000"/>
          <w:sz w:val="20"/>
          <w:szCs w:val="20"/>
        </w:rPr>
        <w:t>future, and all other evidence, that future U.S. federal taxable income will more likely than not be sufficient to realize deferred income tax assets. We have valuation allowances for certain U.S. state deferred tax assets in jurisdictions where we have de</w:t>
      </w:r>
      <w:r>
        <w:rPr>
          <w:rFonts w:ascii="Arial" w:eastAsia="宋体" w:hAnsi="Arial" w:cs="Arial"/>
          <w:color w:val="000000"/>
          <w:sz w:val="20"/>
          <w:szCs w:val="20"/>
        </w:rPr>
        <w:t>termined it is not more likely than not that future taxable income will be sufficient to realize deferred income tax assets. If, however, our expectations for future income and/or other evidence changes, including assumptions regarding 737 MAX return to se</w:t>
      </w:r>
      <w:r>
        <w:rPr>
          <w:rFonts w:ascii="Arial" w:eastAsia="宋体" w:hAnsi="Arial" w:cs="Arial"/>
          <w:color w:val="000000"/>
          <w:sz w:val="20"/>
          <w:szCs w:val="20"/>
        </w:rPr>
        <w:t>rvice, we may record additional valuation allowances in future periods that may be material.</w:t>
      </w:r>
    </w:p>
    <w:p w14:paraId="4090E389" w14:textId="77777777" w:rsidR="00833634" w:rsidRDefault="00E15D51">
      <w:pPr>
        <w:spacing w:after="180"/>
        <w:jc w:val="both"/>
      </w:pPr>
      <w:r>
        <w:rPr>
          <w:rFonts w:ascii="Arial" w:eastAsia="宋体" w:hAnsi="Arial" w:cs="Arial"/>
          <w:color w:val="000000"/>
          <w:sz w:val="20"/>
          <w:szCs w:val="20"/>
        </w:rPr>
        <w:t>Federal income tax audits have been settled for all years prior to 2015. The Internal Revenue Service (IRS) began the 2015-2017 federal tax audit in the first quar</w:t>
      </w:r>
      <w:r>
        <w:rPr>
          <w:rFonts w:ascii="Arial" w:eastAsia="宋体" w:hAnsi="Arial" w:cs="Arial"/>
          <w:color w:val="000000"/>
          <w:sz w:val="20"/>
          <w:szCs w:val="20"/>
        </w:rPr>
        <w:t>ter of 2019. We are also subject to examination in major state and international jurisdictions for the 2007-2018 tax years. We believe appropriate provisions for all outstanding tax issues have been made for all jurisdictions and all open years.</w:t>
      </w:r>
    </w:p>
    <w:p w14:paraId="4090E38A" w14:textId="77777777" w:rsidR="00833634" w:rsidRDefault="00E15D51">
      <w:pPr>
        <w:spacing w:after="300"/>
        <w:jc w:val="both"/>
      </w:pPr>
      <w:r>
        <w:rPr>
          <w:rFonts w:ascii="Arial" w:eastAsia="宋体" w:hAnsi="Arial" w:cs="Arial"/>
          <w:color w:val="000000"/>
          <w:sz w:val="20"/>
          <w:szCs w:val="20"/>
        </w:rPr>
        <w:t>Audit outc</w:t>
      </w:r>
      <w:r>
        <w:rPr>
          <w:rFonts w:ascii="Arial" w:eastAsia="宋体" w:hAnsi="Arial" w:cs="Arial"/>
          <w:color w:val="000000"/>
          <w:sz w:val="20"/>
          <w:szCs w:val="20"/>
        </w:rPr>
        <w:t>omes and the timing of audit settlements are subject to significant uncertainty. It is reasonably possible that within the next 12 months unrecognized tax benefits related to federal matters under audit may decrease by up to $680 based on current estimates</w:t>
      </w:r>
      <w:r>
        <w:rPr>
          <w:rFonts w:ascii="Arial" w:eastAsia="宋体" w:hAnsi="Arial" w:cs="Arial"/>
          <w:color w:val="000000"/>
          <w:sz w:val="20"/>
          <w:szCs w:val="20"/>
        </w:rPr>
        <w:t>.</w:t>
      </w:r>
    </w:p>
    <w:p w14:paraId="4090E38B" w14:textId="77777777" w:rsidR="00833634" w:rsidRDefault="00E15D51">
      <w:pPr>
        <w:spacing w:after="180"/>
        <w:jc w:val="center"/>
      </w:pPr>
      <w:r>
        <w:rPr>
          <w:rFonts w:ascii="Arial" w:eastAsia="宋体" w:hAnsi="Arial" w:cs="Arial"/>
          <w:color w:val="000000"/>
          <w:sz w:val="18"/>
          <w:szCs w:val="18"/>
        </w:rPr>
        <w:t>12</w:t>
      </w:r>
    </w:p>
    <w:p w14:paraId="4090E38C" w14:textId="77777777" w:rsidR="00833634" w:rsidRDefault="00E15D51">
      <w:r>
        <w:pict w14:anchorId="4090FE2C">
          <v:rect id="_x0000_i1038" style="width:415.3pt;height:1.5pt" o:hralign="center" o:hrstd="t" o:hr="t" fillcolor="#a0a0a0" stroked="f"/>
        </w:pict>
      </w:r>
    </w:p>
    <w:p w14:paraId="4090E38D" w14:textId="77777777" w:rsidR="00833634" w:rsidRDefault="00E15D51">
      <w:pPr>
        <w:spacing w:after="180"/>
        <w:jc w:val="both"/>
      </w:pPr>
      <w:hyperlink r:id="rId115" w:anchor="i8d805bfb1e1c4815a1dcd5b6d1e0b117_10" w:history="1">
        <w:r>
          <w:rPr>
            <w:rStyle w:val="a5"/>
            <w:rFonts w:ascii="Arial" w:eastAsia="宋体" w:hAnsi="Arial" w:cs="Arial"/>
            <w:sz w:val="18"/>
            <w:szCs w:val="18"/>
          </w:rPr>
          <w:t>Table of Contents</w:t>
        </w:r>
      </w:hyperlink>
    </w:p>
    <w:p w14:paraId="4090E38E" w14:textId="77777777" w:rsidR="00833634" w:rsidRDefault="00E15D51">
      <w:pPr>
        <w:spacing w:before="300" w:after="180"/>
        <w:jc w:val="both"/>
      </w:pPr>
      <w:r>
        <w:rPr>
          <w:rFonts w:ascii="Arial" w:eastAsia="宋体" w:hAnsi="Arial" w:cs="Arial"/>
          <w:b/>
          <w:bCs/>
          <w:color w:val="000000"/>
          <w:sz w:val="20"/>
          <w:szCs w:val="20"/>
        </w:rPr>
        <w:t>Note 5 - Allowances for Losses on Financial Assets</w:t>
      </w:r>
    </w:p>
    <w:p w14:paraId="4090E38F" w14:textId="77777777" w:rsidR="00833634" w:rsidRDefault="00E15D51">
      <w:pPr>
        <w:jc w:val="both"/>
      </w:pPr>
      <w:r>
        <w:rPr>
          <w:rFonts w:ascii="Arial" w:eastAsia="宋体" w:hAnsi="Arial" w:cs="Arial"/>
          <w:color w:val="000000"/>
          <w:sz w:val="20"/>
          <w:szCs w:val="20"/>
        </w:rPr>
        <w:t>Upon adoption of ASU 2016-13</w:t>
      </w:r>
      <w:r>
        <w:rPr>
          <w:rFonts w:ascii="Arial" w:eastAsia="宋体" w:hAnsi="Arial" w:cs="Arial"/>
          <w:color w:val="000000"/>
          <w:sz w:val="20"/>
          <w:szCs w:val="20"/>
        </w:rPr>
        <w:t>, we recorded a $162 cumulative-effect adjustment to retained earnings to increase our allowances for credit losses, resulting in a balance of $337 as of January 1, 2020. The change in allowances for expected credit losses for the nine months ended Septemb</w:t>
      </w:r>
      <w:r>
        <w:rPr>
          <w:rFonts w:ascii="Arial" w:eastAsia="宋体" w:hAnsi="Arial" w:cs="Arial"/>
          <w:color w:val="000000"/>
          <w:sz w:val="20"/>
          <w:szCs w:val="20"/>
        </w:rPr>
        <w:t>er 30, 2020 consisted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63"/>
        <w:gridCol w:w="2629"/>
        <w:gridCol w:w="39"/>
        <w:gridCol w:w="81"/>
        <w:gridCol w:w="882"/>
        <w:gridCol w:w="36"/>
        <w:gridCol w:w="87"/>
        <w:gridCol w:w="976"/>
        <w:gridCol w:w="36"/>
        <w:gridCol w:w="53"/>
        <w:gridCol w:w="1025"/>
        <w:gridCol w:w="36"/>
        <w:gridCol w:w="79"/>
        <w:gridCol w:w="821"/>
        <w:gridCol w:w="36"/>
        <w:gridCol w:w="73"/>
        <w:gridCol w:w="665"/>
        <w:gridCol w:w="36"/>
        <w:gridCol w:w="73"/>
        <w:gridCol w:w="574"/>
        <w:gridCol w:w="36"/>
      </w:tblGrid>
      <w:tr w:rsidR="00833634" w14:paraId="4090E3A5" w14:textId="77777777">
        <w:trPr>
          <w:jc w:val="center"/>
        </w:trPr>
        <w:tc>
          <w:tcPr>
            <w:tcW w:w="50" w:type="pct"/>
            <w:shd w:val="clear" w:color="auto" w:fill="auto"/>
          </w:tcPr>
          <w:p w14:paraId="4090E390" w14:textId="77777777" w:rsidR="00833634" w:rsidRDefault="00833634">
            <w:pPr>
              <w:rPr>
                <w:rFonts w:ascii="宋体"/>
              </w:rPr>
            </w:pPr>
          </w:p>
        </w:tc>
        <w:tc>
          <w:tcPr>
            <w:tcW w:w="1587" w:type="pct"/>
            <w:shd w:val="clear" w:color="auto" w:fill="auto"/>
          </w:tcPr>
          <w:p w14:paraId="4090E391" w14:textId="77777777" w:rsidR="00833634" w:rsidRDefault="00833634">
            <w:pPr>
              <w:rPr>
                <w:rFonts w:ascii="宋体"/>
              </w:rPr>
            </w:pPr>
          </w:p>
        </w:tc>
        <w:tc>
          <w:tcPr>
            <w:tcW w:w="5" w:type="pct"/>
            <w:shd w:val="clear" w:color="auto" w:fill="auto"/>
          </w:tcPr>
          <w:p w14:paraId="4090E392" w14:textId="77777777" w:rsidR="00833634" w:rsidRDefault="00833634">
            <w:pPr>
              <w:rPr>
                <w:rFonts w:ascii="宋体"/>
              </w:rPr>
            </w:pPr>
          </w:p>
        </w:tc>
        <w:tc>
          <w:tcPr>
            <w:tcW w:w="50" w:type="pct"/>
            <w:shd w:val="clear" w:color="auto" w:fill="auto"/>
          </w:tcPr>
          <w:p w14:paraId="4090E393" w14:textId="77777777" w:rsidR="00833634" w:rsidRDefault="00833634">
            <w:pPr>
              <w:rPr>
                <w:rFonts w:ascii="宋体"/>
              </w:rPr>
            </w:pPr>
          </w:p>
        </w:tc>
        <w:tc>
          <w:tcPr>
            <w:tcW w:w="545" w:type="pct"/>
            <w:shd w:val="clear" w:color="auto" w:fill="auto"/>
          </w:tcPr>
          <w:p w14:paraId="4090E394" w14:textId="77777777" w:rsidR="00833634" w:rsidRDefault="00833634">
            <w:pPr>
              <w:rPr>
                <w:rFonts w:ascii="宋体"/>
              </w:rPr>
            </w:pPr>
          </w:p>
        </w:tc>
        <w:tc>
          <w:tcPr>
            <w:tcW w:w="5" w:type="pct"/>
            <w:shd w:val="clear" w:color="auto" w:fill="auto"/>
          </w:tcPr>
          <w:p w14:paraId="4090E395" w14:textId="77777777" w:rsidR="00833634" w:rsidRDefault="00833634">
            <w:pPr>
              <w:rPr>
                <w:rFonts w:ascii="宋体"/>
              </w:rPr>
            </w:pPr>
          </w:p>
        </w:tc>
        <w:tc>
          <w:tcPr>
            <w:tcW w:w="50" w:type="pct"/>
            <w:shd w:val="clear" w:color="auto" w:fill="auto"/>
          </w:tcPr>
          <w:p w14:paraId="4090E396" w14:textId="77777777" w:rsidR="00833634" w:rsidRDefault="00833634">
            <w:pPr>
              <w:rPr>
                <w:rFonts w:ascii="宋体"/>
              </w:rPr>
            </w:pPr>
          </w:p>
        </w:tc>
        <w:tc>
          <w:tcPr>
            <w:tcW w:w="561" w:type="pct"/>
            <w:shd w:val="clear" w:color="auto" w:fill="auto"/>
          </w:tcPr>
          <w:p w14:paraId="4090E397" w14:textId="77777777" w:rsidR="00833634" w:rsidRDefault="00833634">
            <w:pPr>
              <w:rPr>
                <w:rFonts w:ascii="宋体"/>
              </w:rPr>
            </w:pPr>
          </w:p>
        </w:tc>
        <w:tc>
          <w:tcPr>
            <w:tcW w:w="5" w:type="pct"/>
            <w:shd w:val="clear" w:color="auto" w:fill="auto"/>
          </w:tcPr>
          <w:p w14:paraId="4090E398" w14:textId="77777777" w:rsidR="00833634" w:rsidRDefault="00833634">
            <w:pPr>
              <w:rPr>
                <w:rFonts w:ascii="宋体"/>
              </w:rPr>
            </w:pPr>
          </w:p>
        </w:tc>
        <w:tc>
          <w:tcPr>
            <w:tcW w:w="50" w:type="pct"/>
            <w:shd w:val="clear" w:color="auto" w:fill="auto"/>
          </w:tcPr>
          <w:p w14:paraId="4090E399" w14:textId="77777777" w:rsidR="00833634" w:rsidRDefault="00833634">
            <w:pPr>
              <w:rPr>
                <w:rFonts w:ascii="宋体"/>
              </w:rPr>
            </w:pPr>
          </w:p>
        </w:tc>
        <w:tc>
          <w:tcPr>
            <w:tcW w:w="626" w:type="pct"/>
            <w:shd w:val="clear" w:color="auto" w:fill="auto"/>
          </w:tcPr>
          <w:p w14:paraId="4090E39A" w14:textId="77777777" w:rsidR="00833634" w:rsidRDefault="00833634">
            <w:pPr>
              <w:rPr>
                <w:rFonts w:ascii="宋体"/>
              </w:rPr>
            </w:pPr>
          </w:p>
        </w:tc>
        <w:tc>
          <w:tcPr>
            <w:tcW w:w="5" w:type="pct"/>
            <w:shd w:val="clear" w:color="auto" w:fill="auto"/>
          </w:tcPr>
          <w:p w14:paraId="4090E39B" w14:textId="77777777" w:rsidR="00833634" w:rsidRDefault="00833634">
            <w:pPr>
              <w:rPr>
                <w:rFonts w:ascii="宋体"/>
              </w:rPr>
            </w:pPr>
          </w:p>
        </w:tc>
        <w:tc>
          <w:tcPr>
            <w:tcW w:w="50" w:type="pct"/>
            <w:shd w:val="clear" w:color="auto" w:fill="auto"/>
          </w:tcPr>
          <w:p w14:paraId="4090E39C" w14:textId="77777777" w:rsidR="00833634" w:rsidRDefault="00833634">
            <w:pPr>
              <w:rPr>
                <w:rFonts w:ascii="宋体"/>
              </w:rPr>
            </w:pPr>
          </w:p>
        </w:tc>
        <w:tc>
          <w:tcPr>
            <w:tcW w:w="513" w:type="pct"/>
            <w:shd w:val="clear" w:color="auto" w:fill="auto"/>
          </w:tcPr>
          <w:p w14:paraId="4090E39D" w14:textId="77777777" w:rsidR="00833634" w:rsidRDefault="00833634">
            <w:pPr>
              <w:rPr>
                <w:rFonts w:ascii="宋体"/>
              </w:rPr>
            </w:pPr>
          </w:p>
        </w:tc>
        <w:tc>
          <w:tcPr>
            <w:tcW w:w="5" w:type="pct"/>
            <w:shd w:val="clear" w:color="auto" w:fill="auto"/>
          </w:tcPr>
          <w:p w14:paraId="4090E39E" w14:textId="77777777" w:rsidR="00833634" w:rsidRDefault="00833634">
            <w:pPr>
              <w:rPr>
                <w:rFonts w:ascii="宋体"/>
              </w:rPr>
            </w:pPr>
          </w:p>
        </w:tc>
        <w:tc>
          <w:tcPr>
            <w:tcW w:w="50" w:type="pct"/>
            <w:shd w:val="clear" w:color="auto" w:fill="auto"/>
          </w:tcPr>
          <w:p w14:paraId="4090E39F" w14:textId="77777777" w:rsidR="00833634" w:rsidRDefault="00833634">
            <w:pPr>
              <w:rPr>
                <w:rFonts w:ascii="宋体"/>
              </w:rPr>
            </w:pPr>
          </w:p>
        </w:tc>
        <w:tc>
          <w:tcPr>
            <w:tcW w:w="417" w:type="pct"/>
            <w:shd w:val="clear" w:color="auto" w:fill="auto"/>
          </w:tcPr>
          <w:p w14:paraId="4090E3A0" w14:textId="77777777" w:rsidR="00833634" w:rsidRDefault="00833634">
            <w:pPr>
              <w:rPr>
                <w:rFonts w:ascii="宋体"/>
              </w:rPr>
            </w:pPr>
          </w:p>
        </w:tc>
        <w:tc>
          <w:tcPr>
            <w:tcW w:w="5" w:type="pct"/>
            <w:shd w:val="clear" w:color="auto" w:fill="auto"/>
          </w:tcPr>
          <w:p w14:paraId="4090E3A1" w14:textId="77777777" w:rsidR="00833634" w:rsidRDefault="00833634">
            <w:pPr>
              <w:rPr>
                <w:rFonts w:ascii="宋体"/>
              </w:rPr>
            </w:pPr>
          </w:p>
        </w:tc>
        <w:tc>
          <w:tcPr>
            <w:tcW w:w="50" w:type="pct"/>
            <w:shd w:val="clear" w:color="auto" w:fill="auto"/>
          </w:tcPr>
          <w:p w14:paraId="4090E3A2" w14:textId="77777777" w:rsidR="00833634" w:rsidRDefault="00833634">
            <w:pPr>
              <w:rPr>
                <w:rFonts w:ascii="宋体"/>
              </w:rPr>
            </w:pPr>
          </w:p>
        </w:tc>
        <w:tc>
          <w:tcPr>
            <w:tcW w:w="361" w:type="pct"/>
            <w:shd w:val="clear" w:color="auto" w:fill="auto"/>
          </w:tcPr>
          <w:p w14:paraId="4090E3A3" w14:textId="77777777" w:rsidR="00833634" w:rsidRDefault="00833634">
            <w:pPr>
              <w:rPr>
                <w:rFonts w:ascii="宋体"/>
              </w:rPr>
            </w:pPr>
          </w:p>
        </w:tc>
        <w:tc>
          <w:tcPr>
            <w:tcW w:w="5" w:type="pct"/>
            <w:shd w:val="clear" w:color="auto" w:fill="auto"/>
          </w:tcPr>
          <w:p w14:paraId="4090E3A4" w14:textId="77777777" w:rsidR="00833634" w:rsidRDefault="00833634">
            <w:pPr>
              <w:rPr>
                <w:rFonts w:ascii="宋体"/>
              </w:rPr>
            </w:pPr>
          </w:p>
        </w:tc>
      </w:tr>
      <w:tr w:rsidR="00833634" w14:paraId="4090E3AD" w14:textId="77777777">
        <w:trPr>
          <w:jc w:val="center"/>
        </w:trPr>
        <w:tc>
          <w:tcPr>
            <w:tcW w:w="0" w:type="auto"/>
            <w:gridSpan w:val="3"/>
            <w:shd w:val="clear" w:color="auto" w:fill="auto"/>
            <w:tcMar>
              <w:top w:w="0" w:type="dxa"/>
              <w:left w:w="20" w:type="dxa"/>
              <w:bottom w:w="0" w:type="dxa"/>
              <w:right w:w="20" w:type="dxa"/>
            </w:tcMar>
          </w:tcPr>
          <w:p w14:paraId="4090E3A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3A7" w14:textId="77777777" w:rsidR="00833634" w:rsidRDefault="00E15D51">
            <w:pPr>
              <w:jc w:val="right"/>
              <w:textAlignment w:val="bottom"/>
            </w:pPr>
            <w:r>
              <w:rPr>
                <w:rFonts w:ascii="Arial" w:eastAsia="宋体" w:hAnsi="Arial" w:cs="Arial"/>
                <w:b/>
                <w:bCs/>
                <w:color w:val="000000"/>
                <w:sz w:val="18"/>
                <w:szCs w:val="18"/>
              </w:rPr>
              <w:t>Accounts receivable, net</w:t>
            </w:r>
          </w:p>
        </w:tc>
        <w:tc>
          <w:tcPr>
            <w:tcW w:w="0" w:type="auto"/>
            <w:gridSpan w:val="3"/>
            <w:shd w:val="clear" w:color="auto" w:fill="auto"/>
            <w:tcMar>
              <w:top w:w="40" w:type="dxa"/>
              <w:left w:w="20" w:type="dxa"/>
              <w:bottom w:w="40" w:type="dxa"/>
              <w:right w:w="20" w:type="dxa"/>
            </w:tcMar>
            <w:vAlign w:val="bottom"/>
          </w:tcPr>
          <w:p w14:paraId="4090E3A8" w14:textId="77777777" w:rsidR="00833634" w:rsidRDefault="00E15D51">
            <w:pPr>
              <w:jc w:val="right"/>
              <w:textAlignment w:val="bottom"/>
            </w:pPr>
            <w:r>
              <w:rPr>
                <w:rFonts w:ascii="Arial" w:eastAsia="宋体" w:hAnsi="Arial" w:cs="Arial"/>
                <w:b/>
                <w:bCs/>
                <w:color w:val="000000"/>
                <w:sz w:val="18"/>
                <w:szCs w:val="18"/>
              </w:rPr>
              <w:t>Unbilled receivables, net</w:t>
            </w:r>
          </w:p>
        </w:tc>
        <w:tc>
          <w:tcPr>
            <w:tcW w:w="0" w:type="auto"/>
            <w:gridSpan w:val="3"/>
            <w:shd w:val="clear" w:color="auto" w:fill="auto"/>
            <w:tcMar>
              <w:top w:w="40" w:type="dxa"/>
              <w:left w:w="20" w:type="dxa"/>
              <w:bottom w:w="40" w:type="dxa"/>
              <w:right w:w="20" w:type="dxa"/>
            </w:tcMar>
            <w:vAlign w:val="bottom"/>
          </w:tcPr>
          <w:p w14:paraId="4090E3A9" w14:textId="77777777" w:rsidR="00833634" w:rsidRDefault="00E15D51">
            <w:pPr>
              <w:jc w:val="right"/>
              <w:textAlignment w:val="bottom"/>
            </w:pPr>
            <w:r>
              <w:rPr>
                <w:rFonts w:ascii="Arial" w:eastAsia="宋体" w:hAnsi="Arial" w:cs="Arial"/>
                <w:b/>
                <w:bCs/>
                <w:color w:val="000000"/>
                <w:sz w:val="18"/>
                <w:szCs w:val="18"/>
              </w:rPr>
              <w:t>Other Current Assets, net</w:t>
            </w:r>
          </w:p>
        </w:tc>
        <w:tc>
          <w:tcPr>
            <w:tcW w:w="0" w:type="auto"/>
            <w:gridSpan w:val="3"/>
            <w:shd w:val="clear" w:color="auto" w:fill="auto"/>
            <w:tcMar>
              <w:top w:w="40" w:type="dxa"/>
              <w:left w:w="20" w:type="dxa"/>
              <w:bottom w:w="40" w:type="dxa"/>
              <w:right w:w="20" w:type="dxa"/>
            </w:tcMar>
            <w:vAlign w:val="bottom"/>
          </w:tcPr>
          <w:p w14:paraId="4090E3AA" w14:textId="77777777" w:rsidR="00833634" w:rsidRDefault="00E15D51">
            <w:pPr>
              <w:jc w:val="right"/>
              <w:textAlignment w:val="bottom"/>
            </w:pPr>
            <w:r>
              <w:rPr>
                <w:rFonts w:ascii="Arial" w:eastAsia="宋体" w:hAnsi="Arial" w:cs="Arial"/>
                <w:b/>
                <w:bCs/>
                <w:color w:val="000000"/>
                <w:sz w:val="18"/>
                <w:szCs w:val="18"/>
              </w:rPr>
              <w:t>Customer financing, net</w:t>
            </w:r>
          </w:p>
        </w:tc>
        <w:tc>
          <w:tcPr>
            <w:tcW w:w="0" w:type="auto"/>
            <w:gridSpan w:val="3"/>
            <w:shd w:val="clear" w:color="auto" w:fill="auto"/>
            <w:tcMar>
              <w:top w:w="40" w:type="dxa"/>
              <w:left w:w="20" w:type="dxa"/>
              <w:bottom w:w="40" w:type="dxa"/>
              <w:right w:w="20" w:type="dxa"/>
            </w:tcMar>
            <w:vAlign w:val="bottom"/>
          </w:tcPr>
          <w:p w14:paraId="4090E3AB" w14:textId="77777777" w:rsidR="00833634" w:rsidRDefault="00E15D51">
            <w:pPr>
              <w:jc w:val="right"/>
              <w:textAlignment w:val="bottom"/>
            </w:pPr>
            <w:r>
              <w:rPr>
                <w:rFonts w:ascii="Arial" w:eastAsia="宋体" w:hAnsi="Arial" w:cs="Arial"/>
                <w:b/>
                <w:bCs/>
                <w:color w:val="000000"/>
                <w:sz w:val="18"/>
                <w:szCs w:val="18"/>
              </w:rPr>
              <w:t>Other Assets, net</w:t>
            </w:r>
          </w:p>
        </w:tc>
        <w:tc>
          <w:tcPr>
            <w:tcW w:w="0" w:type="auto"/>
            <w:gridSpan w:val="3"/>
            <w:shd w:val="clear" w:color="auto" w:fill="auto"/>
            <w:tcMar>
              <w:top w:w="40" w:type="dxa"/>
              <w:left w:w="20" w:type="dxa"/>
              <w:bottom w:w="40" w:type="dxa"/>
              <w:right w:w="20" w:type="dxa"/>
            </w:tcMar>
            <w:vAlign w:val="bottom"/>
          </w:tcPr>
          <w:p w14:paraId="4090E3AC" w14:textId="77777777" w:rsidR="00833634" w:rsidRDefault="00E15D51">
            <w:pPr>
              <w:jc w:val="center"/>
              <w:textAlignment w:val="bottom"/>
            </w:pPr>
            <w:r>
              <w:rPr>
                <w:rFonts w:ascii="Arial" w:eastAsia="宋体" w:hAnsi="Arial" w:cs="Arial"/>
                <w:b/>
                <w:bCs/>
                <w:color w:val="000000"/>
                <w:sz w:val="18"/>
                <w:szCs w:val="18"/>
              </w:rPr>
              <w:t>Total</w:t>
            </w:r>
          </w:p>
        </w:tc>
      </w:tr>
      <w:tr w:rsidR="00833634" w14:paraId="4090E3B5" w14:textId="77777777">
        <w:trPr>
          <w:jc w:val="center"/>
          <w:hidden/>
        </w:trPr>
        <w:tc>
          <w:tcPr>
            <w:tcW w:w="0" w:type="auto"/>
            <w:gridSpan w:val="3"/>
            <w:shd w:val="clear" w:color="auto" w:fill="auto"/>
          </w:tcPr>
          <w:p w14:paraId="4090E3AE" w14:textId="77777777" w:rsidR="00833634" w:rsidRDefault="00833634">
            <w:pPr>
              <w:rPr>
                <w:rFonts w:ascii="宋体"/>
                <w:vanish/>
              </w:rPr>
            </w:pPr>
          </w:p>
        </w:tc>
        <w:tc>
          <w:tcPr>
            <w:tcW w:w="0" w:type="auto"/>
            <w:gridSpan w:val="3"/>
            <w:shd w:val="clear" w:color="auto" w:fill="auto"/>
          </w:tcPr>
          <w:p w14:paraId="4090E3AF" w14:textId="77777777" w:rsidR="00833634" w:rsidRDefault="00833634">
            <w:pPr>
              <w:rPr>
                <w:rFonts w:ascii="宋体"/>
                <w:vanish/>
              </w:rPr>
            </w:pPr>
          </w:p>
        </w:tc>
        <w:tc>
          <w:tcPr>
            <w:tcW w:w="0" w:type="auto"/>
            <w:gridSpan w:val="3"/>
            <w:shd w:val="clear" w:color="auto" w:fill="auto"/>
          </w:tcPr>
          <w:p w14:paraId="4090E3B0" w14:textId="77777777" w:rsidR="00833634" w:rsidRDefault="00833634">
            <w:pPr>
              <w:rPr>
                <w:rFonts w:ascii="宋体"/>
                <w:vanish/>
              </w:rPr>
            </w:pPr>
          </w:p>
        </w:tc>
        <w:tc>
          <w:tcPr>
            <w:tcW w:w="0" w:type="auto"/>
            <w:gridSpan w:val="3"/>
            <w:shd w:val="clear" w:color="auto" w:fill="auto"/>
          </w:tcPr>
          <w:p w14:paraId="4090E3B1" w14:textId="77777777" w:rsidR="00833634" w:rsidRDefault="00833634">
            <w:pPr>
              <w:rPr>
                <w:rFonts w:ascii="宋体"/>
                <w:vanish/>
              </w:rPr>
            </w:pPr>
          </w:p>
        </w:tc>
        <w:tc>
          <w:tcPr>
            <w:tcW w:w="0" w:type="auto"/>
            <w:gridSpan w:val="3"/>
            <w:shd w:val="clear" w:color="auto" w:fill="auto"/>
          </w:tcPr>
          <w:p w14:paraId="4090E3B2" w14:textId="77777777" w:rsidR="00833634" w:rsidRDefault="00833634">
            <w:pPr>
              <w:rPr>
                <w:rFonts w:ascii="宋体"/>
                <w:vanish/>
              </w:rPr>
            </w:pPr>
          </w:p>
        </w:tc>
        <w:tc>
          <w:tcPr>
            <w:tcW w:w="0" w:type="auto"/>
            <w:gridSpan w:val="3"/>
            <w:shd w:val="clear" w:color="auto" w:fill="auto"/>
          </w:tcPr>
          <w:p w14:paraId="4090E3B3" w14:textId="77777777" w:rsidR="00833634" w:rsidRDefault="00833634">
            <w:pPr>
              <w:rPr>
                <w:rFonts w:ascii="宋体"/>
                <w:vanish/>
              </w:rPr>
            </w:pPr>
          </w:p>
        </w:tc>
        <w:tc>
          <w:tcPr>
            <w:tcW w:w="0" w:type="auto"/>
            <w:gridSpan w:val="3"/>
            <w:shd w:val="clear" w:color="auto" w:fill="auto"/>
          </w:tcPr>
          <w:p w14:paraId="4090E3B4" w14:textId="77777777" w:rsidR="00833634" w:rsidRDefault="00833634">
            <w:pPr>
              <w:rPr>
                <w:rFonts w:ascii="宋体"/>
                <w:vanish/>
              </w:rPr>
            </w:pPr>
          </w:p>
        </w:tc>
      </w:tr>
      <w:tr w:rsidR="00833634" w14:paraId="4090E3BD" w14:textId="77777777">
        <w:trPr>
          <w:jc w:val="center"/>
          <w:hidden/>
        </w:trPr>
        <w:tc>
          <w:tcPr>
            <w:tcW w:w="0" w:type="auto"/>
            <w:gridSpan w:val="3"/>
            <w:shd w:val="clear" w:color="auto" w:fill="auto"/>
          </w:tcPr>
          <w:p w14:paraId="4090E3B6" w14:textId="77777777" w:rsidR="00833634" w:rsidRDefault="00833634">
            <w:pPr>
              <w:rPr>
                <w:rFonts w:ascii="宋体"/>
                <w:vanish/>
              </w:rPr>
            </w:pPr>
          </w:p>
        </w:tc>
        <w:tc>
          <w:tcPr>
            <w:tcW w:w="0" w:type="auto"/>
            <w:gridSpan w:val="3"/>
            <w:shd w:val="clear" w:color="auto" w:fill="auto"/>
          </w:tcPr>
          <w:p w14:paraId="4090E3B7" w14:textId="77777777" w:rsidR="00833634" w:rsidRDefault="00833634">
            <w:pPr>
              <w:rPr>
                <w:rFonts w:ascii="宋体"/>
                <w:vanish/>
              </w:rPr>
            </w:pPr>
          </w:p>
        </w:tc>
        <w:tc>
          <w:tcPr>
            <w:tcW w:w="0" w:type="auto"/>
            <w:gridSpan w:val="3"/>
            <w:shd w:val="clear" w:color="auto" w:fill="auto"/>
          </w:tcPr>
          <w:p w14:paraId="4090E3B8" w14:textId="77777777" w:rsidR="00833634" w:rsidRDefault="00833634">
            <w:pPr>
              <w:rPr>
                <w:rFonts w:ascii="宋体"/>
                <w:vanish/>
              </w:rPr>
            </w:pPr>
          </w:p>
        </w:tc>
        <w:tc>
          <w:tcPr>
            <w:tcW w:w="0" w:type="auto"/>
            <w:gridSpan w:val="3"/>
            <w:shd w:val="clear" w:color="auto" w:fill="auto"/>
          </w:tcPr>
          <w:p w14:paraId="4090E3B9" w14:textId="77777777" w:rsidR="00833634" w:rsidRDefault="00833634">
            <w:pPr>
              <w:rPr>
                <w:rFonts w:ascii="宋体"/>
                <w:vanish/>
              </w:rPr>
            </w:pPr>
          </w:p>
        </w:tc>
        <w:tc>
          <w:tcPr>
            <w:tcW w:w="0" w:type="auto"/>
            <w:gridSpan w:val="3"/>
            <w:shd w:val="clear" w:color="auto" w:fill="auto"/>
          </w:tcPr>
          <w:p w14:paraId="4090E3BA" w14:textId="77777777" w:rsidR="00833634" w:rsidRDefault="00833634">
            <w:pPr>
              <w:rPr>
                <w:rFonts w:ascii="宋体"/>
                <w:vanish/>
              </w:rPr>
            </w:pPr>
          </w:p>
        </w:tc>
        <w:tc>
          <w:tcPr>
            <w:tcW w:w="0" w:type="auto"/>
            <w:gridSpan w:val="3"/>
            <w:shd w:val="clear" w:color="auto" w:fill="auto"/>
          </w:tcPr>
          <w:p w14:paraId="4090E3BB" w14:textId="77777777" w:rsidR="00833634" w:rsidRDefault="00833634">
            <w:pPr>
              <w:rPr>
                <w:rFonts w:ascii="宋体"/>
                <w:vanish/>
              </w:rPr>
            </w:pPr>
          </w:p>
        </w:tc>
        <w:tc>
          <w:tcPr>
            <w:tcW w:w="0" w:type="auto"/>
            <w:gridSpan w:val="3"/>
            <w:shd w:val="clear" w:color="auto" w:fill="auto"/>
          </w:tcPr>
          <w:p w14:paraId="4090E3BC" w14:textId="77777777" w:rsidR="00833634" w:rsidRDefault="00833634">
            <w:pPr>
              <w:rPr>
                <w:rFonts w:ascii="宋体"/>
                <w:vanish/>
              </w:rPr>
            </w:pPr>
          </w:p>
        </w:tc>
      </w:tr>
      <w:tr w:rsidR="00833634" w14:paraId="4090E3CB"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tcPr>
          <w:p w14:paraId="4090E3BE" w14:textId="77777777" w:rsidR="00833634" w:rsidRDefault="00E15D51">
            <w:pPr>
              <w:ind w:hanging="180"/>
              <w:textAlignment w:val="top"/>
            </w:pPr>
            <w:r>
              <w:rPr>
                <w:rFonts w:ascii="Arial" w:eastAsia="宋体" w:hAnsi="Arial" w:cs="Arial"/>
                <w:color w:val="000000"/>
                <w:sz w:val="20"/>
                <w:szCs w:val="20"/>
              </w:rPr>
              <w:t>Balance at January 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BF" w14:textId="77777777" w:rsidR="00833634" w:rsidRDefault="00E15D51">
            <w:pPr>
              <w:jc w:val="right"/>
              <w:textAlignment w:val="bottom"/>
            </w:pPr>
            <w:r>
              <w:rPr>
                <w:rFonts w:ascii="Arial" w:eastAsia="宋体" w:hAnsi="Arial" w:cs="Arial"/>
                <w:b/>
                <w:bCs/>
                <w:color w:val="000000"/>
                <w:sz w:val="20"/>
                <w:szCs w:val="20"/>
              </w:rPr>
              <w:t>($138)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C0"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C1" w14:textId="77777777" w:rsidR="00833634" w:rsidRDefault="00E15D51">
            <w:pPr>
              <w:jc w:val="right"/>
              <w:textAlignment w:val="bottom"/>
            </w:pPr>
            <w:r>
              <w:rPr>
                <w:rFonts w:ascii="Arial" w:eastAsia="宋体" w:hAnsi="Arial" w:cs="Arial"/>
                <w:b/>
                <w:bCs/>
                <w:color w:val="000000"/>
                <w:sz w:val="20"/>
                <w:szCs w:val="20"/>
              </w:rPr>
              <w:t>($81)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C2"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C3" w14:textId="77777777" w:rsidR="00833634" w:rsidRDefault="00E15D51">
            <w:pPr>
              <w:jc w:val="right"/>
              <w:textAlignment w:val="bottom"/>
            </w:pPr>
            <w:r>
              <w:rPr>
                <w:rFonts w:ascii="Arial" w:eastAsia="宋体" w:hAnsi="Arial" w:cs="Arial"/>
                <w:b/>
                <w:bCs/>
                <w:color w:val="000000"/>
                <w:sz w:val="20"/>
                <w:szCs w:val="20"/>
              </w:rPr>
              <w:t>($38)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C4"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C5" w14:textId="77777777" w:rsidR="00833634" w:rsidRDefault="00E15D51">
            <w:pPr>
              <w:jc w:val="right"/>
              <w:textAlignment w:val="bottom"/>
            </w:pPr>
            <w:r>
              <w:rPr>
                <w:rFonts w:ascii="Arial" w:eastAsia="宋体" w:hAnsi="Arial" w:cs="Arial"/>
                <w:b/>
                <w:bCs/>
                <w:color w:val="000000"/>
                <w:sz w:val="20"/>
                <w:szCs w:val="20"/>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C6"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C7" w14:textId="77777777" w:rsidR="00833634" w:rsidRDefault="00E15D51">
            <w:pPr>
              <w:jc w:val="right"/>
              <w:textAlignment w:val="bottom"/>
            </w:pPr>
            <w:r>
              <w:rPr>
                <w:rFonts w:ascii="Arial" w:eastAsia="宋体" w:hAnsi="Arial" w:cs="Arial"/>
                <w:b/>
                <w:bCs/>
                <w:color w:val="000000"/>
                <w:sz w:val="20"/>
                <w:szCs w:val="20"/>
              </w:rPr>
              <w:t>($75)</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C8"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3C9" w14:textId="77777777" w:rsidR="00833634" w:rsidRDefault="00E15D51">
            <w:pPr>
              <w:jc w:val="right"/>
              <w:textAlignment w:val="bottom"/>
            </w:pPr>
            <w:r>
              <w:rPr>
                <w:rFonts w:ascii="Arial" w:eastAsia="宋体" w:hAnsi="Arial" w:cs="Arial"/>
                <w:b/>
                <w:bCs/>
                <w:color w:val="000000"/>
                <w:sz w:val="20"/>
                <w:szCs w:val="20"/>
              </w:rPr>
              <w:t>($337)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3CA" w14:textId="77777777" w:rsidR="00833634" w:rsidRDefault="00833634">
            <w:pPr>
              <w:jc w:val="right"/>
              <w:rPr>
                <w:rFonts w:ascii="宋体"/>
              </w:rPr>
            </w:pPr>
          </w:p>
        </w:tc>
      </w:tr>
      <w:tr w:rsidR="00833634" w14:paraId="4090E3D9" w14:textId="77777777">
        <w:trPr>
          <w:jc w:val="center"/>
        </w:trPr>
        <w:tc>
          <w:tcPr>
            <w:tcW w:w="0" w:type="auto"/>
            <w:gridSpan w:val="3"/>
            <w:shd w:val="clear" w:color="auto" w:fill="FFFFFF"/>
            <w:tcMar>
              <w:top w:w="40" w:type="dxa"/>
              <w:left w:w="20" w:type="dxa"/>
              <w:bottom w:w="40" w:type="dxa"/>
              <w:right w:w="20" w:type="dxa"/>
            </w:tcMar>
          </w:tcPr>
          <w:p w14:paraId="4090E3CC" w14:textId="77777777" w:rsidR="00833634" w:rsidRDefault="00E15D51">
            <w:pPr>
              <w:ind w:hanging="180"/>
              <w:textAlignment w:val="top"/>
            </w:pPr>
            <w:r>
              <w:rPr>
                <w:rFonts w:ascii="Arial" w:eastAsia="宋体" w:hAnsi="Arial" w:cs="Arial"/>
                <w:color w:val="000000"/>
                <w:sz w:val="20"/>
                <w:szCs w:val="20"/>
              </w:rPr>
              <w:t>Changes in estimates</w:t>
            </w:r>
          </w:p>
        </w:tc>
        <w:tc>
          <w:tcPr>
            <w:tcW w:w="0" w:type="auto"/>
            <w:gridSpan w:val="2"/>
            <w:shd w:val="clear" w:color="auto" w:fill="FFFFFF"/>
            <w:tcMar>
              <w:top w:w="40" w:type="dxa"/>
              <w:left w:w="20" w:type="dxa"/>
              <w:bottom w:w="40" w:type="dxa"/>
              <w:right w:w="0" w:type="dxa"/>
            </w:tcMar>
            <w:vAlign w:val="bottom"/>
          </w:tcPr>
          <w:p w14:paraId="4090E3CD" w14:textId="77777777" w:rsidR="00833634" w:rsidRDefault="00E15D51">
            <w:pPr>
              <w:jc w:val="right"/>
              <w:textAlignment w:val="bottom"/>
            </w:pPr>
            <w:r>
              <w:rPr>
                <w:rFonts w:ascii="Arial" w:eastAsia="宋体" w:hAnsi="Arial" w:cs="Arial"/>
                <w:b/>
                <w:bCs/>
                <w:color w:val="000000"/>
                <w:sz w:val="20"/>
                <w:szCs w:val="20"/>
              </w:rPr>
              <w:t>(296)</w:t>
            </w:r>
          </w:p>
        </w:tc>
        <w:tc>
          <w:tcPr>
            <w:tcW w:w="0" w:type="auto"/>
            <w:shd w:val="clear" w:color="auto" w:fill="FFFFFF"/>
            <w:tcMar>
              <w:top w:w="40" w:type="dxa"/>
              <w:left w:w="0" w:type="dxa"/>
              <w:bottom w:w="40" w:type="dxa"/>
              <w:right w:w="20" w:type="dxa"/>
            </w:tcMar>
            <w:vAlign w:val="bottom"/>
          </w:tcPr>
          <w:p w14:paraId="4090E3CE"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3CF" w14:textId="77777777" w:rsidR="00833634" w:rsidRDefault="00E15D51">
            <w:pPr>
              <w:jc w:val="right"/>
              <w:textAlignment w:val="bottom"/>
            </w:pPr>
            <w:r>
              <w:rPr>
                <w:rFonts w:ascii="Arial" w:eastAsia="宋体" w:hAnsi="Arial" w:cs="Arial"/>
                <w:b/>
                <w:bCs/>
                <w:color w:val="000000"/>
                <w:sz w:val="20"/>
                <w:szCs w:val="20"/>
              </w:rPr>
              <w:t>(46)</w:t>
            </w:r>
          </w:p>
        </w:tc>
        <w:tc>
          <w:tcPr>
            <w:tcW w:w="0" w:type="auto"/>
            <w:shd w:val="clear" w:color="auto" w:fill="FFFFFF"/>
            <w:tcMar>
              <w:top w:w="40" w:type="dxa"/>
              <w:left w:w="0" w:type="dxa"/>
              <w:bottom w:w="40" w:type="dxa"/>
              <w:right w:w="20" w:type="dxa"/>
            </w:tcMar>
            <w:vAlign w:val="bottom"/>
          </w:tcPr>
          <w:p w14:paraId="4090E3D0"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3D1" w14:textId="77777777" w:rsidR="00833634" w:rsidRDefault="00E15D51">
            <w:pPr>
              <w:jc w:val="right"/>
              <w:textAlignment w:val="bottom"/>
            </w:pPr>
            <w:r>
              <w:rPr>
                <w:rFonts w:ascii="Arial" w:eastAsia="宋体" w:hAnsi="Arial" w:cs="Arial"/>
                <w:b/>
                <w:bCs/>
                <w:color w:val="000000"/>
                <w:sz w:val="20"/>
                <w:szCs w:val="20"/>
              </w:rPr>
              <w:t>(20)</w:t>
            </w:r>
          </w:p>
        </w:tc>
        <w:tc>
          <w:tcPr>
            <w:tcW w:w="0" w:type="auto"/>
            <w:shd w:val="clear" w:color="auto" w:fill="FFFFFF"/>
            <w:tcMar>
              <w:top w:w="40" w:type="dxa"/>
              <w:left w:w="0" w:type="dxa"/>
              <w:bottom w:w="40" w:type="dxa"/>
              <w:right w:w="20" w:type="dxa"/>
            </w:tcMar>
            <w:vAlign w:val="bottom"/>
          </w:tcPr>
          <w:p w14:paraId="4090E3D2"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3D3" w14:textId="77777777" w:rsidR="00833634" w:rsidRDefault="00E15D51">
            <w:pPr>
              <w:jc w:val="right"/>
              <w:textAlignment w:val="bottom"/>
            </w:pPr>
            <w:r>
              <w:rPr>
                <w:rFonts w:ascii="Arial" w:eastAsia="宋体" w:hAnsi="Arial" w:cs="Arial"/>
                <w:b/>
                <w:bCs/>
                <w:color w:val="000000"/>
                <w:sz w:val="20"/>
                <w:szCs w:val="20"/>
              </w:rPr>
              <w:t>(12)</w:t>
            </w:r>
          </w:p>
        </w:tc>
        <w:tc>
          <w:tcPr>
            <w:tcW w:w="0" w:type="auto"/>
            <w:shd w:val="clear" w:color="auto" w:fill="FFFFFF"/>
            <w:tcMar>
              <w:top w:w="40" w:type="dxa"/>
              <w:left w:w="0" w:type="dxa"/>
              <w:bottom w:w="40" w:type="dxa"/>
              <w:right w:w="20" w:type="dxa"/>
            </w:tcMar>
            <w:vAlign w:val="bottom"/>
          </w:tcPr>
          <w:p w14:paraId="4090E3D4"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3D5" w14:textId="77777777" w:rsidR="00833634" w:rsidRDefault="00E15D51">
            <w:pPr>
              <w:jc w:val="right"/>
              <w:textAlignment w:val="bottom"/>
            </w:pPr>
            <w:r>
              <w:rPr>
                <w:rFonts w:ascii="Arial" w:eastAsia="宋体" w:hAnsi="Arial" w:cs="Arial"/>
                <w:b/>
                <w:bCs/>
                <w:color w:val="000000"/>
                <w:sz w:val="20"/>
                <w:szCs w:val="20"/>
              </w:rPr>
              <w:t>(3)</w:t>
            </w:r>
          </w:p>
        </w:tc>
        <w:tc>
          <w:tcPr>
            <w:tcW w:w="0" w:type="auto"/>
            <w:shd w:val="clear" w:color="auto" w:fill="FFFFFF"/>
            <w:tcMar>
              <w:top w:w="40" w:type="dxa"/>
              <w:left w:w="0" w:type="dxa"/>
              <w:bottom w:w="40" w:type="dxa"/>
              <w:right w:w="20" w:type="dxa"/>
            </w:tcMar>
            <w:vAlign w:val="bottom"/>
          </w:tcPr>
          <w:p w14:paraId="4090E3D6"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3D7" w14:textId="77777777" w:rsidR="00833634" w:rsidRDefault="00E15D51">
            <w:pPr>
              <w:jc w:val="right"/>
              <w:textAlignment w:val="bottom"/>
            </w:pPr>
            <w:r>
              <w:rPr>
                <w:rFonts w:ascii="Arial" w:eastAsia="宋体" w:hAnsi="Arial" w:cs="Arial"/>
                <w:b/>
                <w:bCs/>
                <w:color w:val="000000"/>
                <w:sz w:val="20"/>
                <w:szCs w:val="20"/>
              </w:rPr>
              <w:t>(377)</w:t>
            </w:r>
          </w:p>
        </w:tc>
        <w:tc>
          <w:tcPr>
            <w:tcW w:w="0" w:type="auto"/>
            <w:shd w:val="clear" w:color="auto" w:fill="FFFFFF"/>
            <w:tcMar>
              <w:top w:w="40" w:type="dxa"/>
              <w:left w:w="0" w:type="dxa"/>
              <w:bottom w:w="40" w:type="dxa"/>
              <w:right w:w="20" w:type="dxa"/>
            </w:tcMar>
            <w:vAlign w:val="bottom"/>
          </w:tcPr>
          <w:p w14:paraId="4090E3D8" w14:textId="77777777" w:rsidR="00833634" w:rsidRDefault="00833634">
            <w:pPr>
              <w:jc w:val="right"/>
              <w:rPr>
                <w:rFonts w:ascii="宋体"/>
              </w:rPr>
            </w:pPr>
          </w:p>
        </w:tc>
      </w:tr>
      <w:tr w:rsidR="00833634" w14:paraId="4090E3E3" w14:textId="77777777">
        <w:trPr>
          <w:jc w:val="center"/>
        </w:trPr>
        <w:tc>
          <w:tcPr>
            <w:tcW w:w="0" w:type="auto"/>
            <w:gridSpan w:val="3"/>
            <w:shd w:val="clear" w:color="auto" w:fill="CCEEFF"/>
            <w:tcMar>
              <w:top w:w="40" w:type="dxa"/>
              <w:left w:w="135" w:type="dxa"/>
              <w:bottom w:w="40" w:type="dxa"/>
              <w:right w:w="20" w:type="dxa"/>
            </w:tcMar>
          </w:tcPr>
          <w:p w14:paraId="4090E3DA" w14:textId="77777777" w:rsidR="00833634" w:rsidRDefault="00E15D51">
            <w:pPr>
              <w:textAlignment w:val="top"/>
            </w:pPr>
            <w:r>
              <w:rPr>
                <w:rFonts w:ascii="Arial" w:eastAsia="宋体" w:hAnsi="Arial" w:cs="Arial"/>
                <w:color w:val="000000"/>
                <w:sz w:val="20"/>
                <w:szCs w:val="20"/>
              </w:rPr>
              <w:t>Write-offs</w:t>
            </w:r>
          </w:p>
        </w:tc>
        <w:tc>
          <w:tcPr>
            <w:tcW w:w="0" w:type="auto"/>
            <w:gridSpan w:val="2"/>
            <w:shd w:val="clear" w:color="auto" w:fill="CCEEFF"/>
            <w:tcMar>
              <w:top w:w="40" w:type="dxa"/>
              <w:left w:w="20" w:type="dxa"/>
              <w:bottom w:w="40" w:type="dxa"/>
              <w:right w:w="0" w:type="dxa"/>
            </w:tcMar>
            <w:vAlign w:val="bottom"/>
          </w:tcPr>
          <w:p w14:paraId="4090E3DB" w14:textId="77777777" w:rsidR="00833634" w:rsidRDefault="00E15D51">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3D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3DD"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3DE"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3D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3E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3E1" w14:textId="77777777" w:rsidR="00833634" w:rsidRDefault="00E15D51">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3E2" w14:textId="77777777" w:rsidR="00833634" w:rsidRDefault="00833634">
            <w:pPr>
              <w:jc w:val="right"/>
              <w:rPr>
                <w:rFonts w:ascii="宋体"/>
              </w:rPr>
            </w:pPr>
          </w:p>
        </w:tc>
      </w:tr>
      <w:tr w:rsidR="00833634" w14:paraId="4090E3EB" w14:textId="77777777">
        <w:trPr>
          <w:jc w:val="center"/>
          <w:hidden/>
        </w:trPr>
        <w:tc>
          <w:tcPr>
            <w:tcW w:w="0" w:type="auto"/>
            <w:gridSpan w:val="3"/>
            <w:shd w:val="clear" w:color="auto" w:fill="auto"/>
          </w:tcPr>
          <w:p w14:paraId="4090E3E4" w14:textId="77777777" w:rsidR="00833634" w:rsidRDefault="00833634">
            <w:pPr>
              <w:rPr>
                <w:rFonts w:ascii="宋体"/>
                <w:vanish/>
              </w:rPr>
            </w:pPr>
          </w:p>
        </w:tc>
        <w:tc>
          <w:tcPr>
            <w:tcW w:w="0" w:type="auto"/>
            <w:gridSpan w:val="3"/>
            <w:shd w:val="clear" w:color="auto" w:fill="auto"/>
          </w:tcPr>
          <w:p w14:paraId="4090E3E5" w14:textId="77777777" w:rsidR="00833634" w:rsidRDefault="00833634">
            <w:pPr>
              <w:rPr>
                <w:rFonts w:ascii="宋体"/>
                <w:vanish/>
              </w:rPr>
            </w:pPr>
          </w:p>
        </w:tc>
        <w:tc>
          <w:tcPr>
            <w:tcW w:w="0" w:type="auto"/>
            <w:gridSpan w:val="3"/>
            <w:shd w:val="clear" w:color="auto" w:fill="auto"/>
          </w:tcPr>
          <w:p w14:paraId="4090E3E6" w14:textId="77777777" w:rsidR="00833634" w:rsidRDefault="00833634">
            <w:pPr>
              <w:rPr>
                <w:rFonts w:ascii="宋体"/>
                <w:vanish/>
              </w:rPr>
            </w:pPr>
          </w:p>
        </w:tc>
        <w:tc>
          <w:tcPr>
            <w:tcW w:w="0" w:type="auto"/>
            <w:gridSpan w:val="3"/>
            <w:shd w:val="clear" w:color="auto" w:fill="auto"/>
          </w:tcPr>
          <w:p w14:paraId="4090E3E7" w14:textId="77777777" w:rsidR="00833634" w:rsidRDefault="00833634">
            <w:pPr>
              <w:rPr>
                <w:rFonts w:ascii="宋体"/>
                <w:vanish/>
              </w:rPr>
            </w:pPr>
          </w:p>
        </w:tc>
        <w:tc>
          <w:tcPr>
            <w:tcW w:w="0" w:type="auto"/>
            <w:gridSpan w:val="3"/>
            <w:shd w:val="clear" w:color="auto" w:fill="auto"/>
          </w:tcPr>
          <w:p w14:paraId="4090E3E8" w14:textId="77777777" w:rsidR="00833634" w:rsidRDefault="00833634">
            <w:pPr>
              <w:rPr>
                <w:rFonts w:ascii="宋体"/>
                <w:vanish/>
              </w:rPr>
            </w:pPr>
          </w:p>
        </w:tc>
        <w:tc>
          <w:tcPr>
            <w:tcW w:w="0" w:type="auto"/>
            <w:gridSpan w:val="3"/>
            <w:shd w:val="clear" w:color="auto" w:fill="auto"/>
          </w:tcPr>
          <w:p w14:paraId="4090E3E9" w14:textId="77777777" w:rsidR="00833634" w:rsidRDefault="00833634">
            <w:pPr>
              <w:rPr>
                <w:rFonts w:ascii="宋体"/>
                <w:vanish/>
              </w:rPr>
            </w:pPr>
          </w:p>
        </w:tc>
        <w:tc>
          <w:tcPr>
            <w:tcW w:w="0" w:type="auto"/>
            <w:gridSpan w:val="3"/>
            <w:shd w:val="clear" w:color="auto" w:fill="auto"/>
          </w:tcPr>
          <w:p w14:paraId="4090E3EA" w14:textId="77777777" w:rsidR="00833634" w:rsidRDefault="00833634">
            <w:pPr>
              <w:rPr>
                <w:rFonts w:ascii="宋体"/>
                <w:vanish/>
              </w:rPr>
            </w:pPr>
          </w:p>
        </w:tc>
      </w:tr>
      <w:tr w:rsidR="00833634" w14:paraId="4090E3F3" w14:textId="77777777">
        <w:trPr>
          <w:jc w:val="center"/>
          <w:hidden/>
        </w:trPr>
        <w:tc>
          <w:tcPr>
            <w:tcW w:w="0" w:type="auto"/>
            <w:gridSpan w:val="3"/>
            <w:shd w:val="clear" w:color="auto" w:fill="auto"/>
          </w:tcPr>
          <w:p w14:paraId="4090E3EC" w14:textId="77777777" w:rsidR="00833634" w:rsidRDefault="00833634">
            <w:pPr>
              <w:rPr>
                <w:rFonts w:ascii="宋体"/>
                <w:vanish/>
              </w:rPr>
            </w:pPr>
          </w:p>
        </w:tc>
        <w:tc>
          <w:tcPr>
            <w:tcW w:w="0" w:type="auto"/>
            <w:gridSpan w:val="3"/>
            <w:shd w:val="clear" w:color="auto" w:fill="auto"/>
          </w:tcPr>
          <w:p w14:paraId="4090E3ED" w14:textId="77777777" w:rsidR="00833634" w:rsidRDefault="00833634">
            <w:pPr>
              <w:rPr>
                <w:rFonts w:ascii="宋体"/>
                <w:vanish/>
              </w:rPr>
            </w:pPr>
          </w:p>
        </w:tc>
        <w:tc>
          <w:tcPr>
            <w:tcW w:w="0" w:type="auto"/>
            <w:gridSpan w:val="3"/>
            <w:shd w:val="clear" w:color="auto" w:fill="auto"/>
          </w:tcPr>
          <w:p w14:paraId="4090E3EE" w14:textId="77777777" w:rsidR="00833634" w:rsidRDefault="00833634">
            <w:pPr>
              <w:rPr>
                <w:rFonts w:ascii="宋体"/>
                <w:vanish/>
              </w:rPr>
            </w:pPr>
          </w:p>
        </w:tc>
        <w:tc>
          <w:tcPr>
            <w:tcW w:w="0" w:type="auto"/>
            <w:gridSpan w:val="3"/>
            <w:shd w:val="clear" w:color="auto" w:fill="auto"/>
          </w:tcPr>
          <w:p w14:paraId="4090E3EF" w14:textId="77777777" w:rsidR="00833634" w:rsidRDefault="00833634">
            <w:pPr>
              <w:rPr>
                <w:rFonts w:ascii="宋体"/>
                <w:vanish/>
              </w:rPr>
            </w:pPr>
          </w:p>
        </w:tc>
        <w:tc>
          <w:tcPr>
            <w:tcW w:w="0" w:type="auto"/>
            <w:gridSpan w:val="3"/>
            <w:shd w:val="clear" w:color="auto" w:fill="auto"/>
          </w:tcPr>
          <w:p w14:paraId="4090E3F0" w14:textId="77777777" w:rsidR="00833634" w:rsidRDefault="00833634">
            <w:pPr>
              <w:rPr>
                <w:rFonts w:ascii="宋体"/>
                <w:vanish/>
              </w:rPr>
            </w:pPr>
          </w:p>
        </w:tc>
        <w:tc>
          <w:tcPr>
            <w:tcW w:w="0" w:type="auto"/>
            <w:gridSpan w:val="3"/>
            <w:shd w:val="clear" w:color="auto" w:fill="auto"/>
          </w:tcPr>
          <w:p w14:paraId="4090E3F1" w14:textId="77777777" w:rsidR="00833634" w:rsidRDefault="00833634">
            <w:pPr>
              <w:rPr>
                <w:rFonts w:ascii="宋体"/>
                <w:vanish/>
              </w:rPr>
            </w:pPr>
          </w:p>
        </w:tc>
        <w:tc>
          <w:tcPr>
            <w:tcW w:w="0" w:type="auto"/>
            <w:gridSpan w:val="3"/>
            <w:shd w:val="clear" w:color="auto" w:fill="auto"/>
          </w:tcPr>
          <w:p w14:paraId="4090E3F2" w14:textId="77777777" w:rsidR="00833634" w:rsidRDefault="00833634">
            <w:pPr>
              <w:rPr>
                <w:rFonts w:ascii="宋体"/>
                <w:vanish/>
              </w:rPr>
            </w:pPr>
          </w:p>
        </w:tc>
      </w:tr>
      <w:tr w:rsidR="00833634" w14:paraId="4090E401" w14:textId="77777777">
        <w:trPr>
          <w:jc w:val="center"/>
        </w:trPr>
        <w:tc>
          <w:tcPr>
            <w:tcW w:w="0" w:type="auto"/>
            <w:gridSpan w:val="3"/>
            <w:tcBorders>
              <w:top w:val="single" w:sz="8" w:space="0" w:color="000000"/>
              <w:bottom w:val="double" w:sz="6" w:space="0" w:color="000000"/>
            </w:tcBorders>
            <w:shd w:val="clear" w:color="auto" w:fill="FFFFFF"/>
            <w:tcMar>
              <w:top w:w="40" w:type="dxa"/>
              <w:left w:w="240" w:type="dxa"/>
              <w:bottom w:w="40" w:type="dxa"/>
              <w:right w:w="20" w:type="dxa"/>
            </w:tcMar>
          </w:tcPr>
          <w:p w14:paraId="4090E3F4" w14:textId="77777777" w:rsidR="00833634" w:rsidRDefault="00E15D51">
            <w:pPr>
              <w:ind w:hanging="180"/>
              <w:textAlignment w:val="top"/>
            </w:pPr>
            <w:r>
              <w:rPr>
                <w:rFonts w:ascii="Arial" w:eastAsia="宋体" w:hAnsi="Arial" w:cs="Arial"/>
                <w:color w:val="000000"/>
                <w:sz w:val="20"/>
                <w:szCs w:val="20"/>
              </w:rPr>
              <w:t>Balance at September 30,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3F5" w14:textId="77777777" w:rsidR="00833634" w:rsidRDefault="00E15D51">
            <w:pPr>
              <w:jc w:val="right"/>
              <w:textAlignment w:val="bottom"/>
            </w:pPr>
            <w:r>
              <w:rPr>
                <w:rFonts w:ascii="Arial" w:eastAsia="宋体" w:hAnsi="Arial" w:cs="Arial"/>
                <w:b/>
                <w:bCs/>
                <w:color w:val="000000"/>
                <w:sz w:val="20"/>
                <w:szCs w:val="20"/>
              </w:rPr>
              <w:t>($431)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3F6"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3F7" w14:textId="77777777" w:rsidR="00833634" w:rsidRDefault="00E15D51">
            <w:pPr>
              <w:jc w:val="right"/>
              <w:textAlignment w:val="bottom"/>
            </w:pPr>
            <w:r>
              <w:rPr>
                <w:rFonts w:ascii="Arial" w:eastAsia="宋体" w:hAnsi="Arial" w:cs="Arial"/>
                <w:b/>
                <w:bCs/>
                <w:color w:val="000000"/>
                <w:sz w:val="20"/>
                <w:szCs w:val="20"/>
              </w:rPr>
              <w:t>($127)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3F8"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3F9" w14:textId="77777777" w:rsidR="00833634" w:rsidRDefault="00E15D51">
            <w:pPr>
              <w:jc w:val="right"/>
              <w:textAlignment w:val="bottom"/>
            </w:pPr>
            <w:r>
              <w:rPr>
                <w:rFonts w:ascii="Arial" w:eastAsia="宋体" w:hAnsi="Arial" w:cs="Arial"/>
                <w:b/>
                <w:bCs/>
                <w:color w:val="000000"/>
                <w:sz w:val="20"/>
                <w:szCs w:val="20"/>
              </w:rPr>
              <w:t>($58)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3FA"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3FB" w14:textId="77777777" w:rsidR="00833634" w:rsidRDefault="00E15D51">
            <w:pPr>
              <w:jc w:val="right"/>
              <w:textAlignment w:val="bottom"/>
            </w:pPr>
            <w:r>
              <w:rPr>
                <w:rFonts w:ascii="Arial" w:eastAsia="宋体" w:hAnsi="Arial" w:cs="Arial"/>
                <w:b/>
                <w:bCs/>
                <w:color w:val="000000"/>
                <w:sz w:val="20"/>
                <w:szCs w:val="20"/>
              </w:rPr>
              <w:t>($17)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3FC"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3FD" w14:textId="77777777" w:rsidR="00833634" w:rsidRDefault="00E15D51">
            <w:pPr>
              <w:jc w:val="right"/>
              <w:textAlignment w:val="bottom"/>
            </w:pPr>
            <w:r>
              <w:rPr>
                <w:rFonts w:ascii="Arial" w:eastAsia="宋体" w:hAnsi="Arial" w:cs="Arial"/>
                <w:b/>
                <w:bCs/>
                <w:color w:val="000000"/>
                <w:sz w:val="20"/>
                <w:szCs w:val="20"/>
              </w:rPr>
              <w:t>($78)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3FE"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3FF" w14:textId="77777777" w:rsidR="00833634" w:rsidRDefault="00E15D51">
            <w:pPr>
              <w:jc w:val="right"/>
              <w:textAlignment w:val="bottom"/>
            </w:pPr>
            <w:r>
              <w:rPr>
                <w:rFonts w:ascii="Arial" w:eastAsia="宋体" w:hAnsi="Arial" w:cs="Arial"/>
                <w:b/>
                <w:bCs/>
                <w:color w:val="000000"/>
                <w:sz w:val="20"/>
                <w:szCs w:val="20"/>
              </w:rPr>
              <w:t>($711)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400" w14:textId="77777777" w:rsidR="00833634" w:rsidRDefault="00833634">
            <w:pPr>
              <w:jc w:val="right"/>
              <w:rPr>
                <w:rFonts w:ascii="宋体"/>
              </w:rPr>
            </w:pPr>
          </w:p>
        </w:tc>
      </w:tr>
    </w:tbl>
    <w:p w14:paraId="4090E402" w14:textId="77777777" w:rsidR="00833634" w:rsidRDefault="00E15D51">
      <w:pPr>
        <w:spacing w:before="300" w:after="180"/>
        <w:jc w:val="both"/>
      </w:pPr>
      <w:r>
        <w:rPr>
          <w:rFonts w:ascii="Arial" w:eastAsia="宋体" w:hAnsi="Arial" w:cs="Arial"/>
          <w:b/>
          <w:bCs/>
          <w:color w:val="000000"/>
          <w:sz w:val="20"/>
          <w:szCs w:val="20"/>
        </w:rPr>
        <w:t>Note 6 – Inventories</w:t>
      </w:r>
    </w:p>
    <w:p w14:paraId="4090E403" w14:textId="77777777" w:rsidR="00833634" w:rsidRDefault="00E15D51">
      <w:pPr>
        <w:jc w:val="both"/>
      </w:pPr>
      <w:r>
        <w:rPr>
          <w:rFonts w:ascii="Arial" w:eastAsia="宋体" w:hAnsi="Arial" w:cs="Arial"/>
          <w:color w:val="000000"/>
          <w:sz w:val="20"/>
          <w:szCs w:val="20"/>
        </w:rPr>
        <w:t>Inventories consisted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63"/>
        <w:gridCol w:w="5661"/>
        <w:gridCol w:w="37"/>
        <w:gridCol w:w="70"/>
        <w:gridCol w:w="1177"/>
        <w:gridCol w:w="36"/>
        <w:gridCol w:w="36"/>
        <w:gridCol w:w="36"/>
        <w:gridCol w:w="36"/>
        <w:gridCol w:w="68"/>
        <w:gridCol w:w="1067"/>
        <w:gridCol w:w="36"/>
      </w:tblGrid>
      <w:tr w:rsidR="00833634" w14:paraId="4090E410" w14:textId="77777777">
        <w:tc>
          <w:tcPr>
            <w:tcW w:w="50" w:type="pct"/>
            <w:shd w:val="clear" w:color="auto" w:fill="auto"/>
          </w:tcPr>
          <w:p w14:paraId="4090E404" w14:textId="77777777" w:rsidR="00833634" w:rsidRDefault="00833634">
            <w:pPr>
              <w:rPr>
                <w:rFonts w:ascii="宋体"/>
              </w:rPr>
            </w:pPr>
          </w:p>
        </w:tc>
        <w:tc>
          <w:tcPr>
            <w:tcW w:w="3412" w:type="pct"/>
            <w:shd w:val="clear" w:color="auto" w:fill="auto"/>
          </w:tcPr>
          <w:p w14:paraId="4090E405" w14:textId="77777777" w:rsidR="00833634" w:rsidRDefault="00833634">
            <w:pPr>
              <w:rPr>
                <w:rFonts w:ascii="宋体"/>
              </w:rPr>
            </w:pPr>
          </w:p>
        </w:tc>
        <w:tc>
          <w:tcPr>
            <w:tcW w:w="5" w:type="pct"/>
            <w:shd w:val="clear" w:color="auto" w:fill="auto"/>
          </w:tcPr>
          <w:p w14:paraId="4090E406" w14:textId="77777777" w:rsidR="00833634" w:rsidRDefault="00833634">
            <w:pPr>
              <w:rPr>
                <w:rFonts w:ascii="宋体"/>
              </w:rPr>
            </w:pPr>
          </w:p>
        </w:tc>
        <w:tc>
          <w:tcPr>
            <w:tcW w:w="50" w:type="pct"/>
            <w:shd w:val="clear" w:color="auto" w:fill="auto"/>
          </w:tcPr>
          <w:p w14:paraId="4090E407" w14:textId="77777777" w:rsidR="00833634" w:rsidRDefault="00833634">
            <w:pPr>
              <w:rPr>
                <w:rFonts w:ascii="宋体"/>
              </w:rPr>
            </w:pPr>
          </w:p>
        </w:tc>
        <w:tc>
          <w:tcPr>
            <w:tcW w:w="723" w:type="pct"/>
            <w:shd w:val="clear" w:color="auto" w:fill="auto"/>
          </w:tcPr>
          <w:p w14:paraId="4090E408" w14:textId="77777777" w:rsidR="00833634" w:rsidRDefault="00833634">
            <w:pPr>
              <w:rPr>
                <w:rFonts w:ascii="宋体"/>
              </w:rPr>
            </w:pPr>
          </w:p>
        </w:tc>
        <w:tc>
          <w:tcPr>
            <w:tcW w:w="5" w:type="pct"/>
            <w:shd w:val="clear" w:color="auto" w:fill="auto"/>
          </w:tcPr>
          <w:p w14:paraId="4090E409" w14:textId="77777777" w:rsidR="00833634" w:rsidRDefault="00833634">
            <w:pPr>
              <w:rPr>
                <w:rFonts w:ascii="宋体"/>
              </w:rPr>
            </w:pPr>
          </w:p>
        </w:tc>
        <w:tc>
          <w:tcPr>
            <w:tcW w:w="5" w:type="pct"/>
            <w:shd w:val="clear" w:color="auto" w:fill="auto"/>
          </w:tcPr>
          <w:p w14:paraId="4090E40A" w14:textId="77777777" w:rsidR="00833634" w:rsidRDefault="00833634">
            <w:pPr>
              <w:rPr>
                <w:rFonts w:ascii="宋体"/>
              </w:rPr>
            </w:pPr>
          </w:p>
        </w:tc>
        <w:tc>
          <w:tcPr>
            <w:tcW w:w="30" w:type="pct"/>
            <w:shd w:val="clear" w:color="auto" w:fill="auto"/>
          </w:tcPr>
          <w:p w14:paraId="4090E40B" w14:textId="77777777" w:rsidR="00833634" w:rsidRDefault="00833634">
            <w:pPr>
              <w:rPr>
                <w:rFonts w:ascii="宋体"/>
              </w:rPr>
            </w:pPr>
          </w:p>
        </w:tc>
        <w:tc>
          <w:tcPr>
            <w:tcW w:w="5" w:type="pct"/>
            <w:shd w:val="clear" w:color="auto" w:fill="auto"/>
          </w:tcPr>
          <w:p w14:paraId="4090E40C" w14:textId="77777777" w:rsidR="00833634" w:rsidRDefault="00833634">
            <w:pPr>
              <w:rPr>
                <w:rFonts w:ascii="宋体"/>
              </w:rPr>
            </w:pPr>
          </w:p>
        </w:tc>
        <w:tc>
          <w:tcPr>
            <w:tcW w:w="50" w:type="pct"/>
            <w:shd w:val="clear" w:color="auto" w:fill="auto"/>
          </w:tcPr>
          <w:p w14:paraId="4090E40D" w14:textId="77777777" w:rsidR="00833634" w:rsidRDefault="00833634">
            <w:pPr>
              <w:rPr>
                <w:rFonts w:ascii="宋体"/>
              </w:rPr>
            </w:pPr>
          </w:p>
        </w:tc>
        <w:tc>
          <w:tcPr>
            <w:tcW w:w="659" w:type="pct"/>
            <w:shd w:val="clear" w:color="auto" w:fill="auto"/>
          </w:tcPr>
          <w:p w14:paraId="4090E40E" w14:textId="77777777" w:rsidR="00833634" w:rsidRDefault="00833634">
            <w:pPr>
              <w:rPr>
                <w:rFonts w:ascii="宋体"/>
              </w:rPr>
            </w:pPr>
          </w:p>
        </w:tc>
        <w:tc>
          <w:tcPr>
            <w:tcW w:w="5" w:type="pct"/>
            <w:shd w:val="clear" w:color="auto" w:fill="auto"/>
          </w:tcPr>
          <w:p w14:paraId="4090E40F" w14:textId="77777777" w:rsidR="00833634" w:rsidRDefault="00833634">
            <w:pPr>
              <w:rPr>
                <w:rFonts w:ascii="宋体"/>
              </w:rPr>
            </w:pPr>
          </w:p>
        </w:tc>
      </w:tr>
      <w:tr w:rsidR="00833634" w14:paraId="4090E415" w14:textId="77777777">
        <w:tc>
          <w:tcPr>
            <w:tcW w:w="0" w:type="auto"/>
            <w:gridSpan w:val="3"/>
            <w:shd w:val="clear" w:color="auto" w:fill="auto"/>
            <w:tcMar>
              <w:top w:w="0" w:type="dxa"/>
              <w:left w:w="20" w:type="dxa"/>
              <w:bottom w:w="0" w:type="dxa"/>
              <w:right w:w="20" w:type="dxa"/>
            </w:tcMar>
          </w:tcPr>
          <w:p w14:paraId="4090E411"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412" w14:textId="77777777" w:rsidR="00833634" w:rsidRDefault="00E15D51">
            <w:pPr>
              <w:jc w:val="right"/>
              <w:textAlignment w:val="bottom"/>
            </w:pPr>
            <w:r>
              <w:rPr>
                <w:rFonts w:ascii="Arial" w:eastAsia="宋体" w:hAnsi="Arial" w:cs="Arial"/>
                <w:b/>
                <w:bCs/>
                <w:color w:val="000000"/>
                <w:sz w:val="20"/>
                <w:szCs w:val="20"/>
              </w:rPr>
              <w:t>September 30</w:t>
            </w:r>
            <w:r>
              <w:rPr>
                <w:rFonts w:ascii="Arial" w:eastAsia="宋体" w:hAnsi="Arial" w:cs="Arial"/>
                <w:b/>
                <w:bCs/>
                <w:color w:val="000000"/>
                <w:sz w:val="20"/>
                <w:szCs w:val="20"/>
              </w:rPr>
              <w:br/>
              <w:t>2020</w:t>
            </w:r>
          </w:p>
        </w:tc>
        <w:tc>
          <w:tcPr>
            <w:tcW w:w="0" w:type="auto"/>
            <w:gridSpan w:val="3"/>
            <w:shd w:val="clear" w:color="auto" w:fill="auto"/>
            <w:tcMar>
              <w:top w:w="0" w:type="dxa"/>
              <w:left w:w="20" w:type="dxa"/>
              <w:bottom w:w="0" w:type="dxa"/>
              <w:right w:w="20" w:type="dxa"/>
            </w:tcMar>
          </w:tcPr>
          <w:p w14:paraId="4090E413"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414" w14:textId="77777777" w:rsidR="00833634" w:rsidRDefault="00E15D51">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2019</w:t>
            </w:r>
          </w:p>
        </w:tc>
      </w:tr>
      <w:tr w:rsidR="00833634" w14:paraId="4090E41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416" w14:textId="77777777" w:rsidR="00833634" w:rsidRDefault="00E15D51">
            <w:pPr>
              <w:textAlignment w:val="bottom"/>
            </w:pPr>
            <w:r>
              <w:rPr>
                <w:rFonts w:ascii="Arial" w:eastAsia="宋体" w:hAnsi="Arial" w:cs="Arial"/>
                <w:color w:val="000000"/>
                <w:sz w:val="20"/>
                <w:szCs w:val="20"/>
              </w:rPr>
              <w:t>Long-term contracts in progress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417" w14:textId="77777777" w:rsidR="00833634" w:rsidRDefault="00E15D51">
            <w:pPr>
              <w:jc w:val="right"/>
              <w:textAlignment w:val="bottom"/>
            </w:pPr>
            <w:r>
              <w:rPr>
                <w:rFonts w:ascii="Arial" w:eastAsia="宋体" w:hAnsi="Arial" w:cs="Arial"/>
                <w:b/>
                <w:bCs/>
                <w:color w:val="000000"/>
                <w:sz w:val="20"/>
                <w:szCs w:val="20"/>
              </w:rPr>
              <w:t>$871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41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41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41A" w14:textId="77777777" w:rsidR="00833634" w:rsidRDefault="00E15D51">
            <w:pPr>
              <w:jc w:val="right"/>
              <w:textAlignment w:val="bottom"/>
            </w:pPr>
            <w:r>
              <w:rPr>
                <w:rFonts w:ascii="Arial" w:eastAsia="宋体" w:hAnsi="Arial" w:cs="Arial"/>
                <w:color w:val="000000"/>
                <w:sz w:val="20"/>
                <w:szCs w:val="20"/>
              </w:rPr>
              <w:t>$1,187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41B" w14:textId="77777777" w:rsidR="00833634" w:rsidRDefault="00833634">
            <w:pPr>
              <w:jc w:val="right"/>
              <w:rPr>
                <w:rFonts w:ascii="宋体"/>
              </w:rPr>
            </w:pPr>
          </w:p>
        </w:tc>
      </w:tr>
      <w:tr w:rsidR="00833634" w14:paraId="4090E423" w14:textId="77777777">
        <w:tc>
          <w:tcPr>
            <w:tcW w:w="0" w:type="auto"/>
            <w:gridSpan w:val="3"/>
            <w:shd w:val="clear" w:color="auto" w:fill="FFFFFF"/>
            <w:tcMar>
              <w:top w:w="40" w:type="dxa"/>
              <w:left w:w="20" w:type="dxa"/>
              <w:bottom w:w="40" w:type="dxa"/>
              <w:right w:w="20" w:type="dxa"/>
            </w:tcMar>
            <w:vAlign w:val="bottom"/>
          </w:tcPr>
          <w:p w14:paraId="4090E41D" w14:textId="77777777" w:rsidR="00833634" w:rsidRDefault="00E15D51">
            <w:pPr>
              <w:textAlignment w:val="bottom"/>
            </w:pPr>
            <w:r>
              <w:rPr>
                <w:rFonts w:ascii="Arial" w:eastAsia="宋体" w:hAnsi="Arial" w:cs="Arial"/>
                <w:color w:val="000000"/>
                <w:sz w:val="20"/>
                <w:szCs w:val="20"/>
              </w:rPr>
              <w:t>Commercial aircraft programs</w:t>
            </w:r>
          </w:p>
        </w:tc>
        <w:tc>
          <w:tcPr>
            <w:tcW w:w="0" w:type="auto"/>
            <w:gridSpan w:val="2"/>
            <w:shd w:val="clear" w:color="auto" w:fill="FFFFFF"/>
            <w:tcMar>
              <w:top w:w="40" w:type="dxa"/>
              <w:left w:w="20" w:type="dxa"/>
              <w:bottom w:w="40" w:type="dxa"/>
              <w:right w:w="0" w:type="dxa"/>
            </w:tcMar>
            <w:vAlign w:val="bottom"/>
          </w:tcPr>
          <w:p w14:paraId="4090E41E" w14:textId="77777777" w:rsidR="00833634" w:rsidRDefault="00E15D51">
            <w:pPr>
              <w:jc w:val="right"/>
              <w:textAlignment w:val="bottom"/>
            </w:pPr>
            <w:r>
              <w:rPr>
                <w:rFonts w:ascii="Arial" w:eastAsia="宋体" w:hAnsi="Arial" w:cs="Arial"/>
                <w:b/>
                <w:bCs/>
                <w:color w:val="000000"/>
                <w:sz w:val="20"/>
                <w:szCs w:val="20"/>
              </w:rPr>
              <w:t>75,170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1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42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421" w14:textId="77777777" w:rsidR="00833634" w:rsidRDefault="00E15D51">
            <w:pPr>
              <w:jc w:val="right"/>
              <w:textAlignment w:val="bottom"/>
            </w:pPr>
            <w:r>
              <w:rPr>
                <w:rFonts w:ascii="Arial" w:eastAsia="宋体" w:hAnsi="Arial" w:cs="Arial"/>
                <w:color w:val="000000"/>
                <w:sz w:val="20"/>
                <w:szCs w:val="20"/>
              </w:rPr>
              <w:t>66,016 </w:t>
            </w:r>
          </w:p>
        </w:tc>
        <w:tc>
          <w:tcPr>
            <w:tcW w:w="0" w:type="auto"/>
            <w:shd w:val="clear" w:color="auto" w:fill="FFFFFF"/>
            <w:tcMar>
              <w:top w:w="40" w:type="dxa"/>
              <w:left w:w="0" w:type="dxa"/>
              <w:bottom w:w="40" w:type="dxa"/>
              <w:right w:w="20" w:type="dxa"/>
            </w:tcMar>
            <w:vAlign w:val="bottom"/>
          </w:tcPr>
          <w:p w14:paraId="4090E422" w14:textId="77777777" w:rsidR="00833634" w:rsidRDefault="00833634">
            <w:pPr>
              <w:jc w:val="right"/>
              <w:rPr>
                <w:rFonts w:ascii="宋体"/>
              </w:rPr>
            </w:pPr>
          </w:p>
        </w:tc>
      </w:tr>
      <w:tr w:rsidR="00833634" w14:paraId="4090E42A" w14:textId="77777777">
        <w:tc>
          <w:tcPr>
            <w:tcW w:w="0" w:type="auto"/>
            <w:gridSpan w:val="3"/>
            <w:shd w:val="clear" w:color="auto" w:fill="CCEEFF"/>
            <w:tcMar>
              <w:top w:w="40" w:type="dxa"/>
              <w:left w:w="20" w:type="dxa"/>
              <w:bottom w:w="40" w:type="dxa"/>
              <w:right w:w="20" w:type="dxa"/>
            </w:tcMar>
            <w:vAlign w:val="bottom"/>
          </w:tcPr>
          <w:p w14:paraId="4090E424" w14:textId="77777777" w:rsidR="00833634" w:rsidRDefault="00E15D51">
            <w:pPr>
              <w:ind w:hanging="180"/>
              <w:textAlignment w:val="bottom"/>
            </w:pPr>
            <w:r>
              <w:rPr>
                <w:rFonts w:ascii="Arial" w:eastAsia="宋体" w:hAnsi="Arial" w:cs="Arial"/>
                <w:color w:val="000000"/>
                <w:sz w:val="20"/>
                <w:szCs w:val="20"/>
              </w:rPr>
              <w:t>Commercial spare parts, used aircraft, general stock materials and other</w:t>
            </w:r>
          </w:p>
        </w:tc>
        <w:tc>
          <w:tcPr>
            <w:tcW w:w="0" w:type="auto"/>
            <w:gridSpan w:val="2"/>
            <w:shd w:val="clear" w:color="auto" w:fill="CCEEFF"/>
            <w:tcMar>
              <w:top w:w="40" w:type="dxa"/>
              <w:left w:w="20" w:type="dxa"/>
              <w:bottom w:w="40" w:type="dxa"/>
              <w:right w:w="0" w:type="dxa"/>
            </w:tcMar>
            <w:vAlign w:val="bottom"/>
          </w:tcPr>
          <w:p w14:paraId="4090E425" w14:textId="77777777" w:rsidR="00833634" w:rsidRDefault="00E15D51">
            <w:pPr>
              <w:jc w:val="right"/>
              <w:textAlignment w:val="bottom"/>
            </w:pPr>
            <w:r>
              <w:rPr>
                <w:rFonts w:ascii="Arial" w:eastAsia="宋体" w:hAnsi="Arial" w:cs="Arial"/>
                <w:b/>
                <w:bCs/>
                <w:color w:val="000000"/>
                <w:sz w:val="20"/>
                <w:szCs w:val="20"/>
              </w:rPr>
              <w:t>10,920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42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42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428" w14:textId="77777777" w:rsidR="00833634" w:rsidRDefault="00E15D51">
            <w:pPr>
              <w:jc w:val="right"/>
              <w:textAlignment w:val="bottom"/>
            </w:pPr>
            <w:r>
              <w:rPr>
                <w:rFonts w:ascii="Arial" w:eastAsia="宋体" w:hAnsi="Arial" w:cs="Arial"/>
                <w:color w:val="000000"/>
                <w:sz w:val="20"/>
                <w:szCs w:val="20"/>
              </w:rPr>
              <w:t>9,419 </w:t>
            </w:r>
          </w:p>
        </w:tc>
        <w:tc>
          <w:tcPr>
            <w:tcW w:w="0" w:type="auto"/>
            <w:shd w:val="clear" w:color="auto" w:fill="CCEEFF"/>
            <w:tcMar>
              <w:top w:w="40" w:type="dxa"/>
              <w:left w:w="0" w:type="dxa"/>
              <w:bottom w:w="40" w:type="dxa"/>
              <w:right w:w="20" w:type="dxa"/>
            </w:tcMar>
            <w:vAlign w:val="bottom"/>
          </w:tcPr>
          <w:p w14:paraId="4090E429" w14:textId="77777777" w:rsidR="00833634" w:rsidRDefault="00833634">
            <w:pPr>
              <w:jc w:val="right"/>
              <w:rPr>
                <w:rFonts w:ascii="宋体"/>
              </w:rPr>
            </w:pPr>
          </w:p>
        </w:tc>
      </w:tr>
      <w:tr w:rsidR="00833634" w14:paraId="4090E431" w14:textId="77777777">
        <w:tc>
          <w:tcPr>
            <w:tcW w:w="0" w:type="auto"/>
            <w:gridSpan w:val="3"/>
            <w:tcBorders>
              <w:top w:val="single" w:sz="8" w:space="0" w:color="000000"/>
              <w:bottom w:val="double" w:sz="6" w:space="0" w:color="000000"/>
            </w:tcBorders>
            <w:shd w:val="clear" w:color="auto" w:fill="auto"/>
            <w:tcMar>
              <w:top w:w="40" w:type="dxa"/>
              <w:left w:w="20" w:type="dxa"/>
              <w:bottom w:w="40" w:type="dxa"/>
              <w:right w:w="20" w:type="dxa"/>
            </w:tcMar>
            <w:vAlign w:val="bottom"/>
          </w:tcPr>
          <w:p w14:paraId="4090E42B" w14:textId="77777777" w:rsidR="00833634" w:rsidRDefault="00E15D51">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bottom"/>
          </w:tcPr>
          <w:p w14:paraId="4090E42C" w14:textId="77777777" w:rsidR="00833634" w:rsidRDefault="00E15D51">
            <w:pPr>
              <w:jc w:val="right"/>
              <w:textAlignment w:val="bottom"/>
            </w:pPr>
            <w:r>
              <w:rPr>
                <w:rFonts w:ascii="Arial" w:eastAsia="宋体" w:hAnsi="Arial" w:cs="Arial"/>
                <w:b/>
                <w:bCs/>
                <w:color w:val="000000"/>
                <w:sz w:val="20"/>
                <w:szCs w:val="20"/>
              </w:rPr>
              <w:t>$86,961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090E42D"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tcPr>
          <w:p w14:paraId="4090E42E"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auto"/>
            <w:tcMar>
              <w:top w:w="40" w:type="dxa"/>
              <w:left w:w="20" w:type="dxa"/>
              <w:bottom w:w="40" w:type="dxa"/>
              <w:right w:w="0" w:type="dxa"/>
            </w:tcMar>
            <w:vAlign w:val="bottom"/>
          </w:tcPr>
          <w:p w14:paraId="4090E42F" w14:textId="77777777" w:rsidR="00833634" w:rsidRDefault="00E15D51">
            <w:pPr>
              <w:jc w:val="right"/>
              <w:textAlignment w:val="bottom"/>
            </w:pPr>
            <w:r>
              <w:rPr>
                <w:rFonts w:ascii="Arial" w:eastAsia="宋体" w:hAnsi="Arial" w:cs="Arial"/>
                <w:color w:val="000000"/>
                <w:sz w:val="20"/>
                <w:szCs w:val="20"/>
              </w:rPr>
              <w:t>$76,622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4090E430" w14:textId="77777777" w:rsidR="00833634" w:rsidRDefault="00833634">
            <w:pPr>
              <w:jc w:val="right"/>
              <w:rPr>
                <w:rFonts w:ascii="宋体"/>
              </w:rPr>
            </w:pPr>
          </w:p>
        </w:tc>
      </w:tr>
    </w:tbl>
    <w:p w14:paraId="4090E432" w14:textId="77777777" w:rsidR="00833634" w:rsidRDefault="00E15D51">
      <w:pPr>
        <w:spacing w:after="180"/>
        <w:jc w:val="both"/>
      </w:pPr>
      <w:r>
        <w:rPr>
          <w:rFonts w:ascii="Arial" w:eastAsia="宋体" w:hAnsi="Arial" w:cs="Arial"/>
          <w:color w:val="000000"/>
          <w:sz w:val="20"/>
          <w:szCs w:val="20"/>
        </w:rPr>
        <w:t xml:space="preserve">Long-term contracts in progress includes Delta launch program inventory that is </w:t>
      </w:r>
      <w:r>
        <w:rPr>
          <w:rFonts w:ascii="Arial" w:eastAsia="宋体" w:hAnsi="Arial" w:cs="Arial"/>
          <w:color w:val="000000"/>
          <w:sz w:val="20"/>
          <w:szCs w:val="20"/>
        </w:rPr>
        <w:t>being sold at cost to United Launch Alliance (ULA) under an inventory supply agreement that terminates on March 31, 2021. The inventory balance was $176 at September 30, 2020 and December 31, 2019. See indemnifications to ULA in Note 11.</w:t>
      </w:r>
    </w:p>
    <w:p w14:paraId="4090E433" w14:textId="77777777" w:rsidR="00833634" w:rsidRDefault="00E15D51">
      <w:pPr>
        <w:spacing w:after="180"/>
        <w:jc w:val="both"/>
      </w:pPr>
      <w:r>
        <w:rPr>
          <w:rFonts w:ascii="Arial" w:eastAsia="宋体" w:hAnsi="Arial" w:cs="Arial"/>
          <w:color w:val="000000"/>
          <w:sz w:val="20"/>
          <w:szCs w:val="20"/>
        </w:rPr>
        <w:t>Commercial spare p</w:t>
      </w:r>
      <w:r>
        <w:rPr>
          <w:rFonts w:ascii="Arial" w:eastAsia="宋体" w:hAnsi="Arial" w:cs="Arial"/>
          <w:color w:val="000000"/>
          <w:sz w:val="20"/>
          <w:szCs w:val="20"/>
        </w:rPr>
        <w:t>arts, used aircraft, general stock materials and other includes capitalized precontract costs of $821 at September 30, 2020 and $711 at December 31, 2019 primarily related to KC-46A Tanker and Commercial Crew. See Note 10.</w:t>
      </w:r>
    </w:p>
    <w:p w14:paraId="4090E434" w14:textId="77777777" w:rsidR="00833634" w:rsidRDefault="00E15D51">
      <w:pPr>
        <w:spacing w:after="180"/>
        <w:jc w:val="both"/>
      </w:pPr>
      <w:r>
        <w:rPr>
          <w:rFonts w:ascii="Arial" w:eastAsia="宋体" w:hAnsi="Arial" w:cs="Arial"/>
          <w:b/>
          <w:bCs/>
          <w:color w:val="000000"/>
          <w:sz w:val="20"/>
          <w:szCs w:val="20"/>
        </w:rPr>
        <w:t>Commercial Aircraft Programs</w:t>
      </w:r>
    </w:p>
    <w:p w14:paraId="4090E435" w14:textId="77777777" w:rsidR="00833634" w:rsidRDefault="00E15D51">
      <w:pPr>
        <w:spacing w:after="180"/>
        <w:jc w:val="both"/>
      </w:pPr>
      <w:r>
        <w:rPr>
          <w:rFonts w:ascii="Arial" w:eastAsia="宋体" w:hAnsi="Arial" w:cs="Arial"/>
          <w:color w:val="000000"/>
          <w:sz w:val="20"/>
          <w:szCs w:val="20"/>
        </w:rPr>
        <w:t xml:space="preserve">The </w:t>
      </w:r>
      <w:r>
        <w:rPr>
          <w:rFonts w:ascii="Arial" w:eastAsia="宋体" w:hAnsi="Arial" w:cs="Arial"/>
          <w:color w:val="000000"/>
          <w:sz w:val="20"/>
          <w:szCs w:val="20"/>
        </w:rPr>
        <w:t>increase in commercial airplane programs inventory during 2020 reflects the large number of undelivered aircraft due to the 737 MAX grounding, lower wide-body deliveries driven by the impacts of the COVID-19 pandemic and 787 quality issues and associated r</w:t>
      </w:r>
      <w:r>
        <w:rPr>
          <w:rFonts w:ascii="Arial" w:eastAsia="宋体" w:hAnsi="Arial" w:cs="Arial"/>
          <w:color w:val="000000"/>
          <w:sz w:val="20"/>
          <w:szCs w:val="20"/>
        </w:rPr>
        <w:t>ework, and increases in 777X inventory prior to entry into service. We are currently remarketing certain aircraft and may have to remarket additional aircraft in future periods. If we are unable to successfully remarket the aircraft, determine further prod</w:t>
      </w:r>
      <w:r>
        <w:rPr>
          <w:rFonts w:ascii="Arial" w:eastAsia="宋体" w:hAnsi="Arial" w:cs="Arial"/>
          <w:color w:val="000000"/>
          <w:sz w:val="20"/>
          <w:szCs w:val="20"/>
        </w:rPr>
        <w:t xml:space="preserve">uction rates reductions are necessary, and/or contract the program accounting quantities, future earnings may be reduced and/or the 787 or 777X programs may be in a reach-forward loss position. </w:t>
      </w:r>
    </w:p>
    <w:p w14:paraId="4090E436" w14:textId="77777777" w:rsidR="00833634" w:rsidRDefault="00E15D51">
      <w:pPr>
        <w:spacing w:after="180"/>
        <w:jc w:val="both"/>
      </w:pPr>
      <w:r>
        <w:rPr>
          <w:rFonts w:ascii="Arial" w:eastAsia="宋体" w:hAnsi="Arial" w:cs="Arial"/>
          <w:color w:val="000000"/>
          <w:sz w:val="20"/>
          <w:szCs w:val="20"/>
        </w:rPr>
        <w:t>At September 30, 2020 and December 31, 2019, commercial aircr</w:t>
      </w:r>
      <w:r>
        <w:rPr>
          <w:rFonts w:ascii="Arial" w:eastAsia="宋体" w:hAnsi="Arial" w:cs="Arial"/>
          <w:color w:val="000000"/>
          <w:sz w:val="20"/>
          <w:szCs w:val="20"/>
        </w:rPr>
        <w:t>aft programs inventory included $1,852 and $1,313 of deferred production costs and $512 and $521 of unamortized tooling and other non-recurring costs related to the 737 program. At September 30, 2020, $2,305 of 737 deferred production costs, unamortized to</w:t>
      </w:r>
      <w:r>
        <w:rPr>
          <w:rFonts w:ascii="Arial" w:eastAsia="宋体" w:hAnsi="Arial" w:cs="Arial"/>
          <w:color w:val="000000"/>
          <w:sz w:val="20"/>
          <w:szCs w:val="20"/>
        </w:rPr>
        <w:t>oling and other non-recurring costs are expected to be recovered from units included in the program accounting quantity that have firm orders and $59 is expected to be recovered from units included in the program accounting quantity that represent expected</w:t>
      </w:r>
      <w:r>
        <w:rPr>
          <w:rFonts w:ascii="Arial" w:eastAsia="宋体" w:hAnsi="Arial" w:cs="Arial"/>
          <w:color w:val="000000"/>
          <w:sz w:val="20"/>
          <w:szCs w:val="20"/>
        </w:rPr>
        <w:t xml:space="preserve"> future orders.</w:t>
      </w:r>
    </w:p>
    <w:p w14:paraId="4090E437" w14:textId="77777777" w:rsidR="00833634" w:rsidRDefault="00E15D51">
      <w:pPr>
        <w:spacing w:after="180"/>
        <w:jc w:val="center"/>
      </w:pPr>
      <w:r>
        <w:rPr>
          <w:rFonts w:ascii="Arial" w:eastAsia="宋体" w:hAnsi="Arial" w:cs="Arial"/>
          <w:color w:val="000000"/>
          <w:sz w:val="18"/>
          <w:szCs w:val="18"/>
        </w:rPr>
        <w:t>13</w:t>
      </w:r>
    </w:p>
    <w:p w14:paraId="4090E438" w14:textId="77777777" w:rsidR="00833634" w:rsidRDefault="00E15D51">
      <w:r>
        <w:pict w14:anchorId="4090FE2D">
          <v:rect id="_x0000_i1039" style="width:415.3pt;height:1.5pt" o:hralign="center" o:hrstd="t" o:hr="t" fillcolor="#a0a0a0" stroked="f"/>
        </w:pict>
      </w:r>
    </w:p>
    <w:p w14:paraId="4090E439" w14:textId="77777777" w:rsidR="00833634" w:rsidRDefault="00E15D51">
      <w:pPr>
        <w:spacing w:after="180"/>
        <w:jc w:val="both"/>
      </w:pPr>
      <w:hyperlink r:id="rId116" w:anchor="i8d805bfb1e1c4815a1dcd5b6d1e0b117_10" w:history="1">
        <w:r>
          <w:rPr>
            <w:rStyle w:val="a5"/>
            <w:rFonts w:ascii="Arial" w:eastAsia="宋体" w:hAnsi="Arial" w:cs="Arial"/>
            <w:sz w:val="18"/>
            <w:szCs w:val="18"/>
          </w:rPr>
          <w:t>Table of Contents</w:t>
        </w:r>
      </w:hyperlink>
    </w:p>
    <w:p w14:paraId="4090E43A" w14:textId="77777777" w:rsidR="00833634" w:rsidRDefault="00E15D51">
      <w:pPr>
        <w:spacing w:after="180"/>
        <w:jc w:val="both"/>
      </w:pPr>
      <w:r>
        <w:rPr>
          <w:rFonts w:ascii="Arial" w:eastAsia="宋体" w:hAnsi="Arial" w:cs="Arial"/>
          <w:color w:val="000000"/>
          <w:sz w:val="20"/>
          <w:szCs w:val="20"/>
        </w:rPr>
        <w:t xml:space="preserve">At September 30, 2020 and December 31, 2019, commercial aircraft </w:t>
      </w:r>
      <w:r>
        <w:rPr>
          <w:rFonts w:ascii="Arial" w:eastAsia="宋体" w:hAnsi="Arial" w:cs="Arial"/>
          <w:color w:val="000000"/>
          <w:sz w:val="20"/>
          <w:szCs w:val="20"/>
        </w:rPr>
        <w:t>programs inventory included the following amounts related to the 777X program: $7,634 and $5,628 of work in process and $3,175 and $2,914 of unamortized tooling and other non-recurring costs.</w:t>
      </w:r>
    </w:p>
    <w:p w14:paraId="4090E43B" w14:textId="77777777" w:rsidR="00833634" w:rsidRDefault="00E15D51">
      <w:pPr>
        <w:spacing w:after="180"/>
        <w:jc w:val="both"/>
      </w:pPr>
      <w:r>
        <w:rPr>
          <w:rFonts w:ascii="Arial" w:eastAsia="宋体" w:hAnsi="Arial" w:cs="Arial"/>
          <w:color w:val="000000"/>
          <w:sz w:val="20"/>
          <w:szCs w:val="20"/>
        </w:rPr>
        <w:t>At September 30, 2020 and December 31, 2019, commercial aircraft</w:t>
      </w:r>
      <w:r>
        <w:rPr>
          <w:rFonts w:ascii="Arial" w:eastAsia="宋体" w:hAnsi="Arial" w:cs="Arial"/>
          <w:color w:val="000000"/>
          <w:sz w:val="20"/>
          <w:szCs w:val="20"/>
        </w:rPr>
        <w:t xml:space="preserve"> programs inventory included the following amounts related to the 787 program: $28,730 and $24,772 of work in process (including deferred production costs of $15,432 and $18,716), $1,921 and $2,202 of supplier advances, and $1,877 and $2,092 of unamortized</w:t>
      </w:r>
      <w:r>
        <w:rPr>
          <w:rFonts w:ascii="Arial" w:eastAsia="宋体" w:hAnsi="Arial" w:cs="Arial"/>
          <w:color w:val="000000"/>
          <w:sz w:val="20"/>
          <w:szCs w:val="20"/>
        </w:rPr>
        <w:t xml:space="preserve"> tooling and other non-recurring costs. At September 30, 2020, $13,996 of 787 deferred production costs, unamortized tooling and other non-recurring costs are expected to be recovered from units included in the program accounting quantity that have firm or</w:t>
      </w:r>
      <w:r>
        <w:rPr>
          <w:rFonts w:ascii="Arial" w:eastAsia="宋体" w:hAnsi="Arial" w:cs="Arial"/>
          <w:color w:val="000000"/>
          <w:sz w:val="20"/>
          <w:szCs w:val="20"/>
        </w:rPr>
        <w:t xml:space="preserve">ders and $3,313 is expected to be recovered from units included in the program accounting quantity that represent expected future orders. </w:t>
      </w:r>
    </w:p>
    <w:p w14:paraId="4090E43C" w14:textId="77777777" w:rsidR="00833634" w:rsidRDefault="00E15D51">
      <w:pPr>
        <w:spacing w:after="300"/>
        <w:jc w:val="both"/>
      </w:pPr>
      <w:r>
        <w:rPr>
          <w:rFonts w:ascii="Arial" w:eastAsia="宋体" w:hAnsi="Arial" w:cs="Arial"/>
          <w:color w:val="000000"/>
          <w:sz w:val="20"/>
          <w:szCs w:val="20"/>
        </w:rPr>
        <w:t>Commercial aircraft programs inventory included amounts credited in cash or other consideration (early issue sales co</w:t>
      </w:r>
      <w:r>
        <w:rPr>
          <w:rFonts w:ascii="Arial" w:eastAsia="宋体" w:hAnsi="Arial" w:cs="Arial"/>
          <w:color w:val="000000"/>
          <w:sz w:val="20"/>
          <w:szCs w:val="20"/>
        </w:rPr>
        <w:t>nsideration) to airline customers totaling $2,960 and $2,863 at September 30, 2020 and December 31, 2019.</w:t>
      </w:r>
    </w:p>
    <w:p w14:paraId="4090E43D" w14:textId="77777777" w:rsidR="00833634" w:rsidRDefault="00E15D51">
      <w:pPr>
        <w:spacing w:before="300" w:after="180"/>
        <w:jc w:val="both"/>
      </w:pPr>
      <w:r>
        <w:rPr>
          <w:rFonts w:ascii="Arial" w:eastAsia="宋体" w:hAnsi="Arial" w:cs="Arial"/>
          <w:b/>
          <w:bCs/>
          <w:color w:val="000000"/>
          <w:sz w:val="20"/>
          <w:szCs w:val="20"/>
        </w:rPr>
        <w:t>Note 7 – Contracts with Customers</w:t>
      </w:r>
    </w:p>
    <w:p w14:paraId="4090E43E" w14:textId="77777777" w:rsidR="00833634" w:rsidRDefault="00E15D51">
      <w:pPr>
        <w:spacing w:after="180"/>
        <w:jc w:val="both"/>
      </w:pPr>
      <w:r>
        <w:rPr>
          <w:rFonts w:ascii="Arial" w:eastAsia="宋体" w:hAnsi="Arial" w:cs="Arial"/>
          <w:color w:val="000000"/>
          <w:sz w:val="20"/>
          <w:szCs w:val="20"/>
        </w:rPr>
        <w:t>Unbilled receivables decreased from $9,043 at December 31, 2019 to $8,860 at September 30, 2020, primarily driven by</w:t>
      </w:r>
      <w:r>
        <w:rPr>
          <w:rFonts w:ascii="Arial" w:eastAsia="宋体" w:hAnsi="Arial" w:cs="Arial"/>
          <w:color w:val="000000"/>
          <w:sz w:val="20"/>
          <w:szCs w:val="20"/>
        </w:rPr>
        <w:t xml:space="preserve"> an increase in billings at Defense, Space &amp; Security (BDS) and Global Services (BGS), as well as an increase in allowances for expected credit losses at BGS.</w:t>
      </w:r>
    </w:p>
    <w:p w14:paraId="4090E43F" w14:textId="77777777" w:rsidR="00833634" w:rsidRDefault="00E15D51">
      <w:pPr>
        <w:spacing w:after="180"/>
        <w:jc w:val="both"/>
      </w:pPr>
      <w:r>
        <w:rPr>
          <w:rFonts w:ascii="Arial" w:eastAsia="宋体" w:hAnsi="Arial" w:cs="Arial"/>
          <w:color w:val="000000"/>
          <w:sz w:val="20"/>
          <w:szCs w:val="20"/>
        </w:rPr>
        <w:t>Advances and progress billings increased from $51,551 at December 31, 2019 to $51,974 at Septembe</w:t>
      </w:r>
      <w:r>
        <w:rPr>
          <w:rFonts w:ascii="Arial" w:eastAsia="宋体" w:hAnsi="Arial" w:cs="Arial"/>
          <w:color w:val="000000"/>
          <w:sz w:val="20"/>
          <w:szCs w:val="20"/>
        </w:rPr>
        <w:t xml:space="preserve">r 30, 2020, primarily driven by advances on orders received in excess of revenue recognized at Commercial Airplanes (BCA), BDS and BGS, partially offset by the return of customer advances at BCA. </w:t>
      </w:r>
    </w:p>
    <w:p w14:paraId="4090E440" w14:textId="77777777" w:rsidR="00833634" w:rsidRDefault="00E15D51">
      <w:pPr>
        <w:spacing w:after="300"/>
        <w:jc w:val="both"/>
      </w:pPr>
      <w:r>
        <w:rPr>
          <w:rFonts w:ascii="Arial" w:eastAsia="宋体" w:hAnsi="Arial" w:cs="Arial"/>
          <w:color w:val="000000"/>
          <w:sz w:val="20"/>
          <w:szCs w:val="20"/>
        </w:rPr>
        <w:t xml:space="preserve">Revenues recognized during the nine months ended September </w:t>
      </w:r>
      <w:r>
        <w:rPr>
          <w:rFonts w:ascii="Arial" w:eastAsia="宋体" w:hAnsi="Arial" w:cs="Arial"/>
          <w:color w:val="000000"/>
          <w:sz w:val="20"/>
          <w:szCs w:val="20"/>
        </w:rPr>
        <w:t>30, 2020 and 2019 from amounts recorded as Advances and progress billings at the beginning of each year were $6,752 and $13,216. Revenues recognized during the three months ended September 30, 2020 and 2019 from amounts recorded as Advances and progress bi</w:t>
      </w:r>
      <w:r>
        <w:rPr>
          <w:rFonts w:ascii="Arial" w:eastAsia="宋体" w:hAnsi="Arial" w:cs="Arial"/>
          <w:color w:val="000000"/>
          <w:sz w:val="20"/>
          <w:szCs w:val="20"/>
        </w:rPr>
        <w:t>llings at the beginning of each year were $1,497 and $3,100.</w:t>
      </w:r>
    </w:p>
    <w:p w14:paraId="4090E441" w14:textId="77777777" w:rsidR="00833634" w:rsidRDefault="00E15D51">
      <w:pPr>
        <w:spacing w:before="300" w:after="180"/>
        <w:jc w:val="both"/>
      </w:pPr>
      <w:r>
        <w:rPr>
          <w:rFonts w:ascii="Arial" w:eastAsia="宋体" w:hAnsi="Arial" w:cs="Arial"/>
          <w:b/>
          <w:bCs/>
          <w:color w:val="000000"/>
          <w:sz w:val="20"/>
          <w:szCs w:val="20"/>
        </w:rPr>
        <w:t>Note 8 – Customer Financing</w:t>
      </w:r>
    </w:p>
    <w:p w14:paraId="4090E442" w14:textId="77777777" w:rsidR="00833634" w:rsidRDefault="00E15D51">
      <w:pPr>
        <w:spacing w:before="180"/>
        <w:jc w:val="both"/>
      </w:pPr>
      <w:r>
        <w:rPr>
          <w:rFonts w:ascii="Arial" w:eastAsia="宋体" w:hAnsi="Arial" w:cs="Arial"/>
          <w:color w:val="000000"/>
          <w:sz w:val="20"/>
          <w:szCs w:val="20"/>
        </w:rPr>
        <w:t>Customer financing primarily relates to the Boeing Capital (BCC) segment and consisted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63"/>
        <w:gridCol w:w="5675"/>
        <w:gridCol w:w="37"/>
        <w:gridCol w:w="70"/>
        <w:gridCol w:w="1163"/>
        <w:gridCol w:w="36"/>
        <w:gridCol w:w="36"/>
        <w:gridCol w:w="36"/>
        <w:gridCol w:w="36"/>
        <w:gridCol w:w="68"/>
        <w:gridCol w:w="1067"/>
        <w:gridCol w:w="36"/>
      </w:tblGrid>
      <w:tr w:rsidR="00833634" w14:paraId="4090E44F" w14:textId="77777777">
        <w:tc>
          <w:tcPr>
            <w:tcW w:w="50" w:type="pct"/>
            <w:shd w:val="clear" w:color="auto" w:fill="auto"/>
          </w:tcPr>
          <w:p w14:paraId="4090E443" w14:textId="77777777" w:rsidR="00833634" w:rsidRDefault="00833634">
            <w:pPr>
              <w:rPr>
                <w:rFonts w:ascii="宋体"/>
              </w:rPr>
            </w:pPr>
          </w:p>
        </w:tc>
        <w:tc>
          <w:tcPr>
            <w:tcW w:w="3420" w:type="pct"/>
            <w:shd w:val="clear" w:color="auto" w:fill="auto"/>
          </w:tcPr>
          <w:p w14:paraId="4090E444" w14:textId="77777777" w:rsidR="00833634" w:rsidRDefault="00833634">
            <w:pPr>
              <w:rPr>
                <w:rFonts w:ascii="宋体"/>
              </w:rPr>
            </w:pPr>
          </w:p>
        </w:tc>
        <w:tc>
          <w:tcPr>
            <w:tcW w:w="5" w:type="pct"/>
            <w:shd w:val="clear" w:color="auto" w:fill="auto"/>
          </w:tcPr>
          <w:p w14:paraId="4090E445" w14:textId="77777777" w:rsidR="00833634" w:rsidRDefault="00833634">
            <w:pPr>
              <w:rPr>
                <w:rFonts w:ascii="宋体"/>
              </w:rPr>
            </w:pPr>
          </w:p>
        </w:tc>
        <w:tc>
          <w:tcPr>
            <w:tcW w:w="50" w:type="pct"/>
            <w:shd w:val="clear" w:color="auto" w:fill="auto"/>
          </w:tcPr>
          <w:p w14:paraId="4090E446" w14:textId="77777777" w:rsidR="00833634" w:rsidRDefault="00833634">
            <w:pPr>
              <w:rPr>
                <w:rFonts w:ascii="宋体"/>
              </w:rPr>
            </w:pPr>
          </w:p>
        </w:tc>
        <w:tc>
          <w:tcPr>
            <w:tcW w:w="715" w:type="pct"/>
            <w:shd w:val="clear" w:color="auto" w:fill="auto"/>
          </w:tcPr>
          <w:p w14:paraId="4090E447" w14:textId="77777777" w:rsidR="00833634" w:rsidRDefault="00833634">
            <w:pPr>
              <w:rPr>
                <w:rFonts w:ascii="宋体"/>
              </w:rPr>
            </w:pPr>
          </w:p>
        </w:tc>
        <w:tc>
          <w:tcPr>
            <w:tcW w:w="5" w:type="pct"/>
            <w:shd w:val="clear" w:color="auto" w:fill="auto"/>
          </w:tcPr>
          <w:p w14:paraId="4090E448" w14:textId="77777777" w:rsidR="00833634" w:rsidRDefault="00833634">
            <w:pPr>
              <w:rPr>
                <w:rFonts w:ascii="宋体"/>
              </w:rPr>
            </w:pPr>
          </w:p>
        </w:tc>
        <w:tc>
          <w:tcPr>
            <w:tcW w:w="5" w:type="pct"/>
            <w:shd w:val="clear" w:color="auto" w:fill="auto"/>
          </w:tcPr>
          <w:p w14:paraId="4090E449" w14:textId="77777777" w:rsidR="00833634" w:rsidRDefault="00833634">
            <w:pPr>
              <w:rPr>
                <w:rFonts w:ascii="宋体"/>
              </w:rPr>
            </w:pPr>
          </w:p>
        </w:tc>
        <w:tc>
          <w:tcPr>
            <w:tcW w:w="30" w:type="pct"/>
            <w:shd w:val="clear" w:color="auto" w:fill="auto"/>
          </w:tcPr>
          <w:p w14:paraId="4090E44A" w14:textId="77777777" w:rsidR="00833634" w:rsidRDefault="00833634">
            <w:pPr>
              <w:rPr>
                <w:rFonts w:ascii="宋体"/>
              </w:rPr>
            </w:pPr>
          </w:p>
        </w:tc>
        <w:tc>
          <w:tcPr>
            <w:tcW w:w="5" w:type="pct"/>
            <w:shd w:val="clear" w:color="auto" w:fill="auto"/>
          </w:tcPr>
          <w:p w14:paraId="4090E44B" w14:textId="77777777" w:rsidR="00833634" w:rsidRDefault="00833634">
            <w:pPr>
              <w:rPr>
                <w:rFonts w:ascii="宋体"/>
              </w:rPr>
            </w:pPr>
          </w:p>
        </w:tc>
        <w:tc>
          <w:tcPr>
            <w:tcW w:w="50" w:type="pct"/>
            <w:shd w:val="clear" w:color="auto" w:fill="auto"/>
          </w:tcPr>
          <w:p w14:paraId="4090E44C" w14:textId="77777777" w:rsidR="00833634" w:rsidRDefault="00833634">
            <w:pPr>
              <w:rPr>
                <w:rFonts w:ascii="宋体"/>
              </w:rPr>
            </w:pPr>
          </w:p>
        </w:tc>
        <w:tc>
          <w:tcPr>
            <w:tcW w:w="659" w:type="pct"/>
            <w:shd w:val="clear" w:color="auto" w:fill="auto"/>
          </w:tcPr>
          <w:p w14:paraId="4090E44D" w14:textId="77777777" w:rsidR="00833634" w:rsidRDefault="00833634">
            <w:pPr>
              <w:rPr>
                <w:rFonts w:ascii="宋体"/>
              </w:rPr>
            </w:pPr>
          </w:p>
        </w:tc>
        <w:tc>
          <w:tcPr>
            <w:tcW w:w="5" w:type="pct"/>
            <w:shd w:val="clear" w:color="auto" w:fill="auto"/>
          </w:tcPr>
          <w:p w14:paraId="4090E44E" w14:textId="77777777" w:rsidR="00833634" w:rsidRDefault="00833634">
            <w:pPr>
              <w:rPr>
                <w:rFonts w:ascii="宋体"/>
              </w:rPr>
            </w:pPr>
          </w:p>
        </w:tc>
      </w:tr>
      <w:tr w:rsidR="00833634" w14:paraId="4090E454" w14:textId="77777777">
        <w:tc>
          <w:tcPr>
            <w:tcW w:w="0" w:type="auto"/>
            <w:gridSpan w:val="3"/>
            <w:shd w:val="clear" w:color="auto" w:fill="auto"/>
            <w:tcMar>
              <w:top w:w="0" w:type="dxa"/>
              <w:left w:w="20" w:type="dxa"/>
              <w:bottom w:w="0" w:type="dxa"/>
              <w:right w:w="20" w:type="dxa"/>
            </w:tcMar>
          </w:tcPr>
          <w:p w14:paraId="4090E450"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451" w14:textId="77777777" w:rsidR="00833634" w:rsidRDefault="00E15D51">
            <w:pPr>
              <w:jc w:val="right"/>
              <w:textAlignment w:val="bottom"/>
            </w:pPr>
            <w:r>
              <w:rPr>
                <w:rFonts w:ascii="Arial" w:eastAsia="宋体" w:hAnsi="Arial" w:cs="Arial"/>
                <w:b/>
                <w:bCs/>
                <w:color w:val="000000"/>
                <w:sz w:val="20"/>
                <w:szCs w:val="20"/>
              </w:rPr>
              <w:t>September 30</w:t>
            </w:r>
            <w:r>
              <w:rPr>
                <w:rFonts w:ascii="Arial" w:eastAsia="宋体" w:hAnsi="Arial" w:cs="Arial"/>
                <w:b/>
                <w:bCs/>
                <w:color w:val="000000"/>
                <w:sz w:val="20"/>
                <w:szCs w:val="20"/>
              </w:rPr>
              <w:br/>
              <w:t>2020</w:t>
            </w:r>
          </w:p>
        </w:tc>
        <w:tc>
          <w:tcPr>
            <w:tcW w:w="0" w:type="auto"/>
            <w:gridSpan w:val="3"/>
            <w:shd w:val="clear" w:color="auto" w:fill="auto"/>
            <w:tcMar>
              <w:top w:w="0" w:type="dxa"/>
              <w:left w:w="20" w:type="dxa"/>
              <w:bottom w:w="0" w:type="dxa"/>
              <w:right w:w="20" w:type="dxa"/>
            </w:tcMar>
          </w:tcPr>
          <w:p w14:paraId="4090E45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453" w14:textId="77777777" w:rsidR="00833634" w:rsidRDefault="00E15D51">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2019</w:t>
            </w:r>
          </w:p>
        </w:tc>
      </w:tr>
      <w:tr w:rsidR="00833634" w14:paraId="4090E45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455" w14:textId="77777777" w:rsidR="00833634" w:rsidRDefault="00E15D51">
            <w:pPr>
              <w:textAlignment w:val="bottom"/>
            </w:pPr>
            <w:r>
              <w:rPr>
                <w:rFonts w:ascii="Arial" w:eastAsia="宋体" w:hAnsi="Arial" w:cs="Arial"/>
                <w:color w:val="000000"/>
                <w:sz w:val="20"/>
                <w:szCs w:val="20"/>
              </w:rPr>
              <w:t>Financing receivables:</w:t>
            </w:r>
          </w:p>
        </w:tc>
        <w:tc>
          <w:tcPr>
            <w:tcW w:w="0" w:type="auto"/>
            <w:gridSpan w:val="3"/>
            <w:tcBorders>
              <w:top w:val="single" w:sz="8" w:space="0" w:color="000000"/>
            </w:tcBorders>
            <w:shd w:val="clear" w:color="auto" w:fill="CCEEFF"/>
            <w:tcMar>
              <w:top w:w="0" w:type="dxa"/>
              <w:left w:w="20" w:type="dxa"/>
              <w:bottom w:w="0" w:type="dxa"/>
              <w:right w:w="20" w:type="dxa"/>
            </w:tcMar>
          </w:tcPr>
          <w:p w14:paraId="4090E456"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457"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458" w14:textId="77777777" w:rsidR="00833634" w:rsidRDefault="00833634">
            <w:pPr>
              <w:rPr>
                <w:rFonts w:ascii="宋体"/>
              </w:rPr>
            </w:pPr>
          </w:p>
        </w:tc>
      </w:tr>
      <w:tr w:rsidR="00833634" w14:paraId="4090E460" w14:textId="77777777">
        <w:tc>
          <w:tcPr>
            <w:tcW w:w="0" w:type="auto"/>
            <w:gridSpan w:val="3"/>
            <w:shd w:val="clear" w:color="auto" w:fill="FFFFFF"/>
            <w:tcMar>
              <w:top w:w="40" w:type="dxa"/>
              <w:left w:w="360" w:type="dxa"/>
              <w:bottom w:w="40" w:type="dxa"/>
              <w:right w:w="20" w:type="dxa"/>
            </w:tcMar>
            <w:vAlign w:val="bottom"/>
          </w:tcPr>
          <w:p w14:paraId="4090E45A" w14:textId="77777777" w:rsidR="00833634" w:rsidRDefault="00E15D51">
            <w:pPr>
              <w:textAlignment w:val="bottom"/>
            </w:pPr>
            <w:r>
              <w:rPr>
                <w:rFonts w:ascii="Arial" w:eastAsia="宋体" w:hAnsi="Arial" w:cs="Arial"/>
                <w:color w:val="000000"/>
                <w:sz w:val="20"/>
                <w:szCs w:val="20"/>
              </w:rPr>
              <w:t>Investment in sales-type/finance leases</w:t>
            </w:r>
          </w:p>
        </w:tc>
        <w:tc>
          <w:tcPr>
            <w:tcW w:w="0" w:type="auto"/>
            <w:gridSpan w:val="2"/>
            <w:shd w:val="clear" w:color="auto" w:fill="FFFFFF"/>
            <w:tcMar>
              <w:top w:w="40" w:type="dxa"/>
              <w:left w:w="20" w:type="dxa"/>
              <w:bottom w:w="40" w:type="dxa"/>
              <w:right w:w="0" w:type="dxa"/>
            </w:tcMar>
            <w:vAlign w:val="bottom"/>
          </w:tcPr>
          <w:p w14:paraId="4090E45B" w14:textId="77777777" w:rsidR="00833634" w:rsidRDefault="00E15D51">
            <w:pPr>
              <w:jc w:val="right"/>
              <w:textAlignment w:val="bottom"/>
            </w:pPr>
            <w:r>
              <w:rPr>
                <w:rFonts w:ascii="Arial" w:eastAsia="宋体" w:hAnsi="Arial" w:cs="Arial"/>
                <w:b/>
                <w:bCs/>
                <w:color w:val="000000"/>
                <w:sz w:val="20"/>
                <w:szCs w:val="20"/>
              </w:rPr>
              <w:t>$940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5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45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45E" w14:textId="77777777" w:rsidR="00833634" w:rsidRDefault="00E15D51">
            <w:pPr>
              <w:jc w:val="right"/>
              <w:textAlignment w:val="bottom"/>
            </w:pPr>
            <w:r>
              <w:rPr>
                <w:rFonts w:ascii="Arial" w:eastAsia="宋体" w:hAnsi="Arial" w:cs="Arial"/>
                <w:color w:val="000000"/>
                <w:sz w:val="20"/>
                <w:szCs w:val="20"/>
              </w:rPr>
              <w:t>$1,029 </w:t>
            </w:r>
          </w:p>
        </w:tc>
        <w:tc>
          <w:tcPr>
            <w:tcW w:w="0" w:type="auto"/>
            <w:shd w:val="clear" w:color="auto" w:fill="FFFFFF"/>
            <w:tcMar>
              <w:top w:w="40" w:type="dxa"/>
              <w:left w:w="0" w:type="dxa"/>
              <w:bottom w:w="40" w:type="dxa"/>
              <w:right w:w="20" w:type="dxa"/>
            </w:tcMar>
            <w:vAlign w:val="bottom"/>
          </w:tcPr>
          <w:p w14:paraId="4090E45F" w14:textId="77777777" w:rsidR="00833634" w:rsidRDefault="00833634">
            <w:pPr>
              <w:jc w:val="right"/>
              <w:rPr>
                <w:rFonts w:ascii="宋体"/>
              </w:rPr>
            </w:pPr>
          </w:p>
        </w:tc>
      </w:tr>
      <w:tr w:rsidR="00833634" w14:paraId="4090E467" w14:textId="77777777">
        <w:tc>
          <w:tcPr>
            <w:tcW w:w="0" w:type="auto"/>
            <w:gridSpan w:val="3"/>
            <w:shd w:val="clear" w:color="auto" w:fill="CCEEFF"/>
            <w:tcMar>
              <w:top w:w="40" w:type="dxa"/>
              <w:left w:w="360" w:type="dxa"/>
              <w:bottom w:w="40" w:type="dxa"/>
              <w:right w:w="20" w:type="dxa"/>
            </w:tcMar>
            <w:vAlign w:val="bottom"/>
          </w:tcPr>
          <w:p w14:paraId="4090E461" w14:textId="77777777" w:rsidR="00833634" w:rsidRDefault="00E15D51">
            <w:pPr>
              <w:textAlignment w:val="bottom"/>
            </w:pPr>
            <w:r>
              <w:rPr>
                <w:rFonts w:ascii="Arial" w:eastAsia="宋体" w:hAnsi="Arial" w:cs="Arial"/>
                <w:color w:val="000000"/>
                <w:sz w:val="20"/>
                <w:szCs w:val="20"/>
              </w:rPr>
              <w:t>Notes</w:t>
            </w:r>
          </w:p>
        </w:tc>
        <w:tc>
          <w:tcPr>
            <w:tcW w:w="0" w:type="auto"/>
            <w:gridSpan w:val="2"/>
            <w:shd w:val="clear" w:color="auto" w:fill="CCEEFF"/>
            <w:tcMar>
              <w:top w:w="40" w:type="dxa"/>
              <w:left w:w="20" w:type="dxa"/>
              <w:bottom w:w="40" w:type="dxa"/>
              <w:right w:w="0" w:type="dxa"/>
            </w:tcMar>
            <w:vAlign w:val="bottom"/>
          </w:tcPr>
          <w:p w14:paraId="4090E462" w14:textId="77777777" w:rsidR="00833634" w:rsidRDefault="00E15D51">
            <w:pPr>
              <w:jc w:val="right"/>
              <w:textAlignment w:val="bottom"/>
            </w:pPr>
            <w:r>
              <w:rPr>
                <w:rFonts w:ascii="Arial" w:eastAsia="宋体" w:hAnsi="Arial" w:cs="Arial"/>
                <w:b/>
                <w:bCs/>
                <w:color w:val="000000"/>
                <w:sz w:val="20"/>
                <w:szCs w:val="20"/>
              </w:rPr>
              <w:t>423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46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46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465" w14:textId="77777777" w:rsidR="00833634" w:rsidRDefault="00E15D51">
            <w:pPr>
              <w:jc w:val="right"/>
              <w:textAlignment w:val="bottom"/>
            </w:pPr>
            <w:r>
              <w:rPr>
                <w:rFonts w:ascii="Arial" w:eastAsia="宋体" w:hAnsi="Arial" w:cs="Arial"/>
                <w:color w:val="000000"/>
                <w:sz w:val="20"/>
                <w:szCs w:val="20"/>
              </w:rPr>
              <w:t>443 </w:t>
            </w:r>
          </w:p>
        </w:tc>
        <w:tc>
          <w:tcPr>
            <w:tcW w:w="0" w:type="auto"/>
            <w:shd w:val="clear" w:color="auto" w:fill="CCEEFF"/>
            <w:tcMar>
              <w:top w:w="40" w:type="dxa"/>
              <w:left w:w="0" w:type="dxa"/>
              <w:bottom w:w="40" w:type="dxa"/>
              <w:right w:w="20" w:type="dxa"/>
            </w:tcMar>
            <w:vAlign w:val="bottom"/>
          </w:tcPr>
          <w:p w14:paraId="4090E466" w14:textId="77777777" w:rsidR="00833634" w:rsidRDefault="00833634">
            <w:pPr>
              <w:jc w:val="right"/>
              <w:rPr>
                <w:rFonts w:ascii="宋体"/>
              </w:rPr>
            </w:pPr>
          </w:p>
        </w:tc>
      </w:tr>
      <w:tr w:rsidR="00833634" w14:paraId="4090E46E"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468" w14:textId="77777777" w:rsidR="00833634" w:rsidRDefault="00E15D51">
            <w:pPr>
              <w:ind w:hanging="180"/>
              <w:textAlignment w:val="bottom"/>
            </w:pPr>
            <w:r>
              <w:rPr>
                <w:rFonts w:ascii="Arial" w:eastAsia="宋体" w:hAnsi="Arial" w:cs="Arial"/>
                <w:color w:val="000000"/>
                <w:sz w:val="20"/>
                <w:szCs w:val="20"/>
              </w:rPr>
              <w:t>Total financing receivables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469" w14:textId="77777777" w:rsidR="00833634" w:rsidRDefault="00E15D51">
            <w:pPr>
              <w:jc w:val="right"/>
              <w:textAlignment w:val="bottom"/>
            </w:pPr>
            <w:r>
              <w:rPr>
                <w:rFonts w:ascii="Arial" w:eastAsia="宋体" w:hAnsi="Arial" w:cs="Arial"/>
                <w:b/>
                <w:bCs/>
                <w:color w:val="000000"/>
                <w:sz w:val="20"/>
                <w:szCs w:val="20"/>
              </w:rPr>
              <w:t>1,363</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46A"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46B"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46C" w14:textId="77777777" w:rsidR="00833634" w:rsidRDefault="00E15D51">
            <w:pPr>
              <w:jc w:val="right"/>
              <w:textAlignment w:val="bottom"/>
            </w:pPr>
            <w:r>
              <w:rPr>
                <w:rFonts w:ascii="Arial" w:eastAsia="宋体" w:hAnsi="Arial" w:cs="Arial"/>
                <w:color w:val="000000"/>
                <w:sz w:val="20"/>
                <w:szCs w:val="20"/>
              </w:rPr>
              <w:t>1,472 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46D" w14:textId="77777777" w:rsidR="00833634" w:rsidRDefault="00833634">
            <w:pPr>
              <w:jc w:val="right"/>
              <w:rPr>
                <w:rFonts w:ascii="宋体"/>
              </w:rPr>
            </w:pPr>
          </w:p>
        </w:tc>
      </w:tr>
      <w:tr w:rsidR="00833634" w14:paraId="4090E475" w14:textId="77777777">
        <w:tc>
          <w:tcPr>
            <w:tcW w:w="0" w:type="auto"/>
            <w:gridSpan w:val="3"/>
            <w:shd w:val="clear" w:color="auto" w:fill="CCEEFF"/>
            <w:tcMar>
              <w:top w:w="40" w:type="dxa"/>
              <w:left w:w="20" w:type="dxa"/>
              <w:bottom w:w="40" w:type="dxa"/>
              <w:right w:w="20" w:type="dxa"/>
            </w:tcMar>
            <w:vAlign w:val="bottom"/>
          </w:tcPr>
          <w:p w14:paraId="4090E46F" w14:textId="77777777" w:rsidR="00833634" w:rsidRDefault="00E15D51">
            <w:pPr>
              <w:textAlignment w:val="bottom"/>
            </w:pPr>
            <w:r>
              <w:rPr>
                <w:rFonts w:ascii="Arial" w:eastAsia="宋体" w:hAnsi="Arial" w:cs="Arial"/>
                <w:color w:val="000000"/>
                <w:sz w:val="20"/>
                <w:szCs w:val="20"/>
              </w:rPr>
              <w:t>Operating lease equipment, at cost, less accumulated depreciation of $265 and $235</w:t>
            </w:r>
          </w:p>
        </w:tc>
        <w:tc>
          <w:tcPr>
            <w:tcW w:w="0" w:type="auto"/>
            <w:gridSpan w:val="2"/>
            <w:shd w:val="clear" w:color="auto" w:fill="CCEEFF"/>
            <w:tcMar>
              <w:top w:w="40" w:type="dxa"/>
              <w:left w:w="20" w:type="dxa"/>
              <w:bottom w:w="40" w:type="dxa"/>
              <w:right w:w="0" w:type="dxa"/>
            </w:tcMar>
            <w:vAlign w:val="bottom"/>
          </w:tcPr>
          <w:p w14:paraId="4090E470" w14:textId="77777777" w:rsidR="00833634" w:rsidRDefault="00E15D51">
            <w:pPr>
              <w:jc w:val="right"/>
              <w:textAlignment w:val="bottom"/>
            </w:pPr>
            <w:r>
              <w:rPr>
                <w:rFonts w:ascii="Arial" w:eastAsia="宋体" w:hAnsi="Arial" w:cs="Arial"/>
                <w:b/>
                <w:bCs/>
                <w:color w:val="000000"/>
                <w:sz w:val="20"/>
                <w:szCs w:val="20"/>
              </w:rPr>
              <w:t>764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47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47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473" w14:textId="77777777" w:rsidR="00833634" w:rsidRDefault="00E15D51">
            <w:pPr>
              <w:jc w:val="right"/>
              <w:textAlignment w:val="bottom"/>
            </w:pPr>
            <w:r>
              <w:rPr>
                <w:rFonts w:ascii="Arial" w:eastAsia="宋体" w:hAnsi="Arial" w:cs="Arial"/>
                <w:color w:val="000000"/>
                <w:sz w:val="20"/>
                <w:szCs w:val="20"/>
              </w:rPr>
              <w:t>834 </w:t>
            </w:r>
          </w:p>
        </w:tc>
        <w:tc>
          <w:tcPr>
            <w:tcW w:w="0" w:type="auto"/>
            <w:shd w:val="clear" w:color="auto" w:fill="CCEEFF"/>
            <w:tcMar>
              <w:top w:w="40" w:type="dxa"/>
              <w:left w:w="0" w:type="dxa"/>
              <w:bottom w:w="40" w:type="dxa"/>
              <w:right w:w="20" w:type="dxa"/>
            </w:tcMar>
            <w:vAlign w:val="bottom"/>
          </w:tcPr>
          <w:p w14:paraId="4090E474" w14:textId="77777777" w:rsidR="00833634" w:rsidRDefault="00833634">
            <w:pPr>
              <w:jc w:val="right"/>
              <w:rPr>
                <w:rFonts w:ascii="宋体"/>
              </w:rPr>
            </w:pPr>
          </w:p>
        </w:tc>
      </w:tr>
      <w:tr w:rsidR="00833634" w14:paraId="4090E47A" w14:textId="77777777">
        <w:trPr>
          <w:hidden/>
        </w:trPr>
        <w:tc>
          <w:tcPr>
            <w:tcW w:w="0" w:type="auto"/>
            <w:gridSpan w:val="3"/>
            <w:shd w:val="clear" w:color="auto" w:fill="auto"/>
          </w:tcPr>
          <w:p w14:paraId="4090E476" w14:textId="77777777" w:rsidR="00833634" w:rsidRDefault="00833634">
            <w:pPr>
              <w:rPr>
                <w:rFonts w:ascii="宋体"/>
                <w:vanish/>
              </w:rPr>
            </w:pPr>
          </w:p>
        </w:tc>
        <w:tc>
          <w:tcPr>
            <w:tcW w:w="0" w:type="auto"/>
            <w:gridSpan w:val="3"/>
            <w:shd w:val="clear" w:color="auto" w:fill="auto"/>
          </w:tcPr>
          <w:p w14:paraId="4090E477" w14:textId="77777777" w:rsidR="00833634" w:rsidRDefault="00833634">
            <w:pPr>
              <w:rPr>
                <w:rFonts w:ascii="宋体"/>
                <w:vanish/>
              </w:rPr>
            </w:pPr>
          </w:p>
        </w:tc>
        <w:tc>
          <w:tcPr>
            <w:tcW w:w="0" w:type="auto"/>
            <w:gridSpan w:val="3"/>
            <w:shd w:val="clear" w:color="auto" w:fill="auto"/>
          </w:tcPr>
          <w:p w14:paraId="4090E478" w14:textId="77777777" w:rsidR="00833634" w:rsidRDefault="00833634">
            <w:pPr>
              <w:rPr>
                <w:rFonts w:ascii="宋体"/>
                <w:vanish/>
              </w:rPr>
            </w:pPr>
          </w:p>
        </w:tc>
        <w:tc>
          <w:tcPr>
            <w:tcW w:w="0" w:type="auto"/>
            <w:gridSpan w:val="3"/>
            <w:shd w:val="clear" w:color="auto" w:fill="auto"/>
          </w:tcPr>
          <w:p w14:paraId="4090E479" w14:textId="77777777" w:rsidR="00833634" w:rsidRDefault="00833634">
            <w:pPr>
              <w:rPr>
                <w:rFonts w:ascii="宋体"/>
                <w:vanish/>
              </w:rPr>
            </w:pPr>
          </w:p>
        </w:tc>
      </w:tr>
      <w:tr w:rsidR="00833634" w14:paraId="4090E481"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47B" w14:textId="77777777" w:rsidR="00833634" w:rsidRDefault="00E15D51">
            <w:pPr>
              <w:textAlignment w:val="bottom"/>
            </w:pPr>
            <w:r>
              <w:rPr>
                <w:rFonts w:ascii="Arial" w:eastAsia="宋体" w:hAnsi="Arial" w:cs="Arial"/>
                <w:color w:val="000000"/>
                <w:sz w:val="20"/>
                <w:szCs w:val="20"/>
              </w:rPr>
              <w:t>Gross customer financing</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47C" w14:textId="77777777" w:rsidR="00833634" w:rsidRDefault="00E15D51">
            <w:pPr>
              <w:jc w:val="right"/>
              <w:textAlignment w:val="bottom"/>
            </w:pPr>
            <w:r>
              <w:rPr>
                <w:rFonts w:ascii="Arial" w:eastAsia="宋体" w:hAnsi="Arial" w:cs="Arial"/>
                <w:b/>
                <w:bCs/>
                <w:color w:val="000000"/>
                <w:sz w:val="20"/>
                <w:szCs w:val="20"/>
              </w:rPr>
              <w:t>2,127</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47D"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47E"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47F" w14:textId="77777777" w:rsidR="00833634" w:rsidRDefault="00E15D51">
            <w:pPr>
              <w:jc w:val="right"/>
              <w:textAlignment w:val="bottom"/>
            </w:pPr>
            <w:r>
              <w:rPr>
                <w:rFonts w:ascii="Arial" w:eastAsia="宋体" w:hAnsi="Arial" w:cs="Arial"/>
                <w:color w:val="000000"/>
                <w:sz w:val="20"/>
                <w:szCs w:val="20"/>
              </w:rPr>
              <w:t>2,306 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480" w14:textId="77777777" w:rsidR="00833634" w:rsidRDefault="00833634">
            <w:pPr>
              <w:jc w:val="right"/>
              <w:rPr>
                <w:rFonts w:ascii="宋体"/>
              </w:rPr>
            </w:pPr>
          </w:p>
        </w:tc>
      </w:tr>
      <w:tr w:rsidR="00833634" w14:paraId="4090E488" w14:textId="77777777">
        <w:tc>
          <w:tcPr>
            <w:tcW w:w="0" w:type="auto"/>
            <w:gridSpan w:val="3"/>
            <w:shd w:val="clear" w:color="auto" w:fill="CCEEFF"/>
            <w:tcMar>
              <w:top w:w="40" w:type="dxa"/>
              <w:left w:w="20" w:type="dxa"/>
              <w:bottom w:w="40" w:type="dxa"/>
              <w:right w:w="20" w:type="dxa"/>
            </w:tcMar>
            <w:vAlign w:val="bottom"/>
          </w:tcPr>
          <w:p w14:paraId="4090E482" w14:textId="77777777" w:rsidR="00833634" w:rsidRDefault="00E15D51">
            <w:pPr>
              <w:textAlignment w:val="bottom"/>
            </w:pPr>
            <w:r>
              <w:rPr>
                <w:rFonts w:ascii="Arial" w:eastAsia="宋体" w:hAnsi="Arial" w:cs="Arial"/>
                <w:color w:val="000000"/>
                <w:sz w:val="20"/>
                <w:szCs w:val="20"/>
              </w:rPr>
              <w:t>Less allowance for losses on receivables</w:t>
            </w:r>
          </w:p>
        </w:tc>
        <w:tc>
          <w:tcPr>
            <w:tcW w:w="0" w:type="auto"/>
            <w:gridSpan w:val="2"/>
            <w:shd w:val="clear" w:color="auto" w:fill="CCEEFF"/>
            <w:tcMar>
              <w:top w:w="40" w:type="dxa"/>
              <w:left w:w="20" w:type="dxa"/>
              <w:bottom w:w="40" w:type="dxa"/>
              <w:right w:w="0" w:type="dxa"/>
            </w:tcMar>
            <w:vAlign w:val="bottom"/>
          </w:tcPr>
          <w:p w14:paraId="4090E483" w14:textId="77777777" w:rsidR="00833634" w:rsidRDefault="00E15D51">
            <w:pPr>
              <w:jc w:val="right"/>
              <w:textAlignment w:val="bottom"/>
            </w:pPr>
            <w:r>
              <w:rPr>
                <w:rFonts w:ascii="Arial" w:eastAsia="宋体" w:hAnsi="Arial" w:cs="Arial"/>
                <w:b/>
                <w:bCs/>
                <w:color w:val="000000"/>
                <w:sz w:val="20"/>
                <w:szCs w:val="20"/>
              </w:rPr>
              <w:t>(17)</w:t>
            </w:r>
          </w:p>
        </w:tc>
        <w:tc>
          <w:tcPr>
            <w:tcW w:w="0" w:type="auto"/>
            <w:shd w:val="clear" w:color="auto" w:fill="CCEEFF"/>
            <w:tcMar>
              <w:top w:w="40" w:type="dxa"/>
              <w:left w:w="0" w:type="dxa"/>
              <w:bottom w:w="40" w:type="dxa"/>
              <w:right w:w="20" w:type="dxa"/>
            </w:tcMar>
            <w:vAlign w:val="bottom"/>
          </w:tcPr>
          <w:p w14:paraId="4090E48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48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486" w14:textId="77777777" w:rsidR="00833634" w:rsidRDefault="00E15D51">
            <w:pPr>
              <w:jc w:val="right"/>
              <w:textAlignment w:val="bottom"/>
            </w:pPr>
            <w:r>
              <w:rPr>
                <w:rFonts w:ascii="Arial" w:eastAsia="宋体" w:hAnsi="Arial" w:cs="Arial"/>
                <w:color w:val="000000"/>
                <w:sz w:val="20"/>
                <w:szCs w:val="20"/>
              </w:rPr>
              <w:t>(8)</w:t>
            </w:r>
          </w:p>
        </w:tc>
        <w:tc>
          <w:tcPr>
            <w:tcW w:w="0" w:type="auto"/>
            <w:shd w:val="clear" w:color="auto" w:fill="CCEEFF"/>
            <w:tcMar>
              <w:top w:w="40" w:type="dxa"/>
              <w:left w:w="0" w:type="dxa"/>
              <w:bottom w:w="40" w:type="dxa"/>
              <w:right w:w="20" w:type="dxa"/>
            </w:tcMar>
            <w:vAlign w:val="bottom"/>
          </w:tcPr>
          <w:p w14:paraId="4090E487" w14:textId="77777777" w:rsidR="00833634" w:rsidRDefault="00833634">
            <w:pPr>
              <w:jc w:val="right"/>
              <w:rPr>
                <w:rFonts w:ascii="宋体"/>
              </w:rPr>
            </w:pPr>
          </w:p>
        </w:tc>
      </w:tr>
      <w:tr w:rsidR="00833634" w14:paraId="4090E48F"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E489" w14:textId="77777777" w:rsidR="00833634" w:rsidRDefault="00E15D51">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48A" w14:textId="77777777" w:rsidR="00833634" w:rsidRDefault="00E15D51">
            <w:pPr>
              <w:jc w:val="right"/>
              <w:textAlignment w:val="bottom"/>
            </w:pPr>
            <w:r>
              <w:rPr>
                <w:rFonts w:ascii="Arial" w:eastAsia="宋体" w:hAnsi="Arial" w:cs="Arial"/>
                <w:b/>
                <w:bCs/>
                <w:color w:val="000000"/>
                <w:sz w:val="20"/>
                <w:szCs w:val="20"/>
              </w:rPr>
              <w:t>$2,110</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48B"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48C"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48D" w14:textId="77777777" w:rsidR="00833634" w:rsidRDefault="00E15D51">
            <w:pPr>
              <w:jc w:val="right"/>
              <w:textAlignment w:val="bottom"/>
            </w:pPr>
            <w:r>
              <w:rPr>
                <w:rFonts w:ascii="Arial" w:eastAsia="宋体" w:hAnsi="Arial" w:cs="Arial"/>
                <w:color w:val="000000"/>
                <w:sz w:val="20"/>
                <w:szCs w:val="20"/>
              </w:rPr>
              <w:t>$2,298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48E" w14:textId="77777777" w:rsidR="00833634" w:rsidRDefault="00833634">
            <w:pPr>
              <w:jc w:val="right"/>
              <w:rPr>
                <w:rFonts w:ascii="宋体"/>
              </w:rPr>
            </w:pPr>
          </w:p>
        </w:tc>
      </w:tr>
    </w:tbl>
    <w:p w14:paraId="4090E490" w14:textId="77777777" w:rsidR="00833634" w:rsidRDefault="00E15D51">
      <w:pPr>
        <w:spacing w:before="180" w:after="180"/>
        <w:jc w:val="both"/>
      </w:pPr>
      <w:r>
        <w:rPr>
          <w:rFonts w:ascii="Arial" w:eastAsia="宋体" w:hAnsi="Arial" w:cs="Arial"/>
          <w:color w:val="000000"/>
          <w:sz w:val="20"/>
          <w:szCs w:val="20"/>
        </w:rPr>
        <w:t xml:space="preserve">We acquire aircraft to be leased to customers through trades, lease returns, purchases in the secondary market, and new </w:t>
      </w:r>
      <w:r>
        <w:rPr>
          <w:rFonts w:ascii="Arial" w:eastAsia="宋体" w:hAnsi="Arial" w:cs="Arial"/>
          <w:color w:val="000000"/>
          <w:sz w:val="20"/>
          <w:szCs w:val="20"/>
        </w:rPr>
        <w:t xml:space="preserve">aircraft transferred from our BCA segment. Leasing arrangements typically range in terms from 1 to 12 years and may include options to extend or terminate the lease. Certain leases include provisions to allow the lessee to purchase the underlying aircraft </w:t>
      </w:r>
      <w:r>
        <w:rPr>
          <w:rFonts w:ascii="Arial" w:eastAsia="宋体" w:hAnsi="Arial" w:cs="Arial"/>
          <w:color w:val="000000"/>
          <w:sz w:val="20"/>
          <w:szCs w:val="20"/>
        </w:rPr>
        <w:t>at a specified price. A minority of leases contain variable lease payments based on actual aircraft usage and are paid in arrears.</w:t>
      </w:r>
    </w:p>
    <w:p w14:paraId="4090E491" w14:textId="77777777" w:rsidR="00833634" w:rsidRDefault="00E15D51">
      <w:pPr>
        <w:spacing w:after="180"/>
        <w:jc w:val="both"/>
      </w:pPr>
      <w:r>
        <w:rPr>
          <w:rFonts w:ascii="Arial" w:eastAsia="宋体" w:hAnsi="Arial" w:cs="Arial"/>
          <w:color w:val="000000"/>
          <w:sz w:val="20"/>
          <w:szCs w:val="20"/>
        </w:rPr>
        <w:t>We determine a receivable is impaired when, based on current information and events, it is probable that we will be unable to</w:t>
      </w:r>
      <w:r>
        <w:rPr>
          <w:rFonts w:ascii="Arial" w:eastAsia="宋体" w:hAnsi="Arial" w:cs="Arial"/>
          <w:color w:val="000000"/>
          <w:sz w:val="20"/>
          <w:szCs w:val="20"/>
        </w:rPr>
        <w:t xml:space="preserve"> collect amounts due according to the original contractual terms. At September 30, </w:t>
      </w:r>
    </w:p>
    <w:p w14:paraId="4090E492" w14:textId="77777777" w:rsidR="00833634" w:rsidRDefault="00E15D51">
      <w:pPr>
        <w:spacing w:after="180"/>
        <w:jc w:val="center"/>
      </w:pPr>
      <w:r>
        <w:rPr>
          <w:rFonts w:ascii="Arial" w:eastAsia="宋体" w:hAnsi="Arial" w:cs="Arial"/>
          <w:color w:val="000000"/>
          <w:sz w:val="18"/>
          <w:szCs w:val="18"/>
        </w:rPr>
        <w:t>14</w:t>
      </w:r>
    </w:p>
    <w:p w14:paraId="4090E493" w14:textId="77777777" w:rsidR="00833634" w:rsidRDefault="00E15D51">
      <w:r>
        <w:pict w14:anchorId="4090FE2E">
          <v:rect id="_x0000_i1040" style="width:415.3pt;height:1.5pt" o:hralign="center" o:hrstd="t" o:hr="t" fillcolor="#a0a0a0" stroked="f"/>
        </w:pict>
      </w:r>
    </w:p>
    <w:p w14:paraId="4090E494" w14:textId="77777777" w:rsidR="00833634" w:rsidRDefault="00E15D51">
      <w:pPr>
        <w:spacing w:after="180"/>
        <w:jc w:val="both"/>
      </w:pPr>
      <w:hyperlink r:id="rId117" w:anchor="i8d805bfb1e1c4815a1dcd5b6d1e0b117_10" w:history="1">
        <w:r>
          <w:rPr>
            <w:rStyle w:val="a5"/>
            <w:rFonts w:ascii="Arial" w:eastAsia="宋体" w:hAnsi="Arial" w:cs="Arial"/>
            <w:sz w:val="18"/>
            <w:szCs w:val="18"/>
          </w:rPr>
          <w:t>Table of Contents</w:t>
        </w:r>
      </w:hyperlink>
    </w:p>
    <w:p w14:paraId="4090E495" w14:textId="77777777" w:rsidR="00833634" w:rsidRDefault="00E15D51">
      <w:pPr>
        <w:spacing w:after="180"/>
        <w:jc w:val="both"/>
      </w:pPr>
      <w:r>
        <w:rPr>
          <w:rFonts w:ascii="Arial" w:eastAsia="宋体" w:hAnsi="Arial" w:cs="Arial"/>
          <w:color w:val="000000"/>
          <w:sz w:val="20"/>
          <w:szCs w:val="20"/>
        </w:rPr>
        <w:t xml:space="preserve">2020 and December 31, 2019, we individually evaluated for impairment customer </w:t>
      </w:r>
      <w:r>
        <w:rPr>
          <w:rFonts w:ascii="Arial" w:eastAsia="宋体" w:hAnsi="Arial" w:cs="Arial"/>
          <w:color w:val="000000"/>
          <w:sz w:val="20"/>
          <w:szCs w:val="20"/>
        </w:rPr>
        <w:t>financing receivables of $392 and $400, of which $381 and $388 were determined to be impaired. We recorded no allowance for losses on these impaired receivables as the collateral values exceeded the carrying values of the receivables.</w:t>
      </w:r>
    </w:p>
    <w:p w14:paraId="4090E496" w14:textId="77777777" w:rsidR="00833634" w:rsidRDefault="00E15D51">
      <w:pPr>
        <w:spacing w:after="180"/>
        <w:jc w:val="both"/>
      </w:pPr>
      <w:r>
        <w:rPr>
          <w:rFonts w:ascii="Arial" w:eastAsia="宋体" w:hAnsi="Arial" w:cs="Arial"/>
          <w:color w:val="000000"/>
          <w:sz w:val="20"/>
          <w:szCs w:val="20"/>
        </w:rPr>
        <w:t>We determine a receiv</w:t>
      </w:r>
      <w:r>
        <w:rPr>
          <w:rFonts w:ascii="Arial" w:eastAsia="宋体" w:hAnsi="Arial" w:cs="Arial"/>
          <w:color w:val="000000"/>
          <w:sz w:val="20"/>
          <w:szCs w:val="20"/>
        </w:rPr>
        <w:t>able is past due when cash has not been received upon the due date specified in the contract.</w:t>
      </w:r>
      <w:r>
        <w:rPr>
          <w:rFonts w:ascii="Arial" w:eastAsia="宋体" w:hAnsi="Arial" w:cs="Arial"/>
          <w:color w:val="FF0000"/>
          <w:sz w:val="20"/>
          <w:szCs w:val="20"/>
        </w:rPr>
        <w:t xml:space="preserve"> </w:t>
      </w:r>
      <w:r>
        <w:rPr>
          <w:rFonts w:ascii="Arial" w:eastAsia="宋体" w:hAnsi="Arial" w:cs="Arial"/>
          <w:color w:val="000000"/>
          <w:sz w:val="20"/>
          <w:szCs w:val="20"/>
        </w:rPr>
        <w:t xml:space="preserve">There were no past due customer financing receivables as of September 30, 2020. </w:t>
      </w:r>
    </w:p>
    <w:p w14:paraId="4090E497" w14:textId="77777777" w:rsidR="00833634" w:rsidRDefault="00E15D51">
      <w:pPr>
        <w:spacing w:after="180"/>
        <w:jc w:val="both"/>
      </w:pPr>
      <w:r>
        <w:rPr>
          <w:rFonts w:ascii="Arial" w:eastAsia="宋体" w:hAnsi="Arial" w:cs="Arial"/>
          <w:color w:val="000000"/>
          <w:sz w:val="20"/>
          <w:szCs w:val="20"/>
        </w:rPr>
        <w:t xml:space="preserve">We evaluate the collectability of customer financing receivables at commencement </w:t>
      </w:r>
      <w:r>
        <w:rPr>
          <w:rFonts w:ascii="Arial" w:eastAsia="宋体" w:hAnsi="Arial" w:cs="Arial"/>
          <w:color w:val="000000"/>
          <w:sz w:val="20"/>
          <w:szCs w:val="20"/>
        </w:rPr>
        <w:t>and on a recurring basis. If a customer financing receivable is deemed uncollectable, the customer is categorized as non-accrual status. When a customer is in non-accrual status at commencement, revenue is deferred until substantially all cash has been rec</w:t>
      </w:r>
      <w:r>
        <w:rPr>
          <w:rFonts w:ascii="Arial" w:eastAsia="宋体" w:hAnsi="Arial" w:cs="Arial"/>
          <w:color w:val="000000"/>
          <w:sz w:val="20"/>
          <w:szCs w:val="20"/>
        </w:rPr>
        <w:t>eived or the customer is removed from non-accrual status. If a customer status changes to non-accrual after commencement and sufficient collateral is available, we recognize contractual interest income as payments are received to the extent payments exceed</w:t>
      </w:r>
      <w:r>
        <w:rPr>
          <w:rFonts w:ascii="Arial" w:eastAsia="宋体" w:hAnsi="Arial" w:cs="Arial"/>
          <w:color w:val="000000"/>
          <w:sz w:val="20"/>
          <w:szCs w:val="20"/>
        </w:rPr>
        <w:t xml:space="preserve"> past due principal payments. If there is not sufficient collateral, then revenue is not recognized until payments exceed the principal balance. Receivables in non-accrual status as of September 30, 2020 and December 31, 2019 were $381 and $388. Interest i</w:t>
      </w:r>
      <w:r>
        <w:rPr>
          <w:rFonts w:ascii="Arial" w:eastAsia="宋体" w:hAnsi="Arial" w:cs="Arial"/>
          <w:color w:val="000000"/>
          <w:sz w:val="20"/>
          <w:szCs w:val="20"/>
        </w:rPr>
        <w:t>ncome received for the nine and three months ended September 30, 2020 was $26 and $5.</w:t>
      </w:r>
    </w:p>
    <w:p w14:paraId="4090E498" w14:textId="77777777" w:rsidR="00833634" w:rsidRDefault="00E15D51">
      <w:pPr>
        <w:spacing w:after="180"/>
        <w:jc w:val="both"/>
      </w:pPr>
      <w:r>
        <w:rPr>
          <w:rFonts w:ascii="Arial" w:eastAsia="宋体" w:hAnsi="Arial" w:cs="Arial"/>
          <w:color w:val="000000"/>
          <w:sz w:val="20"/>
          <w:szCs w:val="20"/>
        </w:rPr>
        <w:t>The adequacy of the allowance for losses is assessed quarterly. Four primary factors influencing the level of our allowance for losses on customer financing receivables a</w:t>
      </w:r>
      <w:r>
        <w:rPr>
          <w:rFonts w:ascii="Arial" w:eastAsia="宋体" w:hAnsi="Arial" w:cs="Arial"/>
          <w:color w:val="000000"/>
          <w:sz w:val="20"/>
          <w:szCs w:val="20"/>
        </w:rPr>
        <w:t>re customer credit ratings, default rates, expected loss rate and collateral values, which may be adversely affected by impacts that COVID-19 has on our customers. We assign internal credit ratings for all customers and determine the creditworthiness of ea</w:t>
      </w:r>
      <w:r>
        <w:rPr>
          <w:rFonts w:ascii="Arial" w:eastAsia="宋体" w:hAnsi="Arial" w:cs="Arial"/>
          <w:color w:val="000000"/>
          <w:sz w:val="20"/>
          <w:szCs w:val="20"/>
        </w:rPr>
        <w:t>ch customer based upon publicly available information and information obtained directly from our customers. Our rating categories are comparable to those used by the major credit rating agencies.</w:t>
      </w:r>
    </w:p>
    <w:p w14:paraId="4090E499" w14:textId="77777777" w:rsidR="00833634" w:rsidRDefault="00E15D51">
      <w:pPr>
        <w:spacing w:after="180"/>
        <w:jc w:val="both"/>
      </w:pPr>
      <w:r>
        <w:rPr>
          <w:rFonts w:ascii="Arial" w:eastAsia="宋体" w:hAnsi="Arial" w:cs="Arial"/>
          <w:color w:val="000000"/>
          <w:sz w:val="20"/>
          <w:szCs w:val="20"/>
        </w:rPr>
        <w:t>Our financing receivable balances at September 30, 2020 by i</w:t>
      </w:r>
      <w:r>
        <w:rPr>
          <w:rFonts w:ascii="Arial" w:eastAsia="宋体" w:hAnsi="Arial" w:cs="Arial"/>
          <w:color w:val="000000"/>
          <w:sz w:val="20"/>
          <w:szCs w:val="20"/>
        </w:rPr>
        <w:t>nternal credit rating category and year of origination consisted of the following:</w:t>
      </w:r>
    </w:p>
    <w:tbl>
      <w:tblPr>
        <w:tblW w:w="4968" w:type="pct"/>
        <w:tblCellMar>
          <w:top w:w="15" w:type="dxa"/>
          <w:left w:w="15" w:type="dxa"/>
          <w:bottom w:w="15" w:type="dxa"/>
          <w:right w:w="15" w:type="dxa"/>
        </w:tblCellMar>
        <w:tblLook w:val="04A0" w:firstRow="1" w:lastRow="0" w:firstColumn="1" w:lastColumn="0" w:noHBand="0" w:noVBand="1"/>
      </w:tblPr>
      <w:tblGrid>
        <w:gridCol w:w="68"/>
        <w:gridCol w:w="2568"/>
        <w:gridCol w:w="37"/>
        <w:gridCol w:w="79"/>
        <w:gridCol w:w="685"/>
        <w:gridCol w:w="36"/>
        <w:gridCol w:w="68"/>
        <w:gridCol w:w="696"/>
        <w:gridCol w:w="36"/>
        <w:gridCol w:w="68"/>
        <w:gridCol w:w="697"/>
        <w:gridCol w:w="36"/>
        <w:gridCol w:w="69"/>
        <w:gridCol w:w="697"/>
        <w:gridCol w:w="36"/>
        <w:gridCol w:w="69"/>
        <w:gridCol w:w="697"/>
        <w:gridCol w:w="36"/>
        <w:gridCol w:w="69"/>
        <w:gridCol w:w="697"/>
        <w:gridCol w:w="36"/>
        <w:gridCol w:w="72"/>
        <w:gridCol w:w="695"/>
        <w:gridCol w:w="36"/>
      </w:tblGrid>
      <w:tr w:rsidR="00833634" w14:paraId="4090E4B2" w14:textId="77777777">
        <w:tc>
          <w:tcPr>
            <w:tcW w:w="50" w:type="pct"/>
            <w:shd w:val="clear" w:color="auto" w:fill="auto"/>
          </w:tcPr>
          <w:p w14:paraId="4090E49A" w14:textId="77777777" w:rsidR="00833634" w:rsidRDefault="00833634">
            <w:pPr>
              <w:rPr>
                <w:rFonts w:ascii="宋体"/>
              </w:rPr>
            </w:pPr>
          </w:p>
        </w:tc>
        <w:tc>
          <w:tcPr>
            <w:tcW w:w="1557" w:type="pct"/>
            <w:shd w:val="clear" w:color="auto" w:fill="auto"/>
          </w:tcPr>
          <w:p w14:paraId="4090E49B" w14:textId="77777777" w:rsidR="00833634" w:rsidRDefault="00833634">
            <w:pPr>
              <w:rPr>
                <w:rFonts w:ascii="宋体"/>
              </w:rPr>
            </w:pPr>
          </w:p>
        </w:tc>
        <w:tc>
          <w:tcPr>
            <w:tcW w:w="5" w:type="pct"/>
            <w:shd w:val="clear" w:color="auto" w:fill="auto"/>
          </w:tcPr>
          <w:p w14:paraId="4090E49C" w14:textId="77777777" w:rsidR="00833634" w:rsidRDefault="00833634">
            <w:pPr>
              <w:rPr>
                <w:rFonts w:ascii="宋体"/>
              </w:rPr>
            </w:pPr>
          </w:p>
        </w:tc>
        <w:tc>
          <w:tcPr>
            <w:tcW w:w="50" w:type="pct"/>
            <w:shd w:val="clear" w:color="auto" w:fill="auto"/>
          </w:tcPr>
          <w:p w14:paraId="4090E49D" w14:textId="77777777" w:rsidR="00833634" w:rsidRDefault="00833634">
            <w:pPr>
              <w:rPr>
                <w:rFonts w:ascii="宋体"/>
              </w:rPr>
            </w:pPr>
          </w:p>
        </w:tc>
        <w:tc>
          <w:tcPr>
            <w:tcW w:w="428" w:type="pct"/>
            <w:shd w:val="clear" w:color="auto" w:fill="auto"/>
          </w:tcPr>
          <w:p w14:paraId="4090E49E" w14:textId="77777777" w:rsidR="00833634" w:rsidRDefault="00833634">
            <w:pPr>
              <w:rPr>
                <w:rFonts w:ascii="宋体"/>
              </w:rPr>
            </w:pPr>
          </w:p>
        </w:tc>
        <w:tc>
          <w:tcPr>
            <w:tcW w:w="5" w:type="pct"/>
            <w:shd w:val="clear" w:color="auto" w:fill="auto"/>
          </w:tcPr>
          <w:p w14:paraId="4090E49F" w14:textId="77777777" w:rsidR="00833634" w:rsidRDefault="00833634">
            <w:pPr>
              <w:rPr>
                <w:rFonts w:ascii="宋体"/>
              </w:rPr>
            </w:pPr>
          </w:p>
        </w:tc>
        <w:tc>
          <w:tcPr>
            <w:tcW w:w="50" w:type="pct"/>
            <w:shd w:val="clear" w:color="auto" w:fill="auto"/>
          </w:tcPr>
          <w:p w14:paraId="4090E4A0" w14:textId="77777777" w:rsidR="00833634" w:rsidRDefault="00833634">
            <w:pPr>
              <w:rPr>
                <w:rFonts w:ascii="宋体"/>
              </w:rPr>
            </w:pPr>
          </w:p>
        </w:tc>
        <w:tc>
          <w:tcPr>
            <w:tcW w:w="428" w:type="pct"/>
            <w:shd w:val="clear" w:color="auto" w:fill="auto"/>
          </w:tcPr>
          <w:p w14:paraId="4090E4A1" w14:textId="77777777" w:rsidR="00833634" w:rsidRDefault="00833634">
            <w:pPr>
              <w:rPr>
                <w:rFonts w:ascii="宋体"/>
              </w:rPr>
            </w:pPr>
          </w:p>
        </w:tc>
        <w:tc>
          <w:tcPr>
            <w:tcW w:w="5" w:type="pct"/>
            <w:shd w:val="clear" w:color="auto" w:fill="auto"/>
          </w:tcPr>
          <w:p w14:paraId="4090E4A2" w14:textId="77777777" w:rsidR="00833634" w:rsidRDefault="00833634">
            <w:pPr>
              <w:rPr>
                <w:rFonts w:ascii="宋体"/>
              </w:rPr>
            </w:pPr>
          </w:p>
        </w:tc>
        <w:tc>
          <w:tcPr>
            <w:tcW w:w="50" w:type="pct"/>
            <w:shd w:val="clear" w:color="auto" w:fill="auto"/>
          </w:tcPr>
          <w:p w14:paraId="4090E4A3" w14:textId="77777777" w:rsidR="00833634" w:rsidRDefault="00833634">
            <w:pPr>
              <w:rPr>
                <w:rFonts w:ascii="宋体"/>
              </w:rPr>
            </w:pPr>
          </w:p>
        </w:tc>
        <w:tc>
          <w:tcPr>
            <w:tcW w:w="428" w:type="pct"/>
            <w:shd w:val="clear" w:color="auto" w:fill="auto"/>
          </w:tcPr>
          <w:p w14:paraId="4090E4A4" w14:textId="77777777" w:rsidR="00833634" w:rsidRDefault="00833634">
            <w:pPr>
              <w:rPr>
                <w:rFonts w:ascii="宋体"/>
              </w:rPr>
            </w:pPr>
          </w:p>
        </w:tc>
        <w:tc>
          <w:tcPr>
            <w:tcW w:w="5" w:type="pct"/>
            <w:shd w:val="clear" w:color="auto" w:fill="auto"/>
          </w:tcPr>
          <w:p w14:paraId="4090E4A5" w14:textId="77777777" w:rsidR="00833634" w:rsidRDefault="00833634">
            <w:pPr>
              <w:rPr>
                <w:rFonts w:ascii="宋体"/>
              </w:rPr>
            </w:pPr>
          </w:p>
        </w:tc>
        <w:tc>
          <w:tcPr>
            <w:tcW w:w="50" w:type="pct"/>
            <w:shd w:val="clear" w:color="auto" w:fill="auto"/>
          </w:tcPr>
          <w:p w14:paraId="4090E4A6" w14:textId="77777777" w:rsidR="00833634" w:rsidRDefault="00833634">
            <w:pPr>
              <w:rPr>
                <w:rFonts w:ascii="宋体"/>
              </w:rPr>
            </w:pPr>
          </w:p>
        </w:tc>
        <w:tc>
          <w:tcPr>
            <w:tcW w:w="428" w:type="pct"/>
            <w:shd w:val="clear" w:color="auto" w:fill="auto"/>
          </w:tcPr>
          <w:p w14:paraId="4090E4A7" w14:textId="77777777" w:rsidR="00833634" w:rsidRDefault="00833634">
            <w:pPr>
              <w:rPr>
                <w:rFonts w:ascii="宋体"/>
              </w:rPr>
            </w:pPr>
          </w:p>
        </w:tc>
        <w:tc>
          <w:tcPr>
            <w:tcW w:w="5" w:type="pct"/>
            <w:shd w:val="clear" w:color="auto" w:fill="auto"/>
          </w:tcPr>
          <w:p w14:paraId="4090E4A8" w14:textId="77777777" w:rsidR="00833634" w:rsidRDefault="00833634">
            <w:pPr>
              <w:rPr>
                <w:rFonts w:ascii="宋体"/>
              </w:rPr>
            </w:pPr>
          </w:p>
        </w:tc>
        <w:tc>
          <w:tcPr>
            <w:tcW w:w="50" w:type="pct"/>
            <w:shd w:val="clear" w:color="auto" w:fill="auto"/>
          </w:tcPr>
          <w:p w14:paraId="4090E4A9" w14:textId="77777777" w:rsidR="00833634" w:rsidRDefault="00833634">
            <w:pPr>
              <w:rPr>
                <w:rFonts w:ascii="宋体"/>
              </w:rPr>
            </w:pPr>
          </w:p>
        </w:tc>
        <w:tc>
          <w:tcPr>
            <w:tcW w:w="428" w:type="pct"/>
            <w:shd w:val="clear" w:color="auto" w:fill="auto"/>
          </w:tcPr>
          <w:p w14:paraId="4090E4AA" w14:textId="77777777" w:rsidR="00833634" w:rsidRDefault="00833634">
            <w:pPr>
              <w:rPr>
                <w:rFonts w:ascii="宋体"/>
              </w:rPr>
            </w:pPr>
          </w:p>
        </w:tc>
        <w:tc>
          <w:tcPr>
            <w:tcW w:w="5" w:type="pct"/>
            <w:shd w:val="clear" w:color="auto" w:fill="auto"/>
          </w:tcPr>
          <w:p w14:paraId="4090E4AB" w14:textId="77777777" w:rsidR="00833634" w:rsidRDefault="00833634">
            <w:pPr>
              <w:rPr>
                <w:rFonts w:ascii="宋体"/>
              </w:rPr>
            </w:pPr>
          </w:p>
        </w:tc>
        <w:tc>
          <w:tcPr>
            <w:tcW w:w="50" w:type="pct"/>
            <w:shd w:val="clear" w:color="auto" w:fill="auto"/>
          </w:tcPr>
          <w:p w14:paraId="4090E4AC" w14:textId="77777777" w:rsidR="00833634" w:rsidRDefault="00833634">
            <w:pPr>
              <w:rPr>
                <w:rFonts w:ascii="宋体"/>
              </w:rPr>
            </w:pPr>
          </w:p>
        </w:tc>
        <w:tc>
          <w:tcPr>
            <w:tcW w:w="428" w:type="pct"/>
            <w:shd w:val="clear" w:color="auto" w:fill="auto"/>
          </w:tcPr>
          <w:p w14:paraId="4090E4AD" w14:textId="77777777" w:rsidR="00833634" w:rsidRDefault="00833634">
            <w:pPr>
              <w:rPr>
                <w:rFonts w:ascii="宋体"/>
              </w:rPr>
            </w:pPr>
          </w:p>
        </w:tc>
        <w:tc>
          <w:tcPr>
            <w:tcW w:w="5" w:type="pct"/>
            <w:shd w:val="clear" w:color="auto" w:fill="auto"/>
          </w:tcPr>
          <w:p w14:paraId="4090E4AE" w14:textId="77777777" w:rsidR="00833634" w:rsidRDefault="00833634">
            <w:pPr>
              <w:rPr>
                <w:rFonts w:ascii="宋体"/>
              </w:rPr>
            </w:pPr>
          </w:p>
        </w:tc>
        <w:tc>
          <w:tcPr>
            <w:tcW w:w="50" w:type="pct"/>
            <w:shd w:val="clear" w:color="auto" w:fill="auto"/>
          </w:tcPr>
          <w:p w14:paraId="4090E4AF" w14:textId="77777777" w:rsidR="00833634" w:rsidRDefault="00833634">
            <w:pPr>
              <w:rPr>
                <w:rFonts w:ascii="宋体"/>
              </w:rPr>
            </w:pPr>
          </w:p>
        </w:tc>
        <w:tc>
          <w:tcPr>
            <w:tcW w:w="429" w:type="pct"/>
            <w:shd w:val="clear" w:color="auto" w:fill="auto"/>
          </w:tcPr>
          <w:p w14:paraId="4090E4B0" w14:textId="77777777" w:rsidR="00833634" w:rsidRDefault="00833634">
            <w:pPr>
              <w:rPr>
                <w:rFonts w:ascii="宋体"/>
              </w:rPr>
            </w:pPr>
          </w:p>
        </w:tc>
        <w:tc>
          <w:tcPr>
            <w:tcW w:w="5" w:type="pct"/>
            <w:shd w:val="clear" w:color="auto" w:fill="auto"/>
          </w:tcPr>
          <w:p w14:paraId="4090E4B1" w14:textId="77777777" w:rsidR="00833634" w:rsidRDefault="00833634">
            <w:pPr>
              <w:rPr>
                <w:rFonts w:ascii="宋体"/>
              </w:rPr>
            </w:pPr>
          </w:p>
        </w:tc>
      </w:tr>
      <w:tr w:rsidR="00833634" w14:paraId="4090E4BB" w14:textId="77777777">
        <w:tc>
          <w:tcPr>
            <w:tcW w:w="0" w:type="auto"/>
            <w:gridSpan w:val="3"/>
            <w:shd w:val="clear" w:color="auto" w:fill="auto"/>
            <w:tcMar>
              <w:top w:w="40" w:type="dxa"/>
              <w:left w:w="20" w:type="dxa"/>
              <w:bottom w:w="40" w:type="dxa"/>
              <w:right w:w="20" w:type="dxa"/>
            </w:tcMar>
            <w:vAlign w:val="bottom"/>
          </w:tcPr>
          <w:p w14:paraId="4090E4B3" w14:textId="77777777" w:rsidR="00833634" w:rsidRDefault="00E15D51">
            <w:pPr>
              <w:textAlignment w:val="bottom"/>
            </w:pPr>
            <w:r>
              <w:rPr>
                <w:rFonts w:ascii="Arial" w:eastAsia="宋体" w:hAnsi="Arial" w:cs="Arial"/>
                <w:color w:val="000000"/>
                <w:sz w:val="20"/>
                <w:szCs w:val="20"/>
              </w:rPr>
              <w:t>Rating categories</w:t>
            </w:r>
          </w:p>
        </w:tc>
        <w:tc>
          <w:tcPr>
            <w:tcW w:w="0" w:type="auto"/>
            <w:gridSpan w:val="3"/>
            <w:shd w:val="clear" w:color="auto" w:fill="auto"/>
            <w:tcMar>
              <w:top w:w="40" w:type="dxa"/>
              <w:left w:w="20" w:type="dxa"/>
              <w:bottom w:w="40" w:type="dxa"/>
              <w:right w:w="20" w:type="dxa"/>
            </w:tcMar>
            <w:vAlign w:val="bottom"/>
          </w:tcPr>
          <w:p w14:paraId="4090E4B4" w14:textId="77777777" w:rsidR="00833634" w:rsidRDefault="00E15D51">
            <w:pPr>
              <w:jc w:val="center"/>
              <w:textAlignment w:val="bottom"/>
            </w:pPr>
            <w:r>
              <w:rPr>
                <w:rFonts w:ascii="Arial" w:eastAsia="宋体" w:hAnsi="Arial" w:cs="Arial"/>
                <w:b/>
                <w:bCs/>
                <w:color w:val="000000"/>
                <w:sz w:val="20"/>
                <w:szCs w:val="20"/>
              </w:rPr>
              <w:t>Current</w:t>
            </w:r>
          </w:p>
        </w:tc>
        <w:tc>
          <w:tcPr>
            <w:tcW w:w="0" w:type="auto"/>
            <w:gridSpan w:val="3"/>
            <w:shd w:val="clear" w:color="auto" w:fill="auto"/>
            <w:tcMar>
              <w:top w:w="40" w:type="dxa"/>
              <w:left w:w="20" w:type="dxa"/>
              <w:bottom w:w="40" w:type="dxa"/>
              <w:right w:w="20" w:type="dxa"/>
            </w:tcMar>
            <w:vAlign w:val="bottom"/>
          </w:tcPr>
          <w:p w14:paraId="4090E4B5" w14:textId="77777777" w:rsidR="00833634" w:rsidRDefault="00E15D51">
            <w:pPr>
              <w:jc w:val="center"/>
              <w:textAlignment w:val="bottom"/>
            </w:pPr>
            <w:r>
              <w:rPr>
                <w:rFonts w:ascii="Arial" w:eastAsia="宋体" w:hAnsi="Arial" w:cs="Arial"/>
                <w:b/>
                <w:bCs/>
                <w:color w:val="000000"/>
                <w:sz w:val="20"/>
                <w:szCs w:val="20"/>
              </w:rPr>
              <w:t>2019</w:t>
            </w:r>
          </w:p>
        </w:tc>
        <w:tc>
          <w:tcPr>
            <w:tcW w:w="0" w:type="auto"/>
            <w:gridSpan w:val="3"/>
            <w:shd w:val="clear" w:color="auto" w:fill="auto"/>
            <w:tcMar>
              <w:top w:w="40" w:type="dxa"/>
              <w:left w:w="20" w:type="dxa"/>
              <w:bottom w:w="40" w:type="dxa"/>
              <w:right w:w="20" w:type="dxa"/>
            </w:tcMar>
            <w:vAlign w:val="bottom"/>
          </w:tcPr>
          <w:p w14:paraId="4090E4B6" w14:textId="77777777" w:rsidR="00833634" w:rsidRDefault="00E15D51">
            <w:pPr>
              <w:jc w:val="center"/>
              <w:textAlignment w:val="bottom"/>
            </w:pPr>
            <w:r>
              <w:rPr>
                <w:rFonts w:ascii="Arial" w:eastAsia="宋体" w:hAnsi="Arial" w:cs="Arial"/>
                <w:b/>
                <w:bCs/>
                <w:color w:val="000000"/>
                <w:sz w:val="20"/>
                <w:szCs w:val="20"/>
              </w:rPr>
              <w:t>2018</w:t>
            </w:r>
          </w:p>
        </w:tc>
        <w:tc>
          <w:tcPr>
            <w:tcW w:w="0" w:type="auto"/>
            <w:gridSpan w:val="3"/>
            <w:shd w:val="clear" w:color="auto" w:fill="auto"/>
            <w:tcMar>
              <w:top w:w="40" w:type="dxa"/>
              <w:left w:w="20" w:type="dxa"/>
              <w:bottom w:w="40" w:type="dxa"/>
              <w:right w:w="20" w:type="dxa"/>
            </w:tcMar>
            <w:vAlign w:val="bottom"/>
          </w:tcPr>
          <w:p w14:paraId="4090E4B7" w14:textId="77777777" w:rsidR="00833634" w:rsidRDefault="00E15D51">
            <w:pPr>
              <w:jc w:val="center"/>
              <w:textAlignment w:val="bottom"/>
            </w:pPr>
            <w:r>
              <w:rPr>
                <w:rFonts w:ascii="Arial" w:eastAsia="宋体" w:hAnsi="Arial" w:cs="Arial"/>
                <w:b/>
                <w:bCs/>
                <w:color w:val="000000"/>
                <w:sz w:val="20"/>
                <w:szCs w:val="20"/>
              </w:rPr>
              <w:t>2017</w:t>
            </w:r>
          </w:p>
        </w:tc>
        <w:tc>
          <w:tcPr>
            <w:tcW w:w="0" w:type="auto"/>
            <w:gridSpan w:val="3"/>
            <w:shd w:val="clear" w:color="auto" w:fill="auto"/>
            <w:tcMar>
              <w:top w:w="40" w:type="dxa"/>
              <w:left w:w="20" w:type="dxa"/>
              <w:bottom w:w="40" w:type="dxa"/>
              <w:right w:w="20" w:type="dxa"/>
            </w:tcMar>
            <w:vAlign w:val="bottom"/>
          </w:tcPr>
          <w:p w14:paraId="4090E4B8" w14:textId="77777777" w:rsidR="00833634" w:rsidRDefault="00E15D51">
            <w:pPr>
              <w:jc w:val="center"/>
              <w:textAlignment w:val="bottom"/>
            </w:pPr>
            <w:r>
              <w:rPr>
                <w:rFonts w:ascii="Arial" w:eastAsia="宋体" w:hAnsi="Arial" w:cs="Arial"/>
                <w:b/>
                <w:bCs/>
                <w:color w:val="000000"/>
                <w:sz w:val="20"/>
                <w:szCs w:val="20"/>
              </w:rPr>
              <w:t>2016</w:t>
            </w:r>
          </w:p>
        </w:tc>
        <w:tc>
          <w:tcPr>
            <w:tcW w:w="0" w:type="auto"/>
            <w:gridSpan w:val="3"/>
            <w:shd w:val="clear" w:color="auto" w:fill="auto"/>
            <w:tcMar>
              <w:top w:w="40" w:type="dxa"/>
              <w:left w:w="20" w:type="dxa"/>
              <w:bottom w:w="40" w:type="dxa"/>
              <w:right w:w="20" w:type="dxa"/>
            </w:tcMar>
            <w:vAlign w:val="bottom"/>
          </w:tcPr>
          <w:p w14:paraId="4090E4B9" w14:textId="77777777" w:rsidR="00833634" w:rsidRDefault="00E15D51">
            <w:pPr>
              <w:jc w:val="center"/>
              <w:textAlignment w:val="bottom"/>
            </w:pPr>
            <w:r>
              <w:rPr>
                <w:rFonts w:ascii="Arial" w:eastAsia="宋体" w:hAnsi="Arial" w:cs="Arial"/>
                <w:b/>
                <w:bCs/>
                <w:color w:val="000000"/>
                <w:sz w:val="20"/>
                <w:szCs w:val="20"/>
              </w:rPr>
              <w:t>Prior</w:t>
            </w:r>
          </w:p>
        </w:tc>
        <w:tc>
          <w:tcPr>
            <w:tcW w:w="0" w:type="auto"/>
            <w:gridSpan w:val="3"/>
            <w:shd w:val="clear" w:color="auto" w:fill="auto"/>
            <w:tcMar>
              <w:top w:w="40" w:type="dxa"/>
              <w:left w:w="20" w:type="dxa"/>
              <w:bottom w:w="40" w:type="dxa"/>
              <w:right w:w="20" w:type="dxa"/>
            </w:tcMar>
            <w:vAlign w:val="bottom"/>
          </w:tcPr>
          <w:p w14:paraId="4090E4BA" w14:textId="77777777" w:rsidR="00833634" w:rsidRDefault="00E15D51">
            <w:pPr>
              <w:jc w:val="center"/>
              <w:textAlignment w:val="bottom"/>
            </w:pPr>
            <w:r>
              <w:rPr>
                <w:rFonts w:ascii="Arial" w:eastAsia="宋体" w:hAnsi="Arial" w:cs="Arial"/>
                <w:b/>
                <w:bCs/>
                <w:color w:val="000000"/>
                <w:sz w:val="20"/>
                <w:szCs w:val="20"/>
              </w:rPr>
              <w:t>Total</w:t>
            </w:r>
          </w:p>
        </w:tc>
      </w:tr>
      <w:tr w:rsidR="00833634" w14:paraId="4090E4C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4BC" w14:textId="77777777" w:rsidR="00833634" w:rsidRDefault="00E15D51">
            <w:pPr>
              <w:textAlignment w:val="bottom"/>
            </w:pPr>
            <w:r>
              <w:rPr>
                <w:rFonts w:ascii="Arial" w:eastAsia="宋体" w:hAnsi="Arial" w:cs="Arial"/>
                <w:color w:val="000000"/>
                <w:sz w:val="20"/>
                <w:szCs w:val="20"/>
              </w:rPr>
              <w:t>BBB</w:t>
            </w:r>
          </w:p>
        </w:tc>
        <w:tc>
          <w:tcPr>
            <w:tcW w:w="0" w:type="auto"/>
            <w:gridSpan w:val="3"/>
            <w:tcBorders>
              <w:top w:val="single" w:sz="8" w:space="0" w:color="000000"/>
            </w:tcBorders>
            <w:shd w:val="clear" w:color="auto" w:fill="CCEEFF"/>
            <w:tcMar>
              <w:top w:w="0" w:type="dxa"/>
              <w:left w:w="20" w:type="dxa"/>
              <w:bottom w:w="0" w:type="dxa"/>
              <w:right w:w="20" w:type="dxa"/>
            </w:tcMar>
          </w:tcPr>
          <w:p w14:paraId="4090E4BD"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4BE"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4BF"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4C0"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4C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4C2" w14:textId="77777777" w:rsidR="00833634" w:rsidRDefault="00E15D51">
            <w:pPr>
              <w:jc w:val="right"/>
              <w:textAlignment w:val="bottom"/>
            </w:pPr>
            <w:r>
              <w:rPr>
                <w:rFonts w:ascii="Arial" w:eastAsia="宋体" w:hAnsi="Arial" w:cs="Arial"/>
                <w:b/>
                <w:bCs/>
                <w:color w:val="000000"/>
                <w:sz w:val="20"/>
                <w:szCs w:val="20"/>
              </w:rPr>
              <w:t>$353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4C3"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4C4" w14:textId="77777777" w:rsidR="00833634" w:rsidRDefault="00E15D51">
            <w:pPr>
              <w:jc w:val="right"/>
              <w:textAlignment w:val="bottom"/>
            </w:pPr>
            <w:r>
              <w:rPr>
                <w:rFonts w:ascii="Arial" w:eastAsia="宋体" w:hAnsi="Arial" w:cs="Arial"/>
                <w:b/>
                <w:bCs/>
                <w:color w:val="000000"/>
                <w:sz w:val="20"/>
                <w:szCs w:val="20"/>
              </w:rPr>
              <w:t>$353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4C5" w14:textId="77777777" w:rsidR="00833634" w:rsidRDefault="00833634">
            <w:pPr>
              <w:jc w:val="right"/>
              <w:rPr>
                <w:rFonts w:ascii="宋体"/>
              </w:rPr>
            </w:pPr>
          </w:p>
        </w:tc>
      </w:tr>
      <w:tr w:rsidR="00833634" w14:paraId="4090E4D4" w14:textId="77777777">
        <w:tc>
          <w:tcPr>
            <w:tcW w:w="0" w:type="auto"/>
            <w:gridSpan w:val="3"/>
            <w:shd w:val="clear" w:color="auto" w:fill="FFFFFF"/>
            <w:tcMar>
              <w:top w:w="40" w:type="dxa"/>
              <w:left w:w="20" w:type="dxa"/>
              <w:bottom w:w="40" w:type="dxa"/>
              <w:right w:w="20" w:type="dxa"/>
            </w:tcMar>
            <w:vAlign w:val="bottom"/>
          </w:tcPr>
          <w:p w14:paraId="4090E4C7" w14:textId="77777777" w:rsidR="00833634" w:rsidRDefault="00E15D51">
            <w:pPr>
              <w:textAlignment w:val="bottom"/>
            </w:pPr>
            <w:r>
              <w:rPr>
                <w:rFonts w:ascii="Arial" w:eastAsia="宋体" w:hAnsi="Arial" w:cs="Arial"/>
                <w:color w:val="000000"/>
                <w:sz w:val="20"/>
                <w:szCs w:val="20"/>
              </w:rPr>
              <w:t>BB</w:t>
            </w:r>
          </w:p>
        </w:tc>
        <w:tc>
          <w:tcPr>
            <w:tcW w:w="0" w:type="auto"/>
            <w:gridSpan w:val="2"/>
            <w:shd w:val="clear" w:color="auto" w:fill="FFFFFF"/>
            <w:tcMar>
              <w:top w:w="40" w:type="dxa"/>
              <w:left w:w="20" w:type="dxa"/>
              <w:bottom w:w="40" w:type="dxa"/>
              <w:right w:w="0" w:type="dxa"/>
            </w:tcMar>
            <w:vAlign w:val="bottom"/>
          </w:tcPr>
          <w:p w14:paraId="4090E4C8" w14:textId="77777777" w:rsidR="00833634" w:rsidRDefault="00E15D51">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C9"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4CA" w14:textId="77777777" w:rsidR="00833634" w:rsidRDefault="00E15D51">
            <w:pPr>
              <w:jc w:val="right"/>
              <w:textAlignment w:val="bottom"/>
            </w:pPr>
            <w:r>
              <w:rPr>
                <w:rFonts w:ascii="Arial" w:eastAsia="宋体" w:hAnsi="Arial" w:cs="Arial"/>
                <w:b/>
                <w:bCs/>
                <w:color w:val="000000"/>
                <w:sz w:val="20"/>
                <w:szCs w:val="20"/>
              </w:rPr>
              <w:t>$50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CB"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4CC" w14:textId="77777777" w:rsidR="00833634" w:rsidRDefault="00E15D51">
            <w:pPr>
              <w:jc w:val="right"/>
              <w:textAlignment w:val="bottom"/>
            </w:pPr>
            <w:r>
              <w:rPr>
                <w:rFonts w:ascii="Arial" w:eastAsia="宋体" w:hAnsi="Arial" w:cs="Arial"/>
                <w:b/>
                <w:bCs/>
                <w:color w:val="000000"/>
                <w:sz w:val="20"/>
                <w:szCs w:val="20"/>
              </w:rPr>
              <w:t>$16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C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4C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4C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4D0" w14:textId="77777777" w:rsidR="00833634" w:rsidRDefault="00E15D51">
            <w:pPr>
              <w:jc w:val="right"/>
              <w:textAlignment w:val="bottom"/>
            </w:pPr>
            <w:r>
              <w:rPr>
                <w:rFonts w:ascii="Arial" w:eastAsia="宋体" w:hAnsi="Arial" w:cs="Arial"/>
                <w:b/>
                <w:bCs/>
                <w:color w:val="000000"/>
                <w:sz w:val="20"/>
                <w:szCs w:val="20"/>
              </w:rPr>
              <w:t>148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D1"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4D2" w14:textId="77777777" w:rsidR="00833634" w:rsidRDefault="00E15D51">
            <w:pPr>
              <w:jc w:val="right"/>
              <w:textAlignment w:val="bottom"/>
            </w:pPr>
            <w:r>
              <w:rPr>
                <w:rFonts w:ascii="Arial" w:eastAsia="宋体" w:hAnsi="Arial" w:cs="Arial"/>
                <w:b/>
                <w:bCs/>
                <w:color w:val="000000"/>
                <w:sz w:val="20"/>
                <w:szCs w:val="20"/>
              </w:rPr>
              <w:t>314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D3" w14:textId="77777777" w:rsidR="00833634" w:rsidRDefault="00833634">
            <w:pPr>
              <w:jc w:val="right"/>
              <w:rPr>
                <w:rFonts w:ascii="宋体"/>
              </w:rPr>
            </w:pPr>
          </w:p>
        </w:tc>
      </w:tr>
      <w:tr w:rsidR="00833634" w14:paraId="4090E4E0" w14:textId="77777777">
        <w:tc>
          <w:tcPr>
            <w:tcW w:w="0" w:type="auto"/>
            <w:gridSpan w:val="3"/>
            <w:shd w:val="clear" w:color="auto" w:fill="CCEEFF"/>
            <w:tcMar>
              <w:top w:w="40" w:type="dxa"/>
              <w:left w:w="20" w:type="dxa"/>
              <w:bottom w:w="40" w:type="dxa"/>
              <w:right w:w="20" w:type="dxa"/>
            </w:tcMar>
            <w:vAlign w:val="bottom"/>
          </w:tcPr>
          <w:p w14:paraId="4090E4D5" w14:textId="77777777" w:rsidR="00833634" w:rsidRDefault="00E15D51">
            <w:pPr>
              <w:textAlignment w:val="bottom"/>
            </w:pPr>
            <w:r>
              <w:rPr>
                <w:rFonts w:ascii="Arial" w:eastAsia="宋体" w:hAnsi="Arial" w:cs="Arial"/>
                <w:color w:val="000000"/>
                <w:sz w:val="20"/>
                <w:szCs w:val="20"/>
              </w:rPr>
              <w:t>B</w:t>
            </w:r>
          </w:p>
        </w:tc>
        <w:tc>
          <w:tcPr>
            <w:tcW w:w="0" w:type="auto"/>
            <w:gridSpan w:val="3"/>
            <w:shd w:val="clear" w:color="auto" w:fill="CCEEFF"/>
            <w:tcMar>
              <w:top w:w="0" w:type="dxa"/>
              <w:left w:w="20" w:type="dxa"/>
              <w:bottom w:w="0" w:type="dxa"/>
              <w:right w:w="20" w:type="dxa"/>
            </w:tcMar>
          </w:tcPr>
          <w:p w14:paraId="4090E4D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4D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4D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4D9" w14:textId="77777777" w:rsidR="00833634" w:rsidRDefault="00E15D51">
            <w:pPr>
              <w:jc w:val="right"/>
              <w:textAlignment w:val="bottom"/>
            </w:pPr>
            <w:r>
              <w:rPr>
                <w:rFonts w:ascii="Arial" w:eastAsia="宋体" w:hAnsi="Arial" w:cs="Arial"/>
                <w:b/>
                <w:bCs/>
                <w:color w:val="000000"/>
                <w:sz w:val="20"/>
                <w:szCs w:val="20"/>
              </w:rPr>
              <w:t>$53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4D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4D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4DC" w14:textId="77777777" w:rsidR="00833634" w:rsidRDefault="00E15D51">
            <w:pPr>
              <w:jc w:val="right"/>
              <w:textAlignment w:val="bottom"/>
            </w:pPr>
            <w:r>
              <w:rPr>
                <w:rFonts w:ascii="Arial" w:eastAsia="宋体" w:hAnsi="Arial" w:cs="Arial"/>
                <w:b/>
                <w:bCs/>
                <w:color w:val="000000"/>
                <w:sz w:val="20"/>
                <w:szCs w:val="20"/>
              </w:rPr>
              <w:t>174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4DD"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4DE" w14:textId="77777777" w:rsidR="00833634" w:rsidRDefault="00E15D51">
            <w:pPr>
              <w:jc w:val="right"/>
              <w:textAlignment w:val="bottom"/>
            </w:pPr>
            <w:r>
              <w:rPr>
                <w:rFonts w:ascii="Arial" w:eastAsia="宋体" w:hAnsi="Arial" w:cs="Arial"/>
                <w:b/>
                <w:bCs/>
                <w:color w:val="000000"/>
                <w:sz w:val="20"/>
                <w:szCs w:val="20"/>
              </w:rPr>
              <w:t>227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4DF" w14:textId="77777777" w:rsidR="00833634" w:rsidRDefault="00833634">
            <w:pPr>
              <w:jc w:val="right"/>
              <w:rPr>
                <w:rFonts w:ascii="宋体"/>
              </w:rPr>
            </w:pPr>
          </w:p>
        </w:tc>
      </w:tr>
      <w:tr w:rsidR="00833634" w14:paraId="4090E4EE" w14:textId="77777777">
        <w:tc>
          <w:tcPr>
            <w:tcW w:w="0" w:type="auto"/>
            <w:gridSpan w:val="3"/>
            <w:shd w:val="clear" w:color="auto" w:fill="FFFFFF"/>
            <w:tcMar>
              <w:top w:w="40" w:type="dxa"/>
              <w:left w:w="20" w:type="dxa"/>
              <w:bottom w:w="40" w:type="dxa"/>
              <w:right w:w="20" w:type="dxa"/>
            </w:tcMar>
            <w:vAlign w:val="bottom"/>
          </w:tcPr>
          <w:p w14:paraId="4090E4E1" w14:textId="77777777" w:rsidR="00833634" w:rsidRDefault="00E15D51">
            <w:pPr>
              <w:textAlignment w:val="bottom"/>
            </w:pPr>
            <w:r>
              <w:rPr>
                <w:rFonts w:ascii="Arial" w:eastAsia="宋体" w:hAnsi="Arial" w:cs="Arial"/>
                <w:color w:val="000000"/>
                <w:sz w:val="20"/>
                <w:szCs w:val="20"/>
              </w:rPr>
              <w:t>CCC</w:t>
            </w:r>
          </w:p>
        </w:tc>
        <w:tc>
          <w:tcPr>
            <w:tcW w:w="0" w:type="auto"/>
            <w:gridSpan w:val="3"/>
            <w:shd w:val="clear" w:color="auto" w:fill="FFFFFF"/>
            <w:tcMar>
              <w:top w:w="0" w:type="dxa"/>
              <w:left w:w="20" w:type="dxa"/>
              <w:bottom w:w="0" w:type="dxa"/>
              <w:right w:w="20" w:type="dxa"/>
            </w:tcMar>
          </w:tcPr>
          <w:p w14:paraId="4090E4E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4E3" w14:textId="77777777" w:rsidR="00833634" w:rsidRDefault="00E15D51">
            <w:pPr>
              <w:jc w:val="right"/>
              <w:textAlignment w:val="bottom"/>
            </w:pPr>
            <w:r>
              <w:rPr>
                <w:rFonts w:ascii="Arial" w:eastAsia="宋体" w:hAnsi="Arial" w:cs="Arial"/>
                <w:b/>
                <w:bCs/>
                <w:color w:val="000000"/>
                <w:sz w:val="20"/>
                <w:szCs w:val="20"/>
              </w:rPr>
              <w:t>35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E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4E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4E6" w14:textId="77777777" w:rsidR="00833634" w:rsidRDefault="00E15D51">
            <w:pPr>
              <w:jc w:val="right"/>
              <w:textAlignment w:val="bottom"/>
            </w:pPr>
            <w:r>
              <w:rPr>
                <w:rFonts w:ascii="Arial" w:eastAsia="宋体" w:hAnsi="Arial" w:cs="Arial"/>
                <w:b/>
                <w:bCs/>
                <w:color w:val="000000"/>
                <w:sz w:val="20"/>
                <w:szCs w:val="20"/>
              </w:rPr>
              <w:t>244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E7"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4E8" w14:textId="77777777" w:rsidR="00833634" w:rsidRDefault="00E15D51">
            <w:pPr>
              <w:jc w:val="right"/>
              <w:textAlignment w:val="bottom"/>
            </w:pPr>
            <w:r>
              <w:rPr>
                <w:rFonts w:ascii="Arial" w:eastAsia="宋体" w:hAnsi="Arial" w:cs="Arial"/>
                <w:b/>
                <w:bCs/>
                <w:color w:val="000000"/>
                <w:sz w:val="20"/>
                <w:szCs w:val="20"/>
              </w:rPr>
              <w:t>$177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E9"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4EA" w14:textId="77777777" w:rsidR="00833634" w:rsidRDefault="00E15D51">
            <w:pPr>
              <w:jc w:val="right"/>
              <w:textAlignment w:val="bottom"/>
            </w:pPr>
            <w:r>
              <w:rPr>
                <w:rFonts w:ascii="Arial" w:eastAsia="宋体" w:hAnsi="Arial" w:cs="Arial"/>
                <w:b/>
                <w:bCs/>
                <w:color w:val="000000"/>
                <w:sz w:val="20"/>
                <w:szCs w:val="20"/>
              </w:rPr>
              <w:t>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EB"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4EC" w14:textId="77777777" w:rsidR="00833634" w:rsidRDefault="00E15D51">
            <w:pPr>
              <w:jc w:val="right"/>
              <w:textAlignment w:val="bottom"/>
            </w:pPr>
            <w:r>
              <w:rPr>
                <w:rFonts w:ascii="Arial" w:eastAsia="宋体" w:hAnsi="Arial" w:cs="Arial"/>
                <w:b/>
                <w:bCs/>
                <w:color w:val="000000"/>
                <w:sz w:val="20"/>
                <w:szCs w:val="20"/>
              </w:rPr>
              <w:t>469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4ED" w14:textId="77777777" w:rsidR="00833634" w:rsidRDefault="00833634">
            <w:pPr>
              <w:jc w:val="right"/>
              <w:rPr>
                <w:rFonts w:ascii="宋体"/>
              </w:rPr>
            </w:pPr>
          </w:p>
        </w:tc>
      </w:tr>
      <w:tr w:rsidR="00833634" w14:paraId="4090E4F7" w14:textId="77777777">
        <w:trPr>
          <w:hidden/>
        </w:trPr>
        <w:tc>
          <w:tcPr>
            <w:tcW w:w="0" w:type="auto"/>
            <w:gridSpan w:val="3"/>
            <w:shd w:val="clear" w:color="auto" w:fill="auto"/>
          </w:tcPr>
          <w:p w14:paraId="4090E4EF" w14:textId="77777777" w:rsidR="00833634" w:rsidRDefault="00833634">
            <w:pPr>
              <w:rPr>
                <w:rFonts w:ascii="宋体"/>
                <w:vanish/>
              </w:rPr>
            </w:pPr>
          </w:p>
        </w:tc>
        <w:tc>
          <w:tcPr>
            <w:tcW w:w="0" w:type="auto"/>
            <w:gridSpan w:val="3"/>
            <w:shd w:val="clear" w:color="auto" w:fill="auto"/>
          </w:tcPr>
          <w:p w14:paraId="4090E4F0" w14:textId="77777777" w:rsidR="00833634" w:rsidRDefault="00833634">
            <w:pPr>
              <w:rPr>
                <w:rFonts w:ascii="宋体"/>
                <w:vanish/>
              </w:rPr>
            </w:pPr>
          </w:p>
        </w:tc>
        <w:tc>
          <w:tcPr>
            <w:tcW w:w="0" w:type="auto"/>
            <w:gridSpan w:val="3"/>
            <w:shd w:val="clear" w:color="auto" w:fill="auto"/>
          </w:tcPr>
          <w:p w14:paraId="4090E4F1" w14:textId="77777777" w:rsidR="00833634" w:rsidRDefault="00833634">
            <w:pPr>
              <w:rPr>
                <w:rFonts w:ascii="宋体"/>
                <w:vanish/>
              </w:rPr>
            </w:pPr>
          </w:p>
        </w:tc>
        <w:tc>
          <w:tcPr>
            <w:tcW w:w="0" w:type="auto"/>
            <w:gridSpan w:val="3"/>
            <w:shd w:val="clear" w:color="auto" w:fill="auto"/>
          </w:tcPr>
          <w:p w14:paraId="4090E4F2" w14:textId="77777777" w:rsidR="00833634" w:rsidRDefault="00833634">
            <w:pPr>
              <w:rPr>
                <w:rFonts w:ascii="宋体"/>
                <w:vanish/>
              </w:rPr>
            </w:pPr>
          </w:p>
        </w:tc>
        <w:tc>
          <w:tcPr>
            <w:tcW w:w="0" w:type="auto"/>
            <w:gridSpan w:val="3"/>
            <w:shd w:val="clear" w:color="auto" w:fill="auto"/>
          </w:tcPr>
          <w:p w14:paraId="4090E4F3" w14:textId="77777777" w:rsidR="00833634" w:rsidRDefault="00833634">
            <w:pPr>
              <w:rPr>
                <w:rFonts w:ascii="宋体"/>
                <w:vanish/>
              </w:rPr>
            </w:pPr>
          </w:p>
        </w:tc>
        <w:tc>
          <w:tcPr>
            <w:tcW w:w="0" w:type="auto"/>
            <w:gridSpan w:val="3"/>
            <w:shd w:val="clear" w:color="auto" w:fill="auto"/>
          </w:tcPr>
          <w:p w14:paraId="4090E4F4" w14:textId="77777777" w:rsidR="00833634" w:rsidRDefault="00833634">
            <w:pPr>
              <w:rPr>
                <w:rFonts w:ascii="宋体"/>
                <w:vanish/>
              </w:rPr>
            </w:pPr>
          </w:p>
        </w:tc>
        <w:tc>
          <w:tcPr>
            <w:tcW w:w="0" w:type="auto"/>
            <w:gridSpan w:val="3"/>
            <w:shd w:val="clear" w:color="auto" w:fill="auto"/>
          </w:tcPr>
          <w:p w14:paraId="4090E4F5" w14:textId="77777777" w:rsidR="00833634" w:rsidRDefault="00833634">
            <w:pPr>
              <w:rPr>
                <w:rFonts w:ascii="宋体"/>
                <w:vanish/>
              </w:rPr>
            </w:pPr>
          </w:p>
        </w:tc>
        <w:tc>
          <w:tcPr>
            <w:tcW w:w="0" w:type="auto"/>
            <w:gridSpan w:val="3"/>
            <w:shd w:val="clear" w:color="auto" w:fill="auto"/>
          </w:tcPr>
          <w:p w14:paraId="4090E4F6" w14:textId="77777777" w:rsidR="00833634" w:rsidRDefault="00833634">
            <w:pPr>
              <w:rPr>
                <w:rFonts w:ascii="宋体"/>
                <w:vanish/>
              </w:rPr>
            </w:pPr>
          </w:p>
        </w:tc>
      </w:tr>
      <w:tr w:rsidR="00833634" w14:paraId="4090E500" w14:textId="77777777">
        <w:trPr>
          <w:hidden/>
        </w:trPr>
        <w:tc>
          <w:tcPr>
            <w:tcW w:w="0" w:type="auto"/>
            <w:gridSpan w:val="3"/>
            <w:shd w:val="clear" w:color="auto" w:fill="auto"/>
          </w:tcPr>
          <w:p w14:paraId="4090E4F8" w14:textId="77777777" w:rsidR="00833634" w:rsidRDefault="00833634">
            <w:pPr>
              <w:rPr>
                <w:rFonts w:ascii="宋体"/>
                <w:vanish/>
              </w:rPr>
            </w:pPr>
          </w:p>
        </w:tc>
        <w:tc>
          <w:tcPr>
            <w:tcW w:w="0" w:type="auto"/>
            <w:gridSpan w:val="3"/>
            <w:shd w:val="clear" w:color="auto" w:fill="auto"/>
          </w:tcPr>
          <w:p w14:paraId="4090E4F9" w14:textId="77777777" w:rsidR="00833634" w:rsidRDefault="00833634">
            <w:pPr>
              <w:rPr>
                <w:rFonts w:ascii="宋体"/>
                <w:vanish/>
              </w:rPr>
            </w:pPr>
          </w:p>
        </w:tc>
        <w:tc>
          <w:tcPr>
            <w:tcW w:w="0" w:type="auto"/>
            <w:gridSpan w:val="3"/>
            <w:shd w:val="clear" w:color="auto" w:fill="auto"/>
          </w:tcPr>
          <w:p w14:paraId="4090E4FA" w14:textId="77777777" w:rsidR="00833634" w:rsidRDefault="00833634">
            <w:pPr>
              <w:rPr>
                <w:rFonts w:ascii="宋体"/>
                <w:vanish/>
              </w:rPr>
            </w:pPr>
          </w:p>
        </w:tc>
        <w:tc>
          <w:tcPr>
            <w:tcW w:w="0" w:type="auto"/>
            <w:gridSpan w:val="3"/>
            <w:shd w:val="clear" w:color="auto" w:fill="auto"/>
          </w:tcPr>
          <w:p w14:paraId="4090E4FB" w14:textId="77777777" w:rsidR="00833634" w:rsidRDefault="00833634">
            <w:pPr>
              <w:rPr>
                <w:rFonts w:ascii="宋体"/>
                <w:vanish/>
              </w:rPr>
            </w:pPr>
          </w:p>
        </w:tc>
        <w:tc>
          <w:tcPr>
            <w:tcW w:w="0" w:type="auto"/>
            <w:gridSpan w:val="3"/>
            <w:shd w:val="clear" w:color="auto" w:fill="auto"/>
          </w:tcPr>
          <w:p w14:paraId="4090E4FC" w14:textId="77777777" w:rsidR="00833634" w:rsidRDefault="00833634">
            <w:pPr>
              <w:rPr>
                <w:rFonts w:ascii="宋体"/>
                <w:vanish/>
              </w:rPr>
            </w:pPr>
          </w:p>
        </w:tc>
        <w:tc>
          <w:tcPr>
            <w:tcW w:w="0" w:type="auto"/>
            <w:gridSpan w:val="3"/>
            <w:shd w:val="clear" w:color="auto" w:fill="auto"/>
          </w:tcPr>
          <w:p w14:paraId="4090E4FD" w14:textId="77777777" w:rsidR="00833634" w:rsidRDefault="00833634">
            <w:pPr>
              <w:rPr>
                <w:rFonts w:ascii="宋体"/>
                <w:vanish/>
              </w:rPr>
            </w:pPr>
          </w:p>
        </w:tc>
        <w:tc>
          <w:tcPr>
            <w:tcW w:w="0" w:type="auto"/>
            <w:gridSpan w:val="3"/>
            <w:shd w:val="clear" w:color="auto" w:fill="auto"/>
          </w:tcPr>
          <w:p w14:paraId="4090E4FE" w14:textId="77777777" w:rsidR="00833634" w:rsidRDefault="00833634">
            <w:pPr>
              <w:rPr>
                <w:rFonts w:ascii="宋体"/>
                <w:vanish/>
              </w:rPr>
            </w:pPr>
          </w:p>
        </w:tc>
        <w:tc>
          <w:tcPr>
            <w:tcW w:w="0" w:type="auto"/>
            <w:gridSpan w:val="3"/>
            <w:shd w:val="clear" w:color="auto" w:fill="auto"/>
          </w:tcPr>
          <w:p w14:paraId="4090E4FF" w14:textId="77777777" w:rsidR="00833634" w:rsidRDefault="00833634">
            <w:pPr>
              <w:rPr>
                <w:rFonts w:ascii="宋体"/>
                <w:vanish/>
              </w:rPr>
            </w:pPr>
          </w:p>
        </w:tc>
      </w:tr>
      <w:tr w:rsidR="00833634" w14:paraId="4090E510"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E501" w14:textId="77777777" w:rsidR="00833634" w:rsidRDefault="00E15D51">
            <w:pPr>
              <w:textAlignment w:val="bottom"/>
            </w:pPr>
            <w:r>
              <w:rPr>
                <w:rFonts w:ascii="Arial" w:eastAsia="宋体" w:hAnsi="Arial" w:cs="Arial"/>
                <w:color w:val="000000"/>
                <w:sz w:val="20"/>
                <w:szCs w:val="20"/>
              </w:rPr>
              <w:t>Total carrying value of financing receivables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502" w14:textId="77777777" w:rsidR="00833634" w:rsidRDefault="00E15D51">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503"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504" w14:textId="77777777" w:rsidR="00833634" w:rsidRDefault="00E15D51">
            <w:pPr>
              <w:jc w:val="right"/>
              <w:textAlignment w:val="bottom"/>
            </w:pPr>
            <w:r>
              <w:rPr>
                <w:rFonts w:ascii="Arial" w:eastAsia="宋体" w:hAnsi="Arial" w:cs="Arial"/>
                <w:b/>
                <w:bCs/>
                <w:color w:val="000000"/>
                <w:sz w:val="20"/>
                <w:szCs w:val="20"/>
              </w:rPr>
              <w:t>$85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505"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506" w14:textId="77777777" w:rsidR="00833634" w:rsidRDefault="00E15D51">
            <w:pPr>
              <w:jc w:val="right"/>
              <w:textAlignment w:val="bottom"/>
            </w:pPr>
            <w:r>
              <w:rPr>
                <w:rFonts w:ascii="Arial" w:eastAsia="宋体" w:hAnsi="Arial" w:cs="Arial"/>
                <w:b/>
                <w:bCs/>
                <w:color w:val="000000"/>
                <w:sz w:val="20"/>
                <w:szCs w:val="20"/>
              </w:rPr>
              <w:t>$16</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507"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508" w14:textId="77777777" w:rsidR="00833634" w:rsidRDefault="00E15D51">
            <w:pPr>
              <w:jc w:val="right"/>
              <w:textAlignment w:val="bottom"/>
            </w:pPr>
            <w:r>
              <w:rPr>
                <w:rFonts w:ascii="Arial" w:eastAsia="宋体" w:hAnsi="Arial" w:cs="Arial"/>
                <w:b/>
                <w:bCs/>
                <w:color w:val="000000"/>
                <w:sz w:val="20"/>
                <w:szCs w:val="20"/>
              </w:rPr>
              <w:t>$297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509"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50A" w14:textId="77777777" w:rsidR="00833634" w:rsidRDefault="00E15D51">
            <w:pPr>
              <w:jc w:val="right"/>
              <w:textAlignment w:val="bottom"/>
            </w:pPr>
            <w:r>
              <w:rPr>
                <w:rFonts w:ascii="Arial" w:eastAsia="宋体" w:hAnsi="Arial" w:cs="Arial"/>
                <w:b/>
                <w:bCs/>
                <w:color w:val="000000"/>
                <w:sz w:val="20"/>
                <w:szCs w:val="20"/>
              </w:rPr>
              <w:t>$177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50B"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50C" w14:textId="77777777" w:rsidR="00833634" w:rsidRDefault="00E15D51">
            <w:pPr>
              <w:jc w:val="right"/>
              <w:textAlignment w:val="bottom"/>
            </w:pPr>
            <w:r>
              <w:rPr>
                <w:rFonts w:ascii="Arial" w:eastAsia="宋体" w:hAnsi="Arial" w:cs="Arial"/>
                <w:b/>
                <w:bCs/>
                <w:color w:val="000000"/>
                <w:sz w:val="20"/>
                <w:szCs w:val="20"/>
              </w:rPr>
              <w:t>$688</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50D"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50E" w14:textId="77777777" w:rsidR="00833634" w:rsidRDefault="00E15D51">
            <w:pPr>
              <w:jc w:val="right"/>
              <w:textAlignment w:val="bottom"/>
            </w:pPr>
            <w:r>
              <w:rPr>
                <w:rFonts w:ascii="Arial" w:eastAsia="宋体" w:hAnsi="Arial" w:cs="Arial"/>
                <w:b/>
                <w:bCs/>
                <w:color w:val="000000"/>
                <w:sz w:val="20"/>
                <w:szCs w:val="20"/>
              </w:rPr>
              <w:t>$1,363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50F" w14:textId="77777777" w:rsidR="00833634" w:rsidRDefault="00833634">
            <w:pPr>
              <w:jc w:val="right"/>
              <w:rPr>
                <w:rFonts w:ascii="宋体"/>
              </w:rPr>
            </w:pPr>
          </w:p>
        </w:tc>
      </w:tr>
    </w:tbl>
    <w:p w14:paraId="4090E511" w14:textId="77777777" w:rsidR="00833634" w:rsidRDefault="00E15D51">
      <w:pPr>
        <w:spacing w:after="180"/>
        <w:jc w:val="both"/>
      </w:pPr>
      <w:r>
        <w:rPr>
          <w:rFonts w:ascii="Arial" w:eastAsia="宋体" w:hAnsi="Arial" w:cs="Arial"/>
          <w:color w:val="000000"/>
          <w:sz w:val="20"/>
          <w:szCs w:val="20"/>
        </w:rPr>
        <w:t>At September 30, 2020, our allowance related to receivables with ratings of CCC, B, BB, and BBB. We applied default rates that averaged 26%, 7.</w:t>
      </w:r>
      <w:r>
        <w:rPr>
          <w:rFonts w:ascii="Arial" w:eastAsia="宋体" w:hAnsi="Arial" w:cs="Arial"/>
          <w:color w:val="000000"/>
          <w:sz w:val="20"/>
          <w:szCs w:val="20"/>
        </w:rPr>
        <w:t>9%, 3.1%, and 0.2%, respectively, to the exposure associated with those receivables.</w:t>
      </w:r>
    </w:p>
    <w:p w14:paraId="4090E512" w14:textId="77777777" w:rsidR="00833634" w:rsidRDefault="00E15D51">
      <w:pPr>
        <w:spacing w:after="180"/>
        <w:jc w:val="both"/>
      </w:pPr>
      <w:r>
        <w:rPr>
          <w:rFonts w:ascii="Arial" w:eastAsia="宋体" w:hAnsi="Arial" w:cs="Arial"/>
          <w:b/>
          <w:bCs/>
          <w:color w:val="000000"/>
          <w:sz w:val="20"/>
          <w:szCs w:val="20"/>
        </w:rPr>
        <w:t>Customer Financing Exposure</w:t>
      </w:r>
    </w:p>
    <w:p w14:paraId="4090E513" w14:textId="77777777" w:rsidR="00833634" w:rsidRDefault="00E15D51">
      <w:pPr>
        <w:spacing w:after="180"/>
        <w:jc w:val="both"/>
      </w:pPr>
      <w:r>
        <w:rPr>
          <w:rFonts w:ascii="Arial" w:eastAsia="宋体" w:hAnsi="Arial" w:cs="Arial"/>
          <w:color w:val="000000"/>
          <w:sz w:val="20"/>
          <w:szCs w:val="20"/>
        </w:rPr>
        <w:t>Customer financing is collateralized by security in the related asset. The value of the collateral is closely tied to commercial airline perfor</w:t>
      </w:r>
      <w:r>
        <w:rPr>
          <w:rFonts w:ascii="Arial" w:eastAsia="宋体" w:hAnsi="Arial" w:cs="Arial"/>
          <w:color w:val="000000"/>
          <w:sz w:val="20"/>
          <w:szCs w:val="20"/>
        </w:rPr>
        <w:t>mance and overall market conditions and may be subject to reduced valuation with market decline. Certain collateral values are being adversely impacted by the changes in market conditions driven by the COVID-19 pandemic. Declines in collateral values could</w:t>
      </w:r>
      <w:r>
        <w:rPr>
          <w:rFonts w:ascii="Arial" w:eastAsia="宋体" w:hAnsi="Arial" w:cs="Arial"/>
          <w:color w:val="000000"/>
          <w:sz w:val="20"/>
          <w:szCs w:val="20"/>
        </w:rPr>
        <w:t xml:space="preserve"> result in asset impairments, reduced finance lease income, and an increase in the allowance for losses. Our customer financing collateral is concentrated in out-of-production aircraft and 747-8 aircraft. Generally, out-of-production aircraft have experien</w:t>
      </w:r>
      <w:r>
        <w:rPr>
          <w:rFonts w:ascii="Arial" w:eastAsia="宋体" w:hAnsi="Arial" w:cs="Arial"/>
          <w:color w:val="000000"/>
          <w:sz w:val="20"/>
          <w:szCs w:val="20"/>
        </w:rPr>
        <w:t xml:space="preserve">ced greater collateral value declines than in-production aircraft. </w:t>
      </w:r>
    </w:p>
    <w:p w14:paraId="4090E514" w14:textId="77777777" w:rsidR="00833634" w:rsidRDefault="00E15D51">
      <w:pPr>
        <w:spacing w:after="180"/>
        <w:jc w:val="center"/>
      </w:pPr>
      <w:r>
        <w:rPr>
          <w:rFonts w:ascii="Arial" w:eastAsia="宋体" w:hAnsi="Arial" w:cs="Arial"/>
          <w:color w:val="000000"/>
          <w:sz w:val="18"/>
          <w:szCs w:val="18"/>
        </w:rPr>
        <w:t>15</w:t>
      </w:r>
    </w:p>
    <w:p w14:paraId="4090E515" w14:textId="77777777" w:rsidR="00833634" w:rsidRDefault="00E15D51">
      <w:r>
        <w:pict w14:anchorId="4090FE2F">
          <v:rect id="_x0000_i1041" style="width:415.3pt;height:1.5pt" o:hralign="center" o:hrstd="t" o:hr="t" fillcolor="#a0a0a0" stroked="f"/>
        </w:pict>
      </w:r>
    </w:p>
    <w:p w14:paraId="4090E516" w14:textId="77777777" w:rsidR="00833634" w:rsidRDefault="00E15D51">
      <w:pPr>
        <w:spacing w:after="180"/>
        <w:jc w:val="both"/>
      </w:pPr>
      <w:hyperlink r:id="rId118" w:anchor="i8d805bfb1e1c4815a1dcd5b6d1e0b117_10" w:history="1">
        <w:r>
          <w:rPr>
            <w:rStyle w:val="a5"/>
            <w:rFonts w:ascii="Arial" w:eastAsia="宋体" w:hAnsi="Arial" w:cs="Arial"/>
            <w:sz w:val="18"/>
            <w:szCs w:val="18"/>
          </w:rPr>
          <w:t>Table of Contents</w:t>
        </w:r>
      </w:hyperlink>
    </w:p>
    <w:p w14:paraId="4090E517" w14:textId="77777777" w:rsidR="00833634" w:rsidRDefault="00E15D51">
      <w:pPr>
        <w:jc w:val="both"/>
      </w:pPr>
      <w:r>
        <w:rPr>
          <w:rFonts w:ascii="Arial" w:eastAsia="宋体" w:hAnsi="Arial" w:cs="Arial"/>
          <w:color w:val="000000"/>
          <w:sz w:val="20"/>
          <w:szCs w:val="20"/>
        </w:rPr>
        <w:t xml:space="preserve">The </w:t>
      </w:r>
      <w:r>
        <w:rPr>
          <w:rFonts w:ascii="Arial" w:eastAsia="宋体" w:hAnsi="Arial" w:cs="Arial"/>
          <w:color w:val="000000"/>
          <w:sz w:val="20"/>
          <w:szCs w:val="20"/>
        </w:rPr>
        <w:t>majority of customer financing carrying values are concentrated in the following aircraft models:</w:t>
      </w:r>
    </w:p>
    <w:tbl>
      <w:tblPr>
        <w:tblW w:w="4992" w:type="pct"/>
        <w:tblCellMar>
          <w:top w:w="15" w:type="dxa"/>
          <w:left w:w="15" w:type="dxa"/>
          <w:bottom w:w="15" w:type="dxa"/>
          <w:right w:w="15" w:type="dxa"/>
        </w:tblCellMar>
        <w:tblLook w:val="04A0" w:firstRow="1" w:lastRow="0" w:firstColumn="1" w:lastColumn="0" w:noHBand="0" w:noVBand="1"/>
      </w:tblPr>
      <w:tblGrid>
        <w:gridCol w:w="63"/>
        <w:gridCol w:w="5621"/>
        <w:gridCol w:w="37"/>
        <w:gridCol w:w="67"/>
        <w:gridCol w:w="1219"/>
        <w:gridCol w:w="36"/>
        <w:gridCol w:w="36"/>
        <w:gridCol w:w="36"/>
        <w:gridCol w:w="36"/>
        <w:gridCol w:w="68"/>
        <w:gridCol w:w="1068"/>
        <w:gridCol w:w="36"/>
      </w:tblGrid>
      <w:tr w:rsidR="00833634" w14:paraId="4090E524" w14:textId="77777777">
        <w:tc>
          <w:tcPr>
            <w:tcW w:w="50" w:type="pct"/>
            <w:shd w:val="clear" w:color="auto" w:fill="auto"/>
          </w:tcPr>
          <w:p w14:paraId="4090E518" w14:textId="77777777" w:rsidR="00833634" w:rsidRDefault="00833634">
            <w:pPr>
              <w:rPr>
                <w:rFonts w:ascii="宋体"/>
              </w:rPr>
            </w:pPr>
          </w:p>
        </w:tc>
        <w:tc>
          <w:tcPr>
            <w:tcW w:w="3388" w:type="pct"/>
            <w:shd w:val="clear" w:color="auto" w:fill="auto"/>
          </w:tcPr>
          <w:p w14:paraId="4090E519" w14:textId="77777777" w:rsidR="00833634" w:rsidRDefault="00833634">
            <w:pPr>
              <w:rPr>
                <w:rFonts w:ascii="宋体"/>
              </w:rPr>
            </w:pPr>
          </w:p>
        </w:tc>
        <w:tc>
          <w:tcPr>
            <w:tcW w:w="5" w:type="pct"/>
            <w:shd w:val="clear" w:color="auto" w:fill="auto"/>
          </w:tcPr>
          <w:p w14:paraId="4090E51A" w14:textId="77777777" w:rsidR="00833634" w:rsidRDefault="00833634">
            <w:pPr>
              <w:rPr>
                <w:rFonts w:ascii="宋体"/>
              </w:rPr>
            </w:pPr>
          </w:p>
        </w:tc>
        <w:tc>
          <w:tcPr>
            <w:tcW w:w="50" w:type="pct"/>
            <w:shd w:val="clear" w:color="auto" w:fill="auto"/>
          </w:tcPr>
          <w:p w14:paraId="4090E51B" w14:textId="77777777" w:rsidR="00833634" w:rsidRDefault="00833634">
            <w:pPr>
              <w:rPr>
                <w:rFonts w:ascii="宋体"/>
              </w:rPr>
            </w:pPr>
          </w:p>
        </w:tc>
        <w:tc>
          <w:tcPr>
            <w:tcW w:w="747" w:type="pct"/>
            <w:shd w:val="clear" w:color="auto" w:fill="auto"/>
          </w:tcPr>
          <w:p w14:paraId="4090E51C" w14:textId="77777777" w:rsidR="00833634" w:rsidRDefault="00833634">
            <w:pPr>
              <w:rPr>
                <w:rFonts w:ascii="宋体"/>
              </w:rPr>
            </w:pPr>
          </w:p>
        </w:tc>
        <w:tc>
          <w:tcPr>
            <w:tcW w:w="5" w:type="pct"/>
            <w:shd w:val="clear" w:color="auto" w:fill="auto"/>
          </w:tcPr>
          <w:p w14:paraId="4090E51D" w14:textId="77777777" w:rsidR="00833634" w:rsidRDefault="00833634">
            <w:pPr>
              <w:rPr>
                <w:rFonts w:ascii="宋体"/>
              </w:rPr>
            </w:pPr>
          </w:p>
        </w:tc>
        <w:tc>
          <w:tcPr>
            <w:tcW w:w="5" w:type="pct"/>
            <w:shd w:val="clear" w:color="auto" w:fill="auto"/>
          </w:tcPr>
          <w:p w14:paraId="4090E51E" w14:textId="77777777" w:rsidR="00833634" w:rsidRDefault="00833634">
            <w:pPr>
              <w:rPr>
                <w:rFonts w:ascii="宋体"/>
              </w:rPr>
            </w:pPr>
          </w:p>
        </w:tc>
        <w:tc>
          <w:tcPr>
            <w:tcW w:w="30" w:type="pct"/>
            <w:shd w:val="clear" w:color="auto" w:fill="auto"/>
          </w:tcPr>
          <w:p w14:paraId="4090E51F" w14:textId="77777777" w:rsidR="00833634" w:rsidRDefault="00833634">
            <w:pPr>
              <w:rPr>
                <w:rFonts w:ascii="宋体"/>
              </w:rPr>
            </w:pPr>
          </w:p>
        </w:tc>
        <w:tc>
          <w:tcPr>
            <w:tcW w:w="5" w:type="pct"/>
            <w:shd w:val="clear" w:color="auto" w:fill="auto"/>
          </w:tcPr>
          <w:p w14:paraId="4090E520" w14:textId="77777777" w:rsidR="00833634" w:rsidRDefault="00833634">
            <w:pPr>
              <w:rPr>
                <w:rFonts w:ascii="宋体"/>
              </w:rPr>
            </w:pPr>
          </w:p>
        </w:tc>
        <w:tc>
          <w:tcPr>
            <w:tcW w:w="50" w:type="pct"/>
            <w:shd w:val="clear" w:color="auto" w:fill="auto"/>
          </w:tcPr>
          <w:p w14:paraId="4090E521" w14:textId="77777777" w:rsidR="00833634" w:rsidRDefault="00833634">
            <w:pPr>
              <w:rPr>
                <w:rFonts w:ascii="宋体"/>
              </w:rPr>
            </w:pPr>
          </w:p>
        </w:tc>
        <w:tc>
          <w:tcPr>
            <w:tcW w:w="659" w:type="pct"/>
            <w:shd w:val="clear" w:color="auto" w:fill="auto"/>
          </w:tcPr>
          <w:p w14:paraId="4090E522" w14:textId="77777777" w:rsidR="00833634" w:rsidRDefault="00833634">
            <w:pPr>
              <w:rPr>
                <w:rFonts w:ascii="宋体"/>
              </w:rPr>
            </w:pPr>
          </w:p>
        </w:tc>
        <w:tc>
          <w:tcPr>
            <w:tcW w:w="5" w:type="pct"/>
            <w:shd w:val="clear" w:color="auto" w:fill="auto"/>
          </w:tcPr>
          <w:p w14:paraId="4090E523" w14:textId="77777777" w:rsidR="00833634" w:rsidRDefault="00833634">
            <w:pPr>
              <w:rPr>
                <w:rFonts w:ascii="宋体"/>
              </w:rPr>
            </w:pPr>
          </w:p>
        </w:tc>
      </w:tr>
      <w:tr w:rsidR="00833634" w14:paraId="4090E529" w14:textId="77777777">
        <w:tc>
          <w:tcPr>
            <w:tcW w:w="0" w:type="auto"/>
            <w:gridSpan w:val="3"/>
            <w:shd w:val="clear" w:color="auto" w:fill="auto"/>
            <w:tcMar>
              <w:top w:w="0" w:type="dxa"/>
              <w:left w:w="20" w:type="dxa"/>
              <w:bottom w:w="0" w:type="dxa"/>
              <w:right w:w="20" w:type="dxa"/>
            </w:tcMar>
          </w:tcPr>
          <w:p w14:paraId="4090E525"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526" w14:textId="77777777" w:rsidR="00833634" w:rsidRDefault="00E15D51">
            <w:pPr>
              <w:jc w:val="right"/>
              <w:textAlignment w:val="bottom"/>
            </w:pPr>
            <w:r>
              <w:rPr>
                <w:rFonts w:ascii="Arial" w:eastAsia="宋体" w:hAnsi="Arial" w:cs="Arial"/>
                <w:b/>
                <w:bCs/>
                <w:color w:val="000000"/>
                <w:sz w:val="20"/>
                <w:szCs w:val="20"/>
              </w:rPr>
              <w:t>September 30</w:t>
            </w:r>
            <w:r>
              <w:rPr>
                <w:rFonts w:ascii="Arial" w:eastAsia="宋体" w:hAnsi="Arial" w:cs="Arial"/>
                <w:b/>
                <w:bCs/>
                <w:color w:val="000000"/>
                <w:sz w:val="20"/>
                <w:szCs w:val="20"/>
              </w:rPr>
              <w:br/>
              <w:t>2020</w:t>
            </w:r>
          </w:p>
        </w:tc>
        <w:tc>
          <w:tcPr>
            <w:tcW w:w="0" w:type="auto"/>
            <w:gridSpan w:val="3"/>
            <w:shd w:val="clear" w:color="auto" w:fill="auto"/>
            <w:tcMar>
              <w:top w:w="0" w:type="dxa"/>
              <w:left w:w="20" w:type="dxa"/>
              <w:bottom w:w="0" w:type="dxa"/>
              <w:right w:w="20" w:type="dxa"/>
            </w:tcMar>
          </w:tcPr>
          <w:p w14:paraId="4090E527"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528" w14:textId="77777777" w:rsidR="00833634" w:rsidRDefault="00E15D51">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2019</w:t>
            </w:r>
          </w:p>
        </w:tc>
      </w:tr>
      <w:tr w:rsidR="00833634" w14:paraId="4090E530"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52A" w14:textId="77777777" w:rsidR="00833634" w:rsidRDefault="00E15D51">
            <w:pPr>
              <w:textAlignment w:val="bottom"/>
            </w:pPr>
            <w:r>
              <w:rPr>
                <w:rFonts w:ascii="Arial" w:eastAsia="宋体" w:hAnsi="Arial" w:cs="Arial"/>
                <w:color w:val="000000"/>
                <w:sz w:val="20"/>
                <w:szCs w:val="20"/>
              </w:rPr>
              <w:t>717 Aircraft ($104 and $124 accounted for as operating leases)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52B" w14:textId="77777777" w:rsidR="00833634" w:rsidRDefault="00E15D51">
            <w:pPr>
              <w:jc w:val="right"/>
              <w:textAlignment w:val="bottom"/>
            </w:pPr>
            <w:r>
              <w:rPr>
                <w:rFonts w:ascii="Arial" w:eastAsia="宋体" w:hAnsi="Arial" w:cs="Arial"/>
                <w:b/>
                <w:bCs/>
                <w:color w:val="000000"/>
                <w:sz w:val="20"/>
                <w:szCs w:val="20"/>
              </w:rPr>
              <w:t>$658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52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52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52E" w14:textId="77777777" w:rsidR="00833634" w:rsidRDefault="00E15D51">
            <w:pPr>
              <w:jc w:val="right"/>
              <w:textAlignment w:val="bottom"/>
            </w:pPr>
            <w:r>
              <w:rPr>
                <w:rFonts w:ascii="Arial" w:eastAsia="宋体" w:hAnsi="Arial" w:cs="Arial"/>
                <w:color w:val="000000"/>
                <w:sz w:val="20"/>
                <w:szCs w:val="20"/>
              </w:rPr>
              <w:t>$736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52F" w14:textId="77777777" w:rsidR="00833634" w:rsidRDefault="00833634">
            <w:pPr>
              <w:jc w:val="right"/>
              <w:rPr>
                <w:rFonts w:ascii="宋体"/>
              </w:rPr>
            </w:pPr>
          </w:p>
        </w:tc>
      </w:tr>
      <w:tr w:rsidR="00833634" w14:paraId="4090E537" w14:textId="77777777">
        <w:tc>
          <w:tcPr>
            <w:tcW w:w="0" w:type="auto"/>
            <w:gridSpan w:val="3"/>
            <w:shd w:val="clear" w:color="auto" w:fill="auto"/>
            <w:tcMar>
              <w:top w:w="40" w:type="dxa"/>
              <w:left w:w="20" w:type="dxa"/>
              <w:bottom w:w="40" w:type="dxa"/>
              <w:right w:w="20" w:type="dxa"/>
            </w:tcMar>
            <w:vAlign w:val="bottom"/>
          </w:tcPr>
          <w:p w14:paraId="4090E531" w14:textId="77777777" w:rsidR="00833634" w:rsidRDefault="00E15D51">
            <w:pPr>
              <w:textAlignment w:val="bottom"/>
            </w:pPr>
            <w:r>
              <w:rPr>
                <w:rFonts w:ascii="Arial" w:eastAsia="宋体" w:hAnsi="Arial" w:cs="Arial"/>
                <w:color w:val="000000"/>
                <w:sz w:val="20"/>
                <w:szCs w:val="20"/>
              </w:rPr>
              <w:t xml:space="preserve">747-8 Aircraft ($123 and </w:t>
            </w:r>
            <w:r>
              <w:rPr>
                <w:rFonts w:ascii="Arial" w:eastAsia="宋体" w:hAnsi="Arial" w:cs="Arial"/>
                <w:color w:val="000000"/>
                <w:sz w:val="20"/>
                <w:szCs w:val="20"/>
              </w:rPr>
              <w:t>$130 accounted for as operating leases)</w:t>
            </w:r>
          </w:p>
        </w:tc>
        <w:tc>
          <w:tcPr>
            <w:tcW w:w="0" w:type="auto"/>
            <w:gridSpan w:val="2"/>
            <w:shd w:val="clear" w:color="auto" w:fill="FFFFFF"/>
            <w:tcMar>
              <w:top w:w="40" w:type="dxa"/>
              <w:left w:w="20" w:type="dxa"/>
              <w:bottom w:w="40" w:type="dxa"/>
              <w:right w:w="0" w:type="dxa"/>
            </w:tcMar>
            <w:vAlign w:val="bottom"/>
          </w:tcPr>
          <w:p w14:paraId="4090E532" w14:textId="77777777" w:rsidR="00833634" w:rsidRDefault="00E15D51">
            <w:pPr>
              <w:jc w:val="right"/>
              <w:textAlignment w:val="bottom"/>
            </w:pPr>
            <w:r>
              <w:rPr>
                <w:rFonts w:ascii="Arial" w:eastAsia="宋体" w:hAnsi="Arial" w:cs="Arial"/>
                <w:b/>
                <w:bCs/>
                <w:color w:val="000000"/>
                <w:sz w:val="20"/>
                <w:szCs w:val="20"/>
              </w:rPr>
              <w:t>482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533"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E534"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E535" w14:textId="77777777" w:rsidR="00833634" w:rsidRDefault="00E15D51">
            <w:pPr>
              <w:jc w:val="right"/>
              <w:textAlignment w:val="bottom"/>
            </w:pPr>
            <w:r>
              <w:rPr>
                <w:rFonts w:ascii="Arial" w:eastAsia="宋体" w:hAnsi="Arial" w:cs="Arial"/>
                <w:color w:val="000000"/>
                <w:sz w:val="20"/>
                <w:szCs w:val="20"/>
              </w:rPr>
              <w:t>475 </w:t>
            </w:r>
          </w:p>
        </w:tc>
        <w:tc>
          <w:tcPr>
            <w:tcW w:w="0" w:type="auto"/>
            <w:shd w:val="clear" w:color="auto" w:fill="auto"/>
            <w:tcMar>
              <w:top w:w="40" w:type="dxa"/>
              <w:left w:w="0" w:type="dxa"/>
              <w:bottom w:w="40" w:type="dxa"/>
              <w:right w:w="20" w:type="dxa"/>
            </w:tcMar>
            <w:vAlign w:val="bottom"/>
          </w:tcPr>
          <w:p w14:paraId="4090E536" w14:textId="77777777" w:rsidR="00833634" w:rsidRDefault="00833634">
            <w:pPr>
              <w:jc w:val="right"/>
              <w:rPr>
                <w:rFonts w:ascii="宋体"/>
              </w:rPr>
            </w:pPr>
          </w:p>
        </w:tc>
      </w:tr>
      <w:tr w:rsidR="00833634" w14:paraId="4090E53E" w14:textId="77777777">
        <w:tc>
          <w:tcPr>
            <w:tcW w:w="0" w:type="auto"/>
            <w:gridSpan w:val="3"/>
            <w:shd w:val="clear" w:color="auto" w:fill="CCEEFF"/>
            <w:tcMar>
              <w:top w:w="40" w:type="dxa"/>
              <w:left w:w="20" w:type="dxa"/>
              <w:bottom w:w="40" w:type="dxa"/>
              <w:right w:w="20" w:type="dxa"/>
            </w:tcMar>
            <w:vAlign w:val="bottom"/>
          </w:tcPr>
          <w:p w14:paraId="4090E538" w14:textId="77777777" w:rsidR="00833634" w:rsidRDefault="00E15D51">
            <w:pPr>
              <w:textAlignment w:val="bottom"/>
            </w:pPr>
            <w:r>
              <w:rPr>
                <w:rFonts w:ascii="Arial" w:eastAsia="宋体" w:hAnsi="Arial" w:cs="Arial"/>
                <w:color w:val="000000"/>
                <w:sz w:val="20"/>
                <w:szCs w:val="20"/>
              </w:rPr>
              <w:t>737 Aircraft ($220 and $240 accounted for as operating leases)</w:t>
            </w:r>
          </w:p>
        </w:tc>
        <w:tc>
          <w:tcPr>
            <w:tcW w:w="0" w:type="auto"/>
            <w:gridSpan w:val="2"/>
            <w:shd w:val="clear" w:color="auto" w:fill="CCEEFF"/>
            <w:tcMar>
              <w:top w:w="40" w:type="dxa"/>
              <w:left w:w="20" w:type="dxa"/>
              <w:bottom w:w="40" w:type="dxa"/>
              <w:right w:w="0" w:type="dxa"/>
            </w:tcMar>
            <w:vAlign w:val="bottom"/>
          </w:tcPr>
          <w:p w14:paraId="4090E539" w14:textId="77777777" w:rsidR="00833634" w:rsidRDefault="00E15D51">
            <w:pPr>
              <w:jc w:val="right"/>
              <w:textAlignment w:val="bottom"/>
            </w:pPr>
            <w:r>
              <w:rPr>
                <w:rFonts w:ascii="Arial" w:eastAsia="宋体" w:hAnsi="Arial" w:cs="Arial"/>
                <w:b/>
                <w:bCs/>
                <w:color w:val="000000"/>
                <w:sz w:val="20"/>
                <w:szCs w:val="20"/>
              </w:rPr>
              <w:t>242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53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53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53C" w14:textId="77777777" w:rsidR="00833634" w:rsidRDefault="00E15D51">
            <w:pPr>
              <w:jc w:val="right"/>
              <w:textAlignment w:val="bottom"/>
            </w:pPr>
            <w:r>
              <w:rPr>
                <w:rFonts w:ascii="Arial" w:eastAsia="宋体" w:hAnsi="Arial" w:cs="Arial"/>
                <w:color w:val="000000"/>
                <w:sz w:val="20"/>
                <w:szCs w:val="20"/>
              </w:rPr>
              <w:t>263 </w:t>
            </w:r>
          </w:p>
        </w:tc>
        <w:tc>
          <w:tcPr>
            <w:tcW w:w="0" w:type="auto"/>
            <w:shd w:val="clear" w:color="auto" w:fill="CCEEFF"/>
            <w:tcMar>
              <w:top w:w="40" w:type="dxa"/>
              <w:left w:w="0" w:type="dxa"/>
              <w:bottom w:w="40" w:type="dxa"/>
              <w:right w:w="20" w:type="dxa"/>
            </w:tcMar>
            <w:vAlign w:val="bottom"/>
          </w:tcPr>
          <w:p w14:paraId="4090E53D" w14:textId="77777777" w:rsidR="00833634" w:rsidRDefault="00833634">
            <w:pPr>
              <w:jc w:val="right"/>
              <w:rPr>
                <w:rFonts w:ascii="宋体"/>
              </w:rPr>
            </w:pPr>
          </w:p>
        </w:tc>
      </w:tr>
      <w:tr w:rsidR="00833634" w14:paraId="4090E545" w14:textId="77777777">
        <w:tc>
          <w:tcPr>
            <w:tcW w:w="0" w:type="auto"/>
            <w:gridSpan w:val="3"/>
            <w:shd w:val="clear" w:color="auto" w:fill="FFFFFF"/>
            <w:tcMar>
              <w:top w:w="40" w:type="dxa"/>
              <w:left w:w="20" w:type="dxa"/>
              <w:bottom w:w="40" w:type="dxa"/>
              <w:right w:w="20" w:type="dxa"/>
            </w:tcMar>
            <w:vAlign w:val="bottom"/>
          </w:tcPr>
          <w:p w14:paraId="4090E53F" w14:textId="77777777" w:rsidR="00833634" w:rsidRDefault="00E15D51">
            <w:pPr>
              <w:textAlignment w:val="bottom"/>
            </w:pPr>
            <w:r>
              <w:rPr>
                <w:rFonts w:ascii="Arial" w:eastAsia="宋体" w:hAnsi="Arial" w:cs="Arial"/>
                <w:color w:val="000000"/>
                <w:sz w:val="20"/>
                <w:szCs w:val="20"/>
              </w:rPr>
              <w:t>777 Aircraft ($230 and $236 accounted for as operating leases)</w:t>
            </w:r>
          </w:p>
        </w:tc>
        <w:tc>
          <w:tcPr>
            <w:tcW w:w="0" w:type="auto"/>
            <w:gridSpan w:val="2"/>
            <w:shd w:val="clear" w:color="auto" w:fill="FFFFFF"/>
            <w:tcMar>
              <w:top w:w="40" w:type="dxa"/>
              <w:left w:w="20" w:type="dxa"/>
              <w:bottom w:w="40" w:type="dxa"/>
              <w:right w:w="0" w:type="dxa"/>
            </w:tcMar>
            <w:vAlign w:val="bottom"/>
          </w:tcPr>
          <w:p w14:paraId="4090E540" w14:textId="77777777" w:rsidR="00833634" w:rsidRDefault="00E15D51">
            <w:pPr>
              <w:jc w:val="right"/>
              <w:textAlignment w:val="bottom"/>
            </w:pPr>
            <w:r>
              <w:rPr>
                <w:rFonts w:ascii="Arial" w:eastAsia="宋体" w:hAnsi="Arial" w:cs="Arial"/>
                <w:b/>
                <w:bCs/>
                <w:color w:val="000000"/>
                <w:sz w:val="20"/>
                <w:szCs w:val="20"/>
              </w:rPr>
              <w:t>232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54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54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543" w14:textId="77777777" w:rsidR="00833634" w:rsidRDefault="00E15D51">
            <w:pPr>
              <w:jc w:val="right"/>
              <w:textAlignment w:val="bottom"/>
            </w:pPr>
            <w:r>
              <w:rPr>
                <w:rFonts w:ascii="Arial" w:eastAsia="宋体" w:hAnsi="Arial" w:cs="Arial"/>
                <w:color w:val="000000"/>
                <w:sz w:val="20"/>
                <w:szCs w:val="20"/>
              </w:rPr>
              <w:t>240 </w:t>
            </w:r>
          </w:p>
        </w:tc>
        <w:tc>
          <w:tcPr>
            <w:tcW w:w="0" w:type="auto"/>
            <w:shd w:val="clear" w:color="auto" w:fill="FFFFFF"/>
            <w:tcMar>
              <w:top w:w="40" w:type="dxa"/>
              <w:left w:w="0" w:type="dxa"/>
              <w:bottom w:w="40" w:type="dxa"/>
              <w:right w:w="20" w:type="dxa"/>
            </w:tcMar>
            <w:vAlign w:val="bottom"/>
          </w:tcPr>
          <w:p w14:paraId="4090E544" w14:textId="77777777" w:rsidR="00833634" w:rsidRDefault="00833634">
            <w:pPr>
              <w:jc w:val="right"/>
              <w:rPr>
                <w:rFonts w:ascii="宋体"/>
              </w:rPr>
            </w:pPr>
          </w:p>
        </w:tc>
      </w:tr>
      <w:tr w:rsidR="00833634" w14:paraId="4090E54C" w14:textId="77777777">
        <w:tc>
          <w:tcPr>
            <w:tcW w:w="0" w:type="auto"/>
            <w:gridSpan w:val="3"/>
            <w:shd w:val="clear" w:color="auto" w:fill="CCEEFF"/>
            <w:tcMar>
              <w:top w:w="40" w:type="dxa"/>
              <w:left w:w="20" w:type="dxa"/>
              <w:bottom w:w="40" w:type="dxa"/>
              <w:right w:w="20" w:type="dxa"/>
            </w:tcMar>
            <w:vAlign w:val="bottom"/>
          </w:tcPr>
          <w:p w14:paraId="4090E546" w14:textId="77777777" w:rsidR="00833634" w:rsidRDefault="00E15D51">
            <w:pPr>
              <w:textAlignment w:val="bottom"/>
            </w:pPr>
            <w:r>
              <w:rPr>
                <w:rFonts w:ascii="Arial" w:eastAsia="宋体" w:hAnsi="Arial" w:cs="Arial"/>
                <w:color w:val="000000"/>
                <w:sz w:val="20"/>
                <w:szCs w:val="20"/>
              </w:rPr>
              <w:t xml:space="preserve">MD-80 Aircraft (accounted for as </w:t>
            </w:r>
            <w:r>
              <w:rPr>
                <w:rFonts w:ascii="Arial" w:eastAsia="宋体" w:hAnsi="Arial" w:cs="Arial"/>
                <w:color w:val="000000"/>
                <w:sz w:val="20"/>
                <w:szCs w:val="20"/>
              </w:rPr>
              <w:t>sales-type finance leases)</w:t>
            </w:r>
          </w:p>
        </w:tc>
        <w:tc>
          <w:tcPr>
            <w:tcW w:w="0" w:type="auto"/>
            <w:gridSpan w:val="2"/>
            <w:shd w:val="clear" w:color="auto" w:fill="CCEEFF"/>
            <w:tcMar>
              <w:top w:w="40" w:type="dxa"/>
              <w:left w:w="20" w:type="dxa"/>
              <w:bottom w:w="40" w:type="dxa"/>
              <w:right w:w="0" w:type="dxa"/>
            </w:tcMar>
            <w:vAlign w:val="bottom"/>
          </w:tcPr>
          <w:p w14:paraId="4090E547" w14:textId="77777777" w:rsidR="00833634" w:rsidRDefault="00E15D51">
            <w:pPr>
              <w:jc w:val="right"/>
              <w:textAlignment w:val="bottom"/>
            </w:pPr>
            <w:r>
              <w:rPr>
                <w:rFonts w:ascii="Arial" w:eastAsia="宋体" w:hAnsi="Arial" w:cs="Arial"/>
                <w:b/>
                <w:bCs/>
                <w:color w:val="000000"/>
                <w:sz w:val="20"/>
                <w:szCs w:val="20"/>
              </w:rPr>
              <w:t>174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54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54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54A" w14:textId="77777777" w:rsidR="00833634" w:rsidRDefault="00E15D51">
            <w:pPr>
              <w:jc w:val="right"/>
              <w:textAlignment w:val="bottom"/>
            </w:pPr>
            <w:r>
              <w:rPr>
                <w:rFonts w:ascii="Arial" w:eastAsia="宋体" w:hAnsi="Arial" w:cs="Arial"/>
                <w:color w:val="000000"/>
                <w:sz w:val="20"/>
                <w:szCs w:val="20"/>
              </w:rPr>
              <w:t>186 </w:t>
            </w:r>
          </w:p>
        </w:tc>
        <w:tc>
          <w:tcPr>
            <w:tcW w:w="0" w:type="auto"/>
            <w:shd w:val="clear" w:color="auto" w:fill="CCEEFF"/>
            <w:tcMar>
              <w:top w:w="40" w:type="dxa"/>
              <w:left w:w="0" w:type="dxa"/>
              <w:bottom w:w="40" w:type="dxa"/>
              <w:right w:w="20" w:type="dxa"/>
            </w:tcMar>
            <w:vAlign w:val="bottom"/>
          </w:tcPr>
          <w:p w14:paraId="4090E54B" w14:textId="77777777" w:rsidR="00833634" w:rsidRDefault="00833634">
            <w:pPr>
              <w:jc w:val="right"/>
              <w:rPr>
                <w:rFonts w:ascii="宋体"/>
              </w:rPr>
            </w:pPr>
          </w:p>
        </w:tc>
      </w:tr>
      <w:tr w:rsidR="00833634" w14:paraId="4090E553" w14:textId="77777777">
        <w:tc>
          <w:tcPr>
            <w:tcW w:w="0" w:type="auto"/>
            <w:gridSpan w:val="3"/>
            <w:shd w:val="clear" w:color="auto" w:fill="FFFFFF"/>
            <w:tcMar>
              <w:top w:w="40" w:type="dxa"/>
              <w:left w:w="20" w:type="dxa"/>
              <w:bottom w:w="40" w:type="dxa"/>
              <w:right w:w="20" w:type="dxa"/>
            </w:tcMar>
            <w:vAlign w:val="bottom"/>
          </w:tcPr>
          <w:p w14:paraId="4090E54D" w14:textId="77777777" w:rsidR="00833634" w:rsidRDefault="00E15D51">
            <w:pPr>
              <w:textAlignment w:val="bottom"/>
            </w:pPr>
            <w:r>
              <w:rPr>
                <w:rFonts w:ascii="Arial" w:eastAsia="宋体" w:hAnsi="Arial" w:cs="Arial"/>
                <w:color w:val="000000"/>
                <w:sz w:val="20"/>
                <w:szCs w:val="20"/>
              </w:rPr>
              <w:t>757 Aircraft ($14 and $22 accounted for as operating leases)</w:t>
            </w:r>
          </w:p>
        </w:tc>
        <w:tc>
          <w:tcPr>
            <w:tcW w:w="0" w:type="auto"/>
            <w:gridSpan w:val="2"/>
            <w:shd w:val="clear" w:color="auto" w:fill="FFFFFF"/>
            <w:tcMar>
              <w:top w:w="40" w:type="dxa"/>
              <w:left w:w="20" w:type="dxa"/>
              <w:bottom w:w="40" w:type="dxa"/>
              <w:right w:w="0" w:type="dxa"/>
            </w:tcMar>
            <w:vAlign w:val="bottom"/>
          </w:tcPr>
          <w:p w14:paraId="4090E54E" w14:textId="77777777" w:rsidR="00833634" w:rsidRDefault="00E15D51">
            <w:pPr>
              <w:jc w:val="right"/>
              <w:textAlignment w:val="bottom"/>
            </w:pPr>
            <w:r>
              <w:rPr>
                <w:rFonts w:ascii="Arial" w:eastAsia="宋体" w:hAnsi="Arial" w:cs="Arial"/>
                <w:b/>
                <w:bCs/>
                <w:color w:val="000000"/>
                <w:sz w:val="20"/>
                <w:szCs w:val="20"/>
              </w:rPr>
              <w:t>162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54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55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551" w14:textId="77777777" w:rsidR="00833634" w:rsidRDefault="00E15D51">
            <w:pPr>
              <w:jc w:val="right"/>
              <w:textAlignment w:val="bottom"/>
            </w:pPr>
            <w:r>
              <w:rPr>
                <w:rFonts w:ascii="Arial" w:eastAsia="宋体" w:hAnsi="Arial" w:cs="Arial"/>
                <w:color w:val="000000"/>
                <w:sz w:val="20"/>
                <w:szCs w:val="20"/>
              </w:rPr>
              <w:t>182 </w:t>
            </w:r>
          </w:p>
        </w:tc>
        <w:tc>
          <w:tcPr>
            <w:tcW w:w="0" w:type="auto"/>
            <w:shd w:val="clear" w:color="auto" w:fill="FFFFFF"/>
            <w:tcMar>
              <w:top w:w="40" w:type="dxa"/>
              <w:left w:w="0" w:type="dxa"/>
              <w:bottom w:w="40" w:type="dxa"/>
              <w:right w:w="20" w:type="dxa"/>
            </w:tcMar>
            <w:vAlign w:val="bottom"/>
          </w:tcPr>
          <w:p w14:paraId="4090E552" w14:textId="77777777" w:rsidR="00833634" w:rsidRDefault="00833634">
            <w:pPr>
              <w:jc w:val="right"/>
              <w:rPr>
                <w:rFonts w:ascii="宋体"/>
              </w:rPr>
            </w:pPr>
          </w:p>
        </w:tc>
      </w:tr>
      <w:tr w:rsidR="00833634" w14:paraId="4090E55A" w14:textId="77777777">
        <w:tc>
          <w:tcPr>
            <w:tcW w:w="0" w:type="auto"/>
            <w:gridSpan w:val="3"/>
            <w:tcBorders>
              <w:bottom w:val="single" w:sz="8" w:space="0" w:color="000000"/>
            </w:tcBorders>
            <w:shd w:val="clear" w:color="auto" w:fill="CCEEFF"/>
            <w:tcMar>
              <w:top w:w="40" w:type="dxa"/>
              <w:left w:w="20" w:type="dxa"/>
              <w:bottom w:w="40" w:type="dxa"/>
              <w:right w:w="20" w:type="dxa"/>
            </w:tcMar>
            <w:vAlign w:val="bottom"/>
          </w:tcPr>
          <w:p w14:paraId="4090E554" w14:textId="77777777" w:rsidR="00833634" w:rsidRDefault="00E15D51">
            <w:pPr>
              <w:textAlignment w:val="bottom"/>
            </w:pPr>
            <w:r>
              <w:rPr>
                <w:rFonts w:ascii="Arial" w:eastAsia="宋体" w:hAnsi="Arial" w:cs="Arial"/>
                <w:color w:val="000000"/>
                <w:sz w:val="20"/>
                <w:szCs w:val="20"/>
              </w:rPr>
              <w:t>747-400 Aircraft ($27 and $31 accounted for as operating leases)</w:t>
            </w: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E555" w14:textId="77777777" w:rsidR="00833634" w:rsidRDefault="00E15D51">
            <w:pPr>
              <w:jc w:val="right"/>
              <w:textAlignment w:val="bottom"/>
            </w:pPr>
            <w:r>
              <w:rPr>
                <w:rFonts w:ascii="Arial" w:eastAsia="宋体" w:hAnsi="Arial" w:cs="Arial"/>
                <w:b/>
                <w:bCs/>
                <w:color w:val="000000"/>
                <w:sz w:val="20"/>
                <w:szCs w:val="20"/>
              </w:rPr>
              <w:t>80</w:t>
            </w:r>
            <w:r>
              <w:rPr>
                <w:rFonts w:ascii="Arial" w:eastAsia="宋体" w:hAnsi="Arial" w:cs="Arial"/>
                <w:color w:val="000000"/>
                <w:sz w:val="20"/>
                <w:szCs w:val="20"/>
              </w:rPr>
              <w:t>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E556"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E557"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E558" w14:textId="77777777" w:rsidR="00833634" w:rsidRDefault="00E15D51">
            <w:pPr>
              <w:jc w:val="right"/>
              <w:textAlignment w:val="bottom"/>
            </w:pPr>
            <w:r>
              <w:rPr>
                <w:rFonts w:ascii="Arial" w:eastAsia="宋体" w:hAnsi="Arial" w:cs="Arial"/>
                <w:color w:val="000000"/>
                <w:sz w:val="20"/>
                <w:szCs w:val="20"/>
              </w:rPr>
              <w:t>90 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E559" w14:textId="77777777" w:rsidR="00833634" w:rsidRDefault="00833634">
            <w:pPr>
              <w:jc w:val="right"/>
              <w:rPr>
                <w:rFonts w:ascii="宋体"/>
              </w:rPr>
            </w:pPr>
          </w:p>
        </w:tc>
      </w:tr>
      <w:tr w:rsidR="00833634" w14:paraId="4090E55F" w14:textId="77777777">
        <w:trPr>
          <w:hidden/>
        </w:trPr>
        <w:tc>
          <w:tcPr>
            <w:tcW w:w="0" w:type="auto"/>
            <w:gridSpan w:val="3"/>
            <w:shd w:val="clear" w:color="auto" w:fill="auto"/>
          </w:tcPr>
          <w:p w14:paraId="4090E55B" w14:textId="77777777" w:rsidR="00833634" w:rsidRDefault="00833634">
            <w:pPr>
              <w:rPr>
                <w:rFonts w:ascii="宋体"/>
                <w:vanish/>
              </w:rPr>
            </w:pPr>
          </w:p>
        </w:tc>
        <w:tc>
          <w:tcPr>
            <w:tcW w:w="0" w:type="auto"/>
            <w:gridSpan w:val="3"/>
            <w:shd w:val="clear" w:color="auto" w:fill="auto"/>
          </w:tcPr>
          <w:p w14:paraId="4090E55C" w14:textId="77777777" w:rsidR="00833634" w:rsidRDefault="00833634">
            <w:pPr>
              <w:rPr>
                <w:rFonts w:ascii="宋体"/>
                <w:vanish/>
              </w:rPr>
            </w:pPr>
          </w:p>
        </w:tc>
        <w:tc>
          <w:tcPr>
            <w:tcW w:w="0" w:type="auto"/>
            <w:gridSpan w:val="3"/>
            <w:shd w:val="clear" w:color="auto" w:fill="auto"/>
          </w:tcPr>
          <w:p w14:paraId="4090E55D" w14:textId="77777777" w:rsidR="00833634" w:rsidRDefault="00833634">
            <w:pPr>
              <w:rPr>
                <w:rFonts w:ascii="宋体"/>
                <w:vanish/>
              </w:rPr>
            </w:pPr>
          </w:p>
        </w:tc>
        <w:tc>
          <w:tcPr>
            <w:tcW w:w="0" w:type="auto"/>
            <w:gridSpan w:val="3"/>
            <w:shd w:val="clear" w:color="auto" w:fill="auto"/>
          </w:tcPr>
          <w:p w14:paraId="4090E55E" w14:textId="77777777" w:rsidR="00833634" w:rsidRDefault="00833634">
            <w:pPr>
              <w:rPr>
                <w:rFonts w:ascii="宋体"/>
                <w:vanish/>
              </w:rPr>
            </w:pPr>
          </w:p>
        </w:tc>
      </w:tr>
      <w:tr w:rsidR="00833634" w14:paraId="4090E564" w14:textId="77777777">
        <w:trPr>
          <w:hidden/>
        </w:trPr>
        <w:tc>
          <w:tcPr>
            <w:tcW w:w="0" w:type="auto"/>
            <w:gridSpan w:val="3"/>
            <w:shd w:val="clear" w:color="auto" w:fill="auto"/>
          </w:tcPr>
          <w:p w14:paraId="4090E560" w14:textId="77777777" w:rsidR="00833634" w:rsidRDefault="00833634">
            <w:pPr>
              <w:rPr>
                <w:rFonts w:ascii="宋体"/>
                <w:vanish/>
              </w:rPr>
            </w:pPr>
          </w:p>
        </w:tc>
        <w:tc>
          <w:tcPr>
            <w:tcW w:w="0" w:type="auto"/>
            <w:gridSpan w:val="3"/>
            <w:shd w:val="clear" w:color="auto" w:fill="auto"/>
          </w:tcPr>
          <w:p w14:paraId="4090E561" w14:textId="77777777" w:rsidR="00833634" w:rsidRDefault="00833634">
            <w:pPr>
              <w:rPr>
                <w:rFonts w:ascii="宋体"/>
                <w:vanish/>
              </w:rPr>
            </w:pPr>
          </w:p>
        </w:tc>
        <w:tc>
          <w:tcPr>
            <w:tcW w:w="0" w:type="auto"/>
            <w:gridSpan w:val="3"/>
            <w:shd w:val="clear" w:color="auto" w:fill="auto"/>
          </w:tcPr>
          <w:p w14:paraId="4090E562" w14:textId="77777777" w:rsidR="00833634" w:rsidRDefault="00833634">
            <w:pPr>
              <w:rPr>
                <w:rFonts w:ascii="宋体"/>
                <w:vanish/>
              </w:rPr>
            </w:pPr>
          </w:p>
        </w:tc>
        <w:tc>
          <w:tcPr>
            <w:tcW w:w="0" w:type="auto"/>
            <w:gridSpan w:val="3"/>
            <w:shd w:val="clear" w:color="auto" w:fill="auto"/>
          </w:tcPr>
          <w:p w14:paraId="4090E563" w14:textId="77777777" w:rsidR="00833634" w:rsidRDefault="00833634">
            <w:pPr>
              <w:rPr>
                <w:rFonts w:ascii="宋体"/>
                <w:vanish/>
              </w:rPr>
            </w:pPr>
          </w:p>
        </w:tc>
      </w:tr>
    </w:tbl>
    <w:p w14:paraId="4090E565" w14:textId="77777777" w:rsidR="00833634" w:rsidRDefault="00E15D51">
      <w:pPr>
        <w:spacing w:after="300"/>
        <w:jc w:val="both"/>
      </w:pPr>
      <w:r>
        <w:rPr>
          <w:rFonts w:ascii="Arial" w:eastAsia="宋体" w:hAnsi="Arial" w:cs="Arial"/>
          <w:color w:val="000000"/>
          <w:sz w:val="20"/>
          <w:szCs w:val="20"/>
        </w:rPr>
        <w:t xml:space="preserve">Lease income recorded in Revenue on the </w:t>
      </w:r>
      <w:r>
        <w:rPr>
          <w:rFonts w:ascii="Arial" w:eastAsia="宋体" w:hAnsi="Arial" w:cs="Arial"/>
          <w:color w:val="000000"/>
          <w:sz w:val="20"/>
          <w:szCs w:val="20"/>
        </w:rPr>
        <w:t>Condensed Consolidated Statements of Operations for the nine months ended September 30, 2020 and 2019 included $44 and $47 from sales-type/finance leases, and $99 and $105 from operating leases, of which $6 and $14 related to variable operating lease payme</w:t>
      </w:r>
      <w:r>
        <w:rPr>
          <w:rFonts w:ascii="Arial" w:eastAsia="宋体" w:hAnsi="Arial" w:cs="Arial"/>
          <w:color w:val="000000"/>
          <w:sz w:val="20"/>
          <w:szCs w:val="20"/>
        </w:rPr>
        <w:t xml:space="preserve">nts. Lease income recorded in Revenue on the Condensed Consolidated Statements of Operations for the three months ended September 30, 2020 and 2019 included $15 and $15 from sales-type/finance leases, and $37 and $34 from operating leases, of which $2 and </w:t>
      </w:r>
      <w:r>
        <w:rPr>
          <w:rFonts w:ascii="Arial" w:eastAsia="宋体" w:hAnsi="Arial" w:cs="Arial"/>
          <w:color w:val="000000"/>
          <w:sz w:val="20"/>
          <w:szCs w:val="20"/>
        </w:rPr>
        <w:t>$6 related to variable operating lease payments.</w:t>
      </w:r>
    </w:p>
    <w:p w14:paraId="4090E566" w14:textId="77777777" w:rsidR="00833634" w:rsidRDefault="00E15D51">
      <w:pPr>
        <w:spacing w:before="300" w:after="180"/>
        <w:jc w:val="both"/>
      </w:pPr>
      <w:r>
        <w:rPr>
          <w:rFonts w:ascii="Arial" w:eastAsia="宋体" w:hAnsi="Arial" w:cs="Arial"/>
          <w:b/>
          <w:bCs/>
          <w:color w:val="000000"/>
          <w:sz w:val="20"/>
          <w:szCs w:val="20"/>
        </w:rPr>
        <w:t xml:space="preserve">Note 9 – Investments </w:t>
      </w:r>
    </w:p>
    <w:p w14:paraId="4090E567" w14:textId="77777777" w:rsidR="00833634" w:rsidRDefault="00E15D51">
      <w:pPr>
        <w:jc w:val="both"/>
      </w:pPr>
      <w:r>
        <w:rPr>
          <w:rFonts w:ascii="Arial" w:eastAsia="宋体" w:hAnsi="Arial" w:cs="Arial"/>
          <w:color w:val="000000"/>
          <w:sz w:val="20"/>
          <w:szCs w:val="20"/>
        </w:rPr>
        <w:t>Our investments, which are recorded in Short-term and other investments or Investments, consisted of the following:</w:t>
      </w:r>
    </w:p>
    <w:tbl>
      <w:tblPr>
        <w:tblW w:w="4992" w:type="pct"/>
        <w:tblCellMar>
          <w:top w:w="15" w:type="dxa"/>
          <w:left w:w="15" w:type="dxa"/>
          <w:bottom w:w="15" w:type="dxa"/>
          <w:right w:w="15" w:type="dxa"/>
        </w:tblCellMar>
        <w:tblLook w:val="04A0" w:firstRow="1" w:lastRow="0" w:firstColumn="1" w:lastColumn="0" w:noHBand="0" w:noVBand="1"/>
      </w:tblPr>
      <w:tblGrid>
        <w:gridCol w:w="63"/>
        <w:gridCol w:w="5675"/>
        <w:gridCol w:w="37"/>
        <w:gridCol w:w="70"/>
        <w:gridCol w:w="1163"/>
        <w:gridCol w:w="36"/>
        <w:gridCol w:w="36"/>
        <w:gridCol w:w="36"/>
        <w:gridCol w:w="36"/>
        <w:gridCol w:w="68"/>
        <w:gridCol w:w="1067"/>
        <w:gridCol w:w="36"/>
      </w:tblGrid>
      <w:tr w:rsidR="00833634" w14:paraId="4090E574" w14:textId="77777777">
        <w:tc>
          <w:tcPr>
            <w:tcW w:w="50" w:type="pct"/>
            <w:shd w:val="clear" w:color="auto" w:fill="auto"/>
          </w:tcPr>
          <w:p w14:paraId="4090E568" w14:textId="77777777" w:rsidR="00833634" w:rsidRDefault="00833634">
            <w:pPr>
              <w:rPr>
                <w:rFonts w:ascii="宋体"/>
              </w:rPr>
            </w:pPr>
          </w:p>
        </w:tc>
        <w:tc>
          <w:tcPr>
            <w:tcW w:w="3420" w:type="pct"/>
            <w:shd w:val="clear" w:color="auto" w:fill="auto"/>
          </w:tcPr>
          <w:p w14:paraId="4090E569" w14:textId="77777777" w:rsidR="00833634" w:rsidRDefault="00833634">
            <w:pPr>
              <w:rPr>
                <w:rFonts w:ascii="宋体"/>
              </w:rPr>
            </w:pPr>
          </w:p>
        </w:tc>
        <w:tc>
          <w:tcPr>
            <w:tcW w:w="5" w:type="pct"/>
            <w:shd w:val="clear" w:color="auto" w:fill="auto"/>
          </w:tcPr>
          <w:p w14:paraId="4090E56A" w14:textId="77777777" w:rsidR="00833634" w:rsidRDefault="00833634">
            <w:pPr>
              <w:rPr>
                <w:rFonts w:ascii="宋体"/>
              </w:rPr>
            </w:pPr>
          </w:p>
        </w:tc>
        <w:tc>
          <w:tcPr>
            <w:tcW w:w="50" w:type="pct"/>
            <w:shd w:val="clear" w:color="auto" w:fill="auto"/>
          </w:tcPr>
          <w:p w14:paraId="4090E56B" w14:textId="77777777" w:rsidR="00833634" w:rsidRDefault="00833634">
            <w:pPr>
              <w:rPr>
                <w:rFonts w:ascii="宋体"/>
              </w:rPr>
            </w:pPr>
          </w:p>
        </w:tc>
        <w:tc>
          <w:tcPr>
            <w:tcW w:w="715" w:type="pct"/>
            <w:shd w:val="clear" w:color="auto" w:fill="auto"/>
          </w:tcPr>
          <w:p w14:paraId="4090E56C" w14:textId="77777777" w:rsidR="00833634" w:rsidRDefault="00833634">
            <w:pPr>
              <w:rPr>
                <w:rFonts w:ascii="宋体"/>
              </w:rPr>
            </w:pPr>
          </w:p>
        </w:tc>
        <w:tc>
          <w:tcPr>
            <w:tcW w:w="5" w:type="pct"/>
            <w:shd w:val="clear" w:color="auto" w:fill="auto"/>
          </w:tcPr>
          <w:p w14:paraId="4090E56D" w14:textId="77777777" w:rsidR="00833634" w:rsidRDefault="00833634">
            <w:pPr>
              <w:rPr>
                <w:rFonts w:ascii="宋体"/>
              </w:rPr>
            </w:pPr>
          </w:p>
        </w:tc>
        <w:tc>
          <w:tcPr>
            <w:tcW w:w="5" w:type="pct"/>
            <w:shd w:val="clear" w:color="auto" w:fill="auto"/>
          </w:tcPr>
          <w:p w14:paraId="4090E56E" w14:textId="77777777" w:rsidR="00833634" w:rsidRDefault="00833634">
            <w:pPr>
              <w:rPr>
                <w:rFonts w:ascii="宋体"/>
              </w:rPr>
            </w:pPr>
          </w:p>
        </w:tc>
        <w:tc>
          <w:tcPr>
            <w:tcW w:w="30" w:type="pct"/>
            <w:shd w:val="clear" w:color="auto" w:fill="auto"/>
          </w:tcPr>
          <w:p w14:paraId="4090E56F" w14:textId="77777777" w:rsidR="00833634" w:rsidRDefault="00833634">
            <w:pPr>
              <w:rPr>
                <w:rFonts w:ascii="宋体"/>
              </w:rPr>
            </w:pPr>
          </w:p>
        </w:tc>
        <w:tc>
          <w:tcPr>
            <w:tcW w:w="5" w:type="pct"/>
            <w:shd w:val="clear" w:color="auto" w:fill="auto"/>
          </w:tcPr>
          <w:p w14:paraId="4090E570" w14:textId="77777777" w:rsidR="00833634" w:rsidRDefault="00833634">
            <w:pPr>
              <w:rPr>
                <w:rFonts w:ascii="宋体"/>
              </w:rPr>
            </w:pPr>
          </w:p>
        </w:tc>
        <w:tc>
          <w:tcPr>
            <w:tcW w:w="50" w:type="pct"/>
            <w:shd w:val="clear" w:color="auto" w:fill="auto"/>
          </w:tcPr>
          <w:p w14:paraId="4090E571" w14:textId="77777777" w:rsidR="00833634" w:rsidRDefault="00833634">
            <w:pPr>
              <w:rPr>
                <w:rFonts w:ascii="宋体"/>
              </w:rPr>
            </w:pPr>
          </w:p>
        </w:tc>
        <w:tc>
          <w:tcPr>
            <w:tcW w:w="659" w:type="pct"/>
            <w:shd w:val="clear" w:color="auto" w:fill="auto"/>
          </w:tcPr>
          <w:p w14:paraId="4090E572" w14:textId="77777777" w:rsidR="00833634" w:rsidRDefault="00833634">
            <w:pPr>
              <w:rPr>
                <w:rFonts w:ascii="宋体"/>
              </w:rPr>
            </w:pPr>
          </w:p>
        </w:tc>
        <w:tc>
          <w:tcPr>
            <w:tcW w:w="5" w:type="pct"/>
            <w:shd w:val="clear" w:color="auto" w:fill="auto"/>
          </w:tcPr>
          <w:p w14:paraId="4090E573" w14:textId="77777777" w:rsidR="00833634" w:rsidRDefault="00833634">
            <w:pPr>
              <w:rPr>
                <w:rFonts w:ascii="宋体"/>
              </w:rPr>
            </w:pPr>
          </w:p>
        </w:tc>
      </w:tr>
      <w:tr w:rsidR="00833634" w14:paraId="4090E579" w14:textId="77777777">
        <w:tc>
          <w:tcPr>
            <w:tcW w:w="0" w:type="auto"/>
            <w:gridSpan w:val="3"/>
            <w:shd w:val="clear" w:color="auto" w:fill="auto"/>
            <w:tcMar>
              <w:top w:w="0" w:type="dxa"/>
              <w:left w:w="20" w:type="dxa"/>
              <w:bottom w:w="0" w:type="dxa"/>
              <w:right w:w="20" w:type="dxa"/>
            </w:tcMar>
          </w:tcPr>
          <w:p w14:paraId="4090E575"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576" w14:textId="77777777" w:rsidR="00833634" w:rsidRDefault="00E15D51">
            <w:pPr>
              <w:jc w:val="right"/>
              <w:textAlignment w:val="bottom"/>
            </w:pPr>
            <w:r>
              <w:rPr>
                <w:rFonts w:ascii="Arial" w:eastAsia="宋体" w:hAnsi="Arial" w:cs="Arial"/>
                <w:b/>
                <w:bCs/>
                <w:color w:val="000000"/>
                <w:sz w:val="20"/>
                <w:szCs w:val="20"/>
              </w:rPr>
              <w:t>September 30</w:t>
            </w:r>
            <w:r>
              <w:rPr>
                <w:rFonts w:ascii="Arial" w:eastAsia="宋体" w:hAnsi="Arial" w:cs="Arial"/>
                <w:b/>
                <w:bCs/>
                <w:color w:val="000000"/>
                <w:sz w:val="20"/>
                <w:szCs w:val="20"/>
              </w:rPr>
              <w:br/>
              <w:t>2020</w:t>
            </w:r>
          </w:p>
        </w:tc>
        <w:tc>
          <w:tcPr>
            <w:tcW w:w="0" w:type="auto"/>
            <w:gridSpan w:val="3"/>
            <w:shd w:val="clear" w:color="auto" w:fill="auto"/>
            <w:tcMar>
              <w:top w:w="0" w:type="dxa"/>
              <w:left w:w="20" w:type="dxa"/>
              <w:bottom w:w="0" w:type="dxa"/>
              <w:right w:w="20" w:type="dxa"/>
            </w:tcMar>
          </w:tcPr>
          <w:p w14:paraId="4090E577"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578" w14:textId="77777777" w:rsidR="00833634" w:rsidRDefault="00E15D51">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2019</w:t>
            </w:r>
          </w:p>
        </w:tc>
      </w:tr>
      <w:tr w:rsidR="00833634" w14:paraId="4090E580"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57A" w14:textId="77777777" w:rsidR="00833634" w:rsidRDefault="00E15D51">
            <w:pPr>
              <w:textAlignment w:val="bottom"/>
            </w:pPr>
            <w:r>
              <w:rPr>
                <w:rFonts w:ascii="Arial" w:eastAsia="宋体" w:hAnsi="Arial" w:cs="Arial"/>
                <w:color w:val="000000"/>
                <w:sz w:val="20"/>
                <w:szCs w:val="20"/>
              </w:rPr>
              <w:t xml:space="preserve">Equity method investments </w:t>
            </w:r>
            <w:r>
              <w:rPr>
                <w:rFonts w:ascii="Arial" w:eastAsia="宋体" w:hAnsi="Arial" w:cs="Arial"/>
                <w:color w:val="000000"/>
                <w:sz w:val="13"/>
                <w:szCs w:val="13"/>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57B" w14:textId="77777777" w:rsidR="00833634" w:rsidRDefault="00E15D51">
            <w:pPr>
              <w:jc w:val="right"/>
              <w:textAlignment w:val="bottom"/>
            </w:pPr>
            <w:r>
              <w:rPr>
                <w:rFonts w:ascii="Arial" w:eastAsia="宋体" w:hAnsi="Arial" w:cs="Arial"/>
                <w:b/>
                <w:bCs/>
                <w:color w:val="000000"/>
                <w:sz w:val="20"/>
                <w:szCs w:val="20"/>
              </w:rPr>
              <w:t>$981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57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57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57E" w14:textId="77777777" w:rsidR="00833634" w:rsidRDefault="00E15D51">
            <w:pPr>
              <w:jc w:val="right"/>
              <w:textAlignment w:val="bottom"/>
            </w:pPr>
            <w:r>
              <w:rPr>
                <w:rFonts w:ascii="Arial" w:eastAsia="宋体" w:hAnsi="Arial" w:cs="Arial"/>
                <w:color w:val="000000"/>
                <w:sz w:val="20"/>
                <w:szCs w:val="20"/>
              </w:rPr>
              <w:t>$1,031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57F" w14:textId="77777777" w:rsidR="00833634" w:rsidRDefault="00833634">
            <w:pPr>
              <w:jc w:val="right"/>
              <w:rPr>
                <w:rFonts w:ascii="宋体"/>
              </w:rPr>
            </w:pPr>
          </w:p>
        </w:tc>
      </w:tr>
      <w:tr w:rsidR="00833634" w14:paraId="4090E587" w14:textId="77777777">
        <w:tc>
          <w:tcPr>
            <w:tcW w:w="0" w:type="auto"/>
            <w:gridSpan w:val="3"/>
            <w:shd w:val="clear" w:color="auto" w:fill="FFFFFF"/>
            <w:tcMar>
              <w:top w:w="40" w:type="dxa"/>
              <w:left w:w="20" w:type="dxa"/>
              <w:bottom w:w="40" w:type="dxa"/>
              <w:right w:w="20" w:type="dxa"/>
            </w:tcMar>
            <w:vAlign w:val="bottom"/>
          </w:tcPr>
          <w:p w14:paraId="4090E581" w14:textId="77777777" w:rsidR="00833634" w:rsidRDefault="00E15D51">
            <w:pPr>
              <w:textAlignment w:val="bottom"/>
            </w:pPr>
            <w:r>
              <w:rPr>
                <w:rFonts w:ascii="Arial" w:eastAsia="宋体" w:hAnsi="Arial" w:cs="Arial"/>
                <w:color w:val="000000"/>
                <w:sz w:val="20"/>
                <w:szCs w:val="20"/>
              </w:rPr>
              <w:t>Time deposits</w:t>
            </w:r>
          </w:p>
        </w:tc>
        <w:tc>
          <w:tcPr>
            <w:tcW w:w="0" w:type="auto"/>
            <w:gridSpan w:val="2"/>
            <w:shd w:val="clear" w:color="auto" w:fill="FFFFFF"/>
            <w:tcMar>
              <w:top w:w="40" w:type="dxa"/>
              <w:left w:w="20" w:type="dxa"/>
              <w:bottom w:w="40" w:type="dxa"/>
              <w:right w:w="0" w:type="dxa"/>
            </w:tcMar>
            <w:vAlign w:val="bottom"/>
          </w:tcPr>
          <w:p w14:paraId="4090E582" w14:textId="77777777" w:rsidR="00833634" w:rsidRDefault="00E15D51">
            <w:pPr>
              <w:jc w:val="right"/>
              <w:textAlignment w:val="bottom"/>
            </w:pPr>
            <w:r>
              <w:rPr>
                <w:rFonts w:ascii="Arial" w:eastAsia="宋体" w:hAnsi="Arial" w:cs="Arial"/>
                <w:b/>
                <w:bCs/>
                <w:color w:val="000000"/>
                <w:sz w:val="20"/>
                <w:szCs w:val="20"/>
              </w:rPr>
              <w:t>15,868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58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58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585" w14:textId="77777777" w:rsidR="00833634" w:rsidRDefault="00E15D51">
            <w:pPr>
              <w:jc w:val="right"/>
              <w:textAlignment w:val="bottom"/>
            </w:pPr>
            <w:r>
              <w:rPr>
                <w:rFonts w:ascii="Arial" w:eastAsia="宋体" w:hAnsi="Arial" w:cs="Arial"/>
                <w:color w:val="000000"/>
                <w:sz w:val="20"/>
                <w:szCs w:val="20"/>
              </w:rPr>
              <w:t>50 </w:t>
            </w:r>
          </w:p>
        </w:tc>
        <w:tc>
          <w:tcPr>
            <w:tcW w:w="0" w:type="auto"/>
            <w:shd w:val="clear" w:color="auto" w:fill="FFFFFF"/>
            <w:tcMar>
              <w:top w:w="40" w:type="dxa"/>
              <w:left w:w="0" w:type="dxa"/>
              <w:bottom w:w="40" w:type="dxa"/>
              <w:right w:w="20" w:type="dxa"/>
            </w:tcMar>
            <w:vAlign w:val="bottom"/>
          </w:tcPr>
          <w:p w14:paraId="4090E586" w14:textId="77777777" w:rsidR="00833634" w:rsidRDefault="00833634">
            <w:pPr>
              <w:jc w:val="right"/>
              <w:rPr>
                <w:rFonts w:ascii="宋体"/>
              </w:rPr>
            </w:pPr>
          </w:p>
        </w:tc>
      </w:tr>
      <w:tr w:rsidR="00833634" w14:paraId="4090E58E" w14:textId="77777777">
        <w:tc>
          <w:tcPr>
            <w:tcW w:w="0" w:type="auto"/>
            <w:gridSpan w:val="3"/>
            <w:shd w:val="clear" w:color="auto" w:fill="CCEEFF"/>
            <w:tcMar>
              <w:top w:w="40" w:type="dxa"/>
              <w:left w:w="20" w:type="dxa"/>
              <w:bottom w:w="40" w:type="dxa"/>
              <w:right w:w="20" w:type="dxa"/>
            </w:tcMar>
            <w:vAlign w:val="bottom"/>
          </w:tcPr>
          <w:p w14:paraId="4090E588" w14:textId="77777777" w:rsidR="00833634" w:rsidRDefault="00E15D51">
            <w:pPr>
              <w:textAlignment w:val="bottom"/>
            </w:pPr>
            <w:r>
              <w:rPr>
                <w:rFonts w:ascii="Arial" w:eastAsia="宋体" w:hAnsi="Arial" w:cs="Arial"/>
                <w:color w:val="000000"/>
                <w:sz w:val="20"/>
                <w:szCs w:val="20"/>
              </w:rPr>
              <w:t>Available for sale debt instruments</w:t>
            </w:r>
          </w:p>
        </w:tc>
        <w:tc>
          <w:tcPr>
            <w:tcW w:w="0" w:type="auto"/>
            <w:gridSpan w:val="2"/>
            <w:shd w:val="clear" w:color="auto" w:fill="CCEEFF"/>
            <w:tcMar>
              <w:top w:w="40" w:type="dxa"/>
              <w:left w:w="20" w:type="dxa"/>
              <w:bottom w:w="40" w:type="dxa"/>
              <w:right w:w="0" w:type="dxa"/>
            </w:tcMar>
            <w:vAlign w:val="bottom"/>
          </w:tcPr>
          <w:p w14:paraId="4090E589" w14:textId="77777777" w:rsidR="00833634" w:rsidRDefault="00E15D51">
            <w:pPr>
              <w:jc w:val="right"/>
              <w:textAlignment w:val="bottom"/>
            </w:pPr>
            <w:r>
              <w:rPr>
                <w:rFonts w:ascii="Arial" w:eastAsia="宋体" w:hAnsi="Arial" w:cs="Arial"/>
                <w:b/>
                <w:bCs/>
                <w:color w:val="000000"/>
                <w:sz w:val="20"/>
                <w:szCs w:val="20"/>
              </w:rPr>
              <w:t>596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58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58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58C" w14:textId="77777777" w:rsidR="00833634" w:rsidRDefault="00E15D51">
            <w:pPr>
              <w:jc w:val="right"/>
              <w:textAlignment w:val="bottom"/>
            </w:pPr>
            <w:r>
              <w:rPr>
                <w:rFonts w:ascii="Arial" w:eastAsia="宋体" w:hAnsi="Arial" w:cs="Arial"/>
                <w:color w:val="000000"/>
                <w:sz w:val="20"/>
                <w:szCs w:val="20"/>
              </w:rPr>
              <w:t>405 </w:t>
            </w:r>
          </w:p>
        </w:tc>
        <w:tc>
          <w:tcPr>
            <w:tcW w:w="0" w:type="auto"/>
            <w:shd w:val="clear" w:color="auto" w:fill="CCEEFF"/>
            <w:tcMar>
              <w:top w:w="40" w:type="dxa"/>
              <w:left w:w="0" w:type="dxa"/>
              <w:bottom w:w="40" w:type="dxa"/>
              <w:right w:w="20" w:type="dxa"/>
            </w:tcMar>
            <w:vAlign w:val="bottom"/>
          </w:tcPr>
          <w:p w14:paraId="4090E58D" w14:textId="77777777" w:rsidR="00833634" w:rsidRDefault="00833634">
            <w:pPr>
              <w:jc w:val="right"/>
              <w:rPr>
                <w:rFonts w:ascii="宋体"/>
              </w:rPr>
            </w:pPr>
          </w:p>
        </w:tc>
      </w:tr>
      <w:tr w:rsidR="00833634" w14:paraId="4090E595" w14:textId="77777777">
        <w:tc>
          <w:tcPr>
            <w:tcW w:w="0" w:type="auto"/>
            <w:gridSpan w:val="3"/>
            <w:shd w:val="clear" w:color="auto" w:fill="FFFFFF"/>
            <w:tcMar>
              <w:top w:w="40" w:type="dxa"/>
              <w:left w:w="20" w:type="dxa"/>
              <w:bottom w:w="40" w:type="dxa"/>
              <w:right w:w="20" w:type="dxa"/>
            </w:tcMar>
            <w:vAlign w:val="bottom"/>
          </w:tcPr>
          <w:p w14:paraId="4090E58F" w14:textId="77777777" w:rsidR="00833634" w:rsidRDefault="00E15D51">
            <w:pPr>
              <w:textAlignment w:val="bottom"/>
            </w:pPr>
            <w:r>
              <w:rPr>
                <w:rFonts w:ascii="Arial" w:eastAsia="宋体" w:hAnsi="Arial" w:cs="Arial"/>
                <w:color w:val="000000"/>
                <w:sz w:val="20"/>
                <w:szCs w:val="20"/>
              </w:rPr>
              <w:t>Equity and other investments</w:t>
            </w:r>
          </w:p>
        </w:tc>
        <w:tc>
          <w:tcPr>
            <w:tcW w:w="0" w:type="auto"/>
            <w:gridSpan w:val="2"/>
            <w:shd w:val="clear" w:color="auto" w:fill="FFFFFF"/>
            <w:tcMar>
              <w:top w:w="40" w:type="dxa"/>
              <w:left w:w="20" w:type="dxa"/>
              <w:bottom w:w="40" w:type="dxa"/>
              <w:right w:w="0" w:type="dxa"/>
            </w:tcMar>
            <w:vAlign w:val="bottom"/>
          </w:tcPr>
          <w:p w14:paraId="4090E590" w14:textId="77777777" w:rsidR="00833634" w:rsidRDefault="00E15D51">
            <w:pPr>
              <w:jc w:val="right"/>
              <w:textAlignment w:val="bottom"/>
            </w:pPr>
            <w:r>
              <w:rPr>
                <w:rFonts w:ascii="Arial" w:eastAsia="宋体" w:hAnsi="Arial" w:cs="Arial"/>
                <w:b/>
                <w:bCs/>
                <w:color w:val="000000"/>
                <w:sz w:val="20"/>
                <w:szCs w:val="20"/>
              </w:rPr>
              <w:t>76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59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59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593" w14:textId="77777777" w:rsidR="00833634" w:rsidRDefault="00E15D51">
            <w:pPr>
              <w:jc w:val="right"/>
              <w:textAlignment w:val="bottom"/>
            </w:pPr>
            <w:r>
              <w:rPr>
                <w:rFonts w:ascii="Arial" w:eastAsia="宋体" w:hAnsi="Arial" w:cs="Arial"/>
                <w:color w:val="000000"/>
                <w:sz w:val="20"/>
                <w:szCs w:val="20"/>
              </w:rPr>
              <w:t>65 </w:t>
            </w:r>
          </w:p>
        </w:tc>
        <w:tc>
          <w:tcPr>
            <w:tcW w:w="0" w:type="auto"/>
            <w:shd w:val="clear" w:color="auto" w:fill="FFFFFF"/>
            <w:tcMar>
              <w:top w:w="40" w:type="dxa"/>
              <w:left w:w="0" w:type="dxa"/>
              <w:bottom w:w="40" w:type="dxa"/>
              <w:right w:w="20" w:type="dxa"/>
            </w:tcMar>
            <w:vAlign w:val="bottom"/>
          </w:tcPr>
          <w:p w14:paraId="4090E594" w14:textId="77777777" w:rsidR="00833634" w:rsidRDefault="00833634">
            <w:pPr>
              <w:jc w:val="right"/>
              <w:rPr>
                <w:rFonts w:ascii="宋体"/>
              </w:rPr>
            </w:pPr>
          </w:p>
        </w:tc>
      </w:tr>
      <w:tr w:rsidR="00833634" w14:paraId="4090E59C" w14:textId="77777777">
        <w:tc>
          <w:tcPr>
            <w:tcW w:w="0" w:type="auto"/>
            <w:gridSpan w:val="3"/>
            <w:shd w:val="clear" w:color="auto" w:fill="CCEEFF"/>
            <w:tcMar>
              <w:top w:w="40" w:type="dxa"/>
              <w:left w:w="20" w:type="dxa"/>
              <w:bottom w:w="40" w:type="dxa"/>
              <w:right w:w="20" w:type="dxa"/>
            </w:tcMar>
            <w:vAlign w:val="bottom"/>
          </w:tcPr>
          <w:p w14:paraId="4090E596" w14:textId="77777777" w:rsidR="00833634" w:rsidRDefault="00E15D51">
            <w:pPr>
              <w:textAlignment w:val="bottom"/>
            </w:pPr>
            <w:r>
              <w:rPr>
                <w:rFonts w:ascii="Arial" w:eastAsia="宋体" w:hAnsi="Arial" w:cs="Arial"/>
                <w:color w:val="000000"/>
                <w:sz w:val="20"/>
                <w:szCs w:val="20"/>
              </w:rPr>
              <w:t>Restricted cash &amp; cash equivalents</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4090E597" w14:textId="77777777" w:rsidR="00833634" w:rsidRDefault="00E15D51">
            <w:pPr>
              <w:jc w:val="right"/>
              <w:textAlignment w:val="bottom"/>
            </w:pPr>
            <w:r>
              <w:rPr>
                <w:rFonts w:ascii="Arial" w:eastAsia="宋体" w:hAnsi="Arial" w:cs="Arial"/>
                <w:b/>
                <w:bCs/>
                <w:color w:val="000000"/>
                <w:sz w:val="20"/>
                <w:szCs w:val="20"/>
              </w:rPr>
              <w:t>83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59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59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59A" w14:textId="77777777" w:rsidR="00833634" w:rsidRDefault="00E15D51">
            <w:pPr>
              <w:jc w:val="right"/>
              <w:textAlignment w:val="bottom"/>
            </w:pPr>
            <w:r>
              <w:rPr>
                <w:rFonts w:ascii="Arial" w:eastAsia="宋体" w:hAnsi="Arial" w:cs="Arial"/>
                <w:color w:val="000000"/>
                <w:sz w:val="20"/>
                <w:szCs w:val="20"/>
              </w:rPr>
              <w:t>86 </w:t>
            </w:r>
          </w:p>
        </w:tc>
        <w:tc>
          <w:tcPr>
            <w:tcW w:w="0" w:type="auto"/>
            <w:shd w:val="clear" w:color="auto" w:fill="CCEEFF"/>
            <w:tcMar>
              <w:top w:w="40" w:type="dxa"/>
              <w:left w:w="0" w:type="dxa"/>
              <w:bottom w:w="40" w:type="dxa"/>
              <w:right w:w="20" w:type="dxa"/>
            </w:tcMar>
            <w:vAlign w:val="bottom"/>
          </w:tcPr>
          <w:p w14:paraId="4090E59B" w14:textId="77777777" w:rsidR="00833634" w:rsidRDefault="00833634">
            <w:pPr>
              <w:jc w:val="right"/>
              <w:rPr>
                <w:rFonts w:ascii="宋体"/>
              </w:rPr>
            </w:pPr>
          </w:p>
        </w:tc>
      </w:tr>
      <w:tr w:rsidR="00833634" w14:paraId="4090E5A3"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E59D" w14:textId="77777777" w:rsidR="00833634" w:rsidRDefault="00E15D51">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59E" w14:textId="77777777" w:rsidR="00833634" w:rsidRDefault="00E15D51">
            <w:pPr>
              <w:jc w:val="right"/>
              <w:textAlignment w:val="bottom"/>
            </w:pPr>
            <w:r>
              <w:rPr>
                <w:rFonts w:ascii="Arial" w:eastAsia="宋体" w:hAnsi="Arial" w:cs="Arial"/>
                <w:b/>
                <w:bCs/>
                <w:color w:val="000000"/>
                <w:sz w:val="20"/>
                <w:szCs w:val="20"/>
              </w:rPr>
              <w:t>$17,604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59F"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5A0"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5A1" w14:textId="77777777" w:rsidR="00833634" w:rsidRDefault="00E15D51">
            <w:pPr>
              <w:jc w:val="right"/>
              <w:textAlignment w:val="bottom"/>
            </w:pPr>
            <w:r>
              <w:rPr>
                <w:rFonts w:ascii="Arial" w:eastAsia="宋体" w:hAnsi="Arial" w:cs="Arial"/>
                <w:color w:val="000000"/>
                <w:sz w:val="20"/>
                <w:szCs w:val="20"/>
              </w:rPr>
              <w:t>$1,637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5A2" w14:textId="77777777" w:rsidR="00833634" w:rsidRDefault="00833634">
            <w:pPr>
              <w:jc w:val="right"/>
              <w:rPr>
                <w:rFonts w:ascii="宋体"/>
              </w:rPr>
            </w:pPr>
          </w:p>
        </w:tc>
      </w:tr>
    </w:tbl>
    <w:p w14:paraId="4090E5A4" w14:textId="77777777" w:rsidR="00833634" w:rsidRDefault="00E15D51">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Dividends received were $58 and $5 for the nine and three months ended September 30, 2020 and $153 and $60 during the same periods in the prior year.</w:t>
      </w:r>
    </w:p>
    <w:p w14:paraId="4090E5A5" w14:textId="77777777" w:rsidR="00833634" w:rsidRDefault="00E15D51">
      <w:pPr>
        <w:spacing w:after="180"/>
        <w:ind w:hanging="360"/>
        <w:jc w:val="both"/>
      </w:pPr>
      <w:r>
        <w:rPr>
          <w:rFonts w:ascii="Arial" w:eastAsia="宋体" w:hAnsi="Arial" w:cs="Arial"/>
          <w:color w:val="000000"/>
          <w:sz w:val="13"/>
          <w:szCs w:val="13"/>
        </w:rPr>
        <w:t>(2)</w:t>
      </w:r>
      <w:r>
        <w:rPr>
          <w:rFonts w:ascii="Arial" w:eastAsia="宋体" w:hAnsi="Arial" w:cs="Arial"/>
          <w:color w:val="000000"/>
          <w:sz w:val="20"/>
          <w:szCs w:val="20"/>
        </w:rPr>
        <w:t>Reflects amounts restricted in support of our workers’ compensation programs, employee benefit programs</w:t>
      </w:r>
      <w:r>
        <w:rPr>
          <w:rFonts w:ascii="Arial" w:eastAsia="宋体" w:hAnsi="Arial" w:cs="Arial"/>
          <w:color w:val="000000"/>
          <w:sz w:val="20"/>
          <w:szCs w:val="20"/>
        </w:rPr>
        <w:t>, and insurance premiums.</w:t>
      </w:r>
    </w:p>
    <w:p w14:paraId="4090E5A6" w14:textId="77777777" w:rsidR="00833634" w:rsidRDefault="00E15D51">
      <w:pPr>
        <w:spacing w:after="180"/>
        <w:jc w:val="both"/>
      </w:pPr>
      <w:r>
        <w:rPr>
          <w:rFonts w:ascii="Arial" w:eastAsia="宋体" w:hAnsi="Arial" w:cs="Arial"/>
          <w:color w:val="000000"/>
          <w:sz w:val="20"/>
          <w:szCs w:val="20"/>
        </w:rPr>
        <w:t xml:space="preserve">Allowance for losses on available for sale debt instruments are assessed quarterly. All instruments are considered investment grade and, as such, we have not recognized an allowance for credit losses as of September 30, 2020. </w:t>
      </w:r>
    </w:p>
    <w:p w14:paraId="4090E5A7" w14:textId="77777777" w:rsidR="00833634" w:rsidRDefault="00E15D51">
      <w:pPr>
        <w:spacing w:before="300" w:after="180"/>
        <w:jc w:val="both"/>
      </w:pPr>
      <w:r>
        <w:rPr>
          <w:rFonts w:ascii="Arial" w:eastAsia="宋体" w:hAnsi="Arial" w:cs="Arial"/>
          <w:b/>
          <w:bCs/>
          <w:color w:val="000000"/>
          <w:sz w:val="20"/>
          <w:szCs w:val="20"/>
        </w:rPr>
        <w:t>Not</w:t>
      </w:r>
      <w:r>
        <w:rPr>
          <w:rFonts w:ascii="Arial" w:eastAsia="宋体" w:hAnsi="Arial" w:cs="Arial"/>
          <w:b/>
          <w:bCs/>
          <w:color w:val="000000"/>
          <w:sz w:val="20"/>
          <w:szCs w:val="20"/>
        </w:rPr>
        <w:t>e 10 – Commitments and Contingencies</w:t>
      </w:r>
    </w:p>
    <w:p w14:paraId="4090E5A8" w14:textId="77777777" w:rsidR="00833634" w:rsidRDefault="00E15D51">
      <w:pPr>
        <w:spacing w:after="180"/>
        <w:jc w:val="both"/>
      </w:pPr>
      <w:r>
        <w:rPr>
          <w:rFonts w:ascii="Arial" w:eastAsia="宋体" w:hAnsi="Arial" w:cs="Arial"/>
          <w:b/>
          <w:bCs/>
          <w:color w:val="000000"/>
          <w:sz w:val="20"/>
          <w:szCs w:val="20"/>
        </w:rPr>
        <w:t>737 MAX Grounding and COVID-19 Impacts</w:t>
      </w:r>
    </w:p>
    <w:p w14:paraId="4090E5A9" w14:textId="77777777" w:rsidR="00833634" w:rsidRDefault="00E15D51">
      <w:pPr>
        <w:spacing w:after="180"/>
        <w:jc w:val="both"/>
      </w:pPr>
      <w:r>
        <w:rPr>
          <w:rFonts w:ascii="Arial" w:eastAsia="宋体" w:hAnsi="Arial" w:cs="Arial"/>
          <w:color w:val="000000"/>
          <w:sz w:val="20"/>
          <w:szCs w:val="20"/>
        </w:rPr>
        <w:t xml:space="preserve">On March 13, 2019, the Federal Aviation Administration (FAA) issued an order to suspend operations of all 737 MAX aircraft in the U.S. and by U.S. aircraft operators following two </w:t>
      </w:r>
      <w:r>
        <w:rPr>
          <w:rFonts w:ascii="Arial" w:eastAsia="宋体" w:hAnsi="Arial" w:cs="Arial"/>
          <w:color w:val="000000"/>
          <w:sz w:val="20"/>
          <w:szCs w:val="20"/>
        </w:rPr>
        <w:t xml:space="preserve">fatal 737 MAX accidents. Non-U.S. civil aviation authorities have issued directives to the same effect. Deliveries of the 737 MAX have been suspended until clearance is granted by the appropriate regulatory authorities. In addition, multiple legal actions </w:t>
      </w:r>
      <w:r>
        <w:rPr>
          <w:rFonts w:ascii="Arial" w:eastAsia="宋体" w:hAnsi="Arial" w:cs="Arial"/>
          <w:color w:val="000000"/>
          <w:sz w:val="20"/>
          <w:szCs w:val="20"/>
        </w:rPr>
        <w:t>have been filed against us as a result of the accidents. We also are fully cooperating with U.S. government investigations related to the accidents and the 737 MAX program, including investigations by the U.S. Department of Justice and the Securities and E</w:t>
      </w:r>
      <w:r>
        <w:rPr>
          <w:rFonts w:ascii="Arial" w:eastAsia="宋体" w:hAnsi="Arial" w:cs="Arial"/>
          <w:color w:val="000000"/>
          <w:sz w:val="20"/>
          <w:szCs w:val="20"/>
        </w:rPr>
        <w:t xml:space="preserve">xchange Commission, the outcome of which may be material. We cannot reasonably estimate a range of loss, if any, not covered by </w:t>
      </w:r>
    </w:p>
    <w:p w14:paraId="4090E5AA" w14:textId="77777777" w:rsidR="00833634" w:rsidRDefault="00E15D51">
      <w:pPr>
        <w:spacing w:after="180"/>
        <w:jc w:val="center"/>
      </w:pPr>
      <w:r>
        <w:rPr>
          <w:rFonts w:ascii="Arial" w:eastAsia="宋体" w:hAnsi="Arial" w:cs="Arial"/>
          <w:color w:val="000000"/>
          <w:sz w:val="18"/>
          <w:szCs w:val="18"/>
        </w:rPr>
        <w:t>16</w:t>
      </w:r>
    </w:p>
    <w:p w14:paraId="4090E5AB" w14:textId="77777777" w:rsidR="00833634" w:rsidRDefault="00E15D51">
      <w:r>
        <w:pict w14:anchorId="4090FE30">
          <v:rect id="_x0000_i1042" style="width:415.3pt;height:1.5pt" o:hralign="center" o:hrstd="t" o:hr="t" fillcolor="#a0a0a0" stroked="f"/>
        </w:pict>
      </w:r>
    </w:p>
    <w:p w14:paraId="4090E5AC" w14:textId="77777777" w:rsidR="00833634" w:rsidRDefault="00E15D51">
      <w:pPr>
        <w:spacing w:after="180"/>
        <w:jc w:val="both"/>
      </w:pPr>
      <w:hyperlink r:id="rId119" w:anchor="i8d805bfb1e1c4815a1dcd5b6d1e0b117_10" w:history="1">
        <w:r>
          <w:rPr>
            <w:rStyle w:val="a5"/>
            <w:rFonts w:ascii="Arial" w:eastAsia="宋体" w:hAnsi="Arial" w:cs="Arial"/>
            <w:sz w:val="18"/>
            <w:szCs w:val="18"/>
          </w:rPr>
          <w:t>Table of Contents</w:t>
        </w:r>
      </w:hyperlink>
    </w:p>
    <w:p w14:paraId="4090E5AD" w14:textId="77777777" w:rsidR="00833634" w:rsidRDefault="00E15D51">
      <w:pPr>
        <w:spacing w:after="180"/>
        <w:jc w:val="both"/>
      </w:pPr>
      <w:r>
        <w:rPr>
          <w:rFonts w:ascii="Arial" w:eastAsia="宋体" w:hAnsi="Arial" w:cs="Arial"/>
          <w:color w:val="000000"/>
          <w:sz w:val="20"/>
          <w:szCs w:val="20"/>
        </w:rPr>
        <w:t>available insurance that may result given the current status of the lawsuits, investigations and inquiries related to the 737 MAX.</w:t>
      </w:r>
    </w:p>
    <w:p w14:paraId="4090E5AE" w14:textId="77777777" w:rsidR="00833634" w:rsidRDefault="00E15D51">
      <w:pPr>
        <w:spacing w:after="180"/>
        <w:jc w:val="both"/>
      </w:pPr>
      <w:r>
        <w:rPr>
          <w:rFonts w:ascii="Arial" w:eastAsia="宋体" w:hAnsi="Arial" w:cs="Arial"/>
          <w:color w:val="000000"/>
          <w:sz w:val="20"/>
          <w:szCs w:val="20"/>
        </w:rPr>
        <w:t>We have developed software and pilot training updates for the 737 MAX. We hav</w:t>
      </w:r>
      <w:r>
        <w:rPr>
          <w:rFonts w:ascii="Arial" w:eastAsia="宋体" w:hAnsi="Arial" w:cs="Arial"/>
          <w:color w:val="000000"/>
          <w:sz w:val="20"/>
          <w:szCs w:val="20"/>
        </w:rPr>
        <w:t>e assumed that computer and simulator training will be required and as a result, we have provisioned for certain training costs. During the week of June 29, 2020, the FAA completed flight tests of the updated aircraft, and Transport Canada and the European</w:t>
      </w:r>
      <w:r>
        <w:rPr>
          <w:rFonts w:ascii="Arial" w:eastAsia="宋体" w:hAnsi="Arial" w:cs="Arial"/>
          <w:color w:val="000000"/>
          <w:sz w:val="20"/>
          <w:szCs w:val="20"/>
        </w:rPr>
        <w:t xml:space="preserve"> Union Aviation Safety Agency (EASA) conducted their own series of flight tests in the third quarter of 2020.</w:t>
      </w:r>
      <w:r>
        <w:rPr>
          <w:rFonts w:ascii="Arial" w:eastAsia="宋体" w:hAnsi="Arial" w:cs="Arial"/>
          <w:color w:val="000000"/>
        </w:rPr>
        <w:t xml:space="preserve"> </w:t>
      </w:r>
      <w:r>
        <w:rPr>
          <w:rFonts w:ascii="Arial" w:eastAsia="宋体" w:hAnsi="Arial" w:cs="Arial"/>
          <w:color w:val="000000"/>
          <w:sz w:val="20"/>
          <w:szCs w:val="20"/>
        </w:rPr>
        <w:t xml:space="preserve">In addition, the FAA initiated a 45-day public comment period for its notice of proposed rulemaking relative to 737 MAX </w:t>
      </w:r>
      <w:r>
        <w:rPr>
          <w:rFonts w:ascii="Arial" w:eastAsia="宋体" w:hAnsi="Arial" w:cs="Arial"/>
          <w:color w:val="000000"/>
          <w:sz w:val="20"/>
          <w:szCs w:val="20"/>
        </w:rPr>
        <w:t>certification, which ended during the third quarter. On October 6, 2020, the FAA posted the draft Flight Standardization Board (FSB) report on proposed pilot training, which will be subject to public comment until November 2, 2020. The FSB report incorpora</w:t>
      </w:r>
      <w:r>
        <w:rPr>
          <w:rFonts w:ascii="Arial" w:eastAsia="宋体" w:hAnsi="Arial" w:cs="Arial"/>
          <w:color w:val="000000"/>
          <w:sz w:val="20"/>
          <w:szCs w:val="20"/>
        </w:rPr>
        <w:t>tes the recommendations of the Joint Operations Evaluation Board (JOEB), which contains representatives from civil aviation authorities in the U.S., Canada, Brazil and the European Union.</w:t>
      </w:r>
      <w:r>
        <w:rPr>
          <w:rFonts w:ascii="Arial" w:eastAsia="宋体" w:hAnsi="Arial" w:cs="Arial"/>
          <w:color w:val="000000"/>
        </w:rPr>
        <w:t xml:space="preserve"> </w:t>
      </w:r>
      <w:r>
        <w:rPr>
          <w:rFonts w:ascii="Arial" w:eastAsia="宋体" w:hAnsi="Arial" w:cs="Arial"/>
          <w:color w:val="000000"/>
          <w:sz w:val="20"/>
          <w:szCs w:val="20"/>
        </w:rPr>
        <w:t>We continue to work with the FAA and non-U.S. civil aviation authori</w:t>
      </w:r>
      <w:r>
        <w:rPr>
          <w:rFonts w:ascii="Arial" w:eastAsia="宋体" w:hAnsi="Arial" w:cs="Arial"/>
          <w:color w:val="000000"/>
          <w:sz w:val="20"/>
          <w:szCs w:val="20"/>
        </w:rPr>
        <w:t xml:space="preserve">ties to complete remaining steps toward certification and readiness for return to service. </w:t>
      </w:r>
    </w:p>
    <w:p w14:paraId="4090E5AF" w14:textId="77777777" w:rsidR="00833634" w:rsidRDefault="00E15D51">
      <w:pPr>
        <w:spacing w:after="180"/>
        <w:jc w:val="both"/>
      </w:pPr>
      <w:r>
        <w:rPr>
          <w:rFonts w:ascii="Arial" w:eastAsia="宋体" w:hAnsi="Arial" w:cs="Arial"/>
          <w:color w:val="000000"/>
          <w:sz w:val="20"/>
          <w:szCs w:val="20"/>
        </w:rPr>
        <w:t>Prior to the grounding, the 737 production rate was 52 per month, and we had planned to increase the rate to 57 per month during 2019. Beginning in the second quart</w:t>
      </w:r>
      <w:r>
        <w:rPr>
          <w:rFonts w:ascii="Arial" w:eastAsia="宋体" w:hAnsi="Arial" w:cs="Arial"/>
          <w:color w:val="000000"/>
          <w:sz w:val="20"/>
          <w:szCs w:val="20"/>
        </w:rPr>
        <w:t>er of 2019, we reduced the production rate to 42 per month. We continued to produce at a rate of 42 per month through December 2019. We temporarily suspended 737 MAX production beginning in January 2020. During the first quarter of 2020, we completed airpl</w:t>
      </w:r>
      <w:r>
        <w:rPr>
          <w:rFonts w:ascii="Arial" w:eastAsia="宋体" w:hAnsi="Arial" w:cs="Arial"/>
          <w:color w:val="000000"/>
          <w:sz w:val="20"/>
          <w:szCs w:val="20"/>
        </w:rPr>
        <w:t>anes that were already in process at the end of the fourth quarter of 2019. In March 2020, we announced a temporary suspension of production operations in the Puget Sound area as a result of the COVID-19 pandemic. Production operations in Puget Sound resum</w:t>
      </w:r>
      <w:r>
        <w:rPr>
          <w:rFonts w:ascii="Arial" w:eastAsia="宋体" w:hAnsi="Arial" w:cs="Arial"/>
          <w:color w:val="000000"/>
          <w:sz w:val="20"/>
          <w:szCs w:val="20"/>
        </w:rPr>
        <w:t>ed during the week of April 20, 2020, at which point the 737 team resumed preparations for restarting 737 MAX production. We resumed early stages of 737 MAX production in May 2020 and expect to continue to produce at low rates for the remainder of 2020. We</w:t>
      </w:r>
      <w:r>
        <w:rPr>
          <w:rFonts w:ascii="Arial" w:eastAsia="宋体" w:hAnsi="Arial" w:cs="Arial"/>
          <w:color w:val="000000"/>
          <w:sz w:val="20"/>
          <w:szCs w:val="20"/>
        </w:rPr>
        <w:t xml:space="preserve"> have approximately 450 airplanes in inventory as of September 30, 2020.</w:t>
      </w:r>
    </w:p>
    <w:p w14:paraId="4090E5B0" w14:textId="77777777" w:rsidR="00833634" w:rsidRDefault="00E15D51">
      <w:pPr>
        <w:spacing w:after="180"/>
        <w:jc w:val="both"/>
      </w:pPr>
      <w:r>
        <w:rPr>
          <w:rFonts w:ascii="Arial" w:eastAsia="宋体" w:hAnsi="Arial" w:cs="Arial"/>
          <w:color w:val="000000"/>
          <w:sz w:val="20"/>
          <w:szCs w:val="20"/>
        </w:rPr>
        <w:t>The COVID-19 pandemic has significantly impacted air travel and reduced near-term demand, resulting in lower production and delivery rate assumptions. During the first quarter of 2020</w:t>
      </w:r>
      <w:r>
        <w:rPr>
          <w:rFonts w:ascii="Arial" w:eastAsia="宋体" w:hAnsi="Arial" w:cs="Arial"/>
          <w:color w:val="000000"/>
          <w:sz w:val="20"/>
          <w:szCs w:val="20"/>
        </w:rPr>
        <w:t>, we lowered our production rate assumptions in response to COVID-19 impacts to expected demand. During the second quarter of 2020, we further delayed our production rate ramp assumptions and now expect to gradually increase the production rate to 31 by th</w:t>
      </w:r>
      <w:r>
        <w:rPr>
          <w:rFonts w:ascii="Arial" w:eastAsia="宋体" w:hAnsi="Arial" w:cs="Arial"/>
          <w:color w:val="000000"/>
          <w:sz w:val="20"/>
          <w:szCs w:val="20"/>
        </w:rPr>
        <w:t>e beginning of 2022. We expect further gradual production rate increases in subsequent periods based on market demand. We have assumed that the timing of regulatory approvals will enable 737 MAX deliveries to resume during the fourth quarter of 2020. A num</w:t>
      </w:r>
      <w:r>
        <w:rPr>
          <w:rFonts w:ascii="Arial" w:eastAsia="宋体" w:hAnsi="Arial" w:cs="Arial"/>
          <w:color w:val="000000"/>
          <w:sz w:val="20"/>
          <w:szCs w:val="20"/>
        </w:rPr>
        <w:t xml:space="preserve">ber of customers have requested to defer deliveries or to cancel orders for 737 MAX aircraft, and we are remarketing and/or delaying deliveries of certain aircraft included within inventory. We now expect to deliver about half of the approximately 450 737 </w:t>
      </w:r>
      <w:r>
        <w:rPr>
          <w:rFonts w:ascii="Arial" w:eastAsia="宋体" w:hAnsi="Arial" w:cs="Arial"/>
          <w:color w:val="000000"/>
          <w:sz w:val="20"/>
          <w:szCs w:val="20"/>
        </w:rPr>
        <w:t>MAX airplanes in inventory by the end of 2021. The ongoing impacts of COVID-19 have created significant uncertainty around the timing of future deliveries. There is also risk that we will have to remarket additional aircraft and/or that the costs associate</w:t>
      </w:r>
      <w:r>
        <w:rPr>
          <w:rFonts w:ascii="Arial" w:eastAsia="宋体" w:hAnsi="Arial" w:cs="Arial"/>
          <w:color w:val="000000"/>
          <w:sz w:val="20"/>
          <w:szCs w:val="20"/>
        </w:rPr>
        <w:t>d with remarketing and/or reconfiguring aircraft will increase, which may reduce revenue and earnings in future periods when deliveries resume.</w:t>
      </w:r>
    </w:p>
    <w:p w14:paraId="4090E5B1" w14:textId="77777777" w:rsidR="00833634" w:rsidRDefault="00E15D51">
      <w:pPr>
        <w:spacing w:after="180"/>
        <w:jc w:val="both"/>
      </w:pPr>
      <w:r>
        <w:rPr>
          <w:rFonts w:ascii="Arial" w:eastAsia="宋体" w:hAnsi="Arial" w:cs="Arial"/>
          <w:color w:val="000000"/>
          <w:sz w:val="20"/>
          <w:szCs w:val="20"/>
        </w:rPr>
        <w:t>During 2019, the cumulative impacts of changes to assumptions regarding timing of return to service and timing o</w:t>
      </w:r>
      <w:r>
        <w:rPr>
          <w:rFonts w:ascii="Arial" w:eastAsia="宋体" w:hAnsi="Arial" w:cs="Arial"/>
          <w:color w:val="000000"/>
          <w:sz w:val="20"/>
          <w:szCs w:val="20"/>
        </w:rPr>
        <w:t>f planned production rates and deliveries increased the estimated costs to produce and deliver the 3,100 undelivered aircraft then included in the accounting quantity by approximately $6.3 billion. During 2020, additional reductions in planned production r</w:t>
      </w:r>
      <w:r>
        <w:rPr>
          <w:rFonts w:ascii="Arial" w:eastAsia="宋体" w:hAnsi="Arial" w:cs="Arial"/>
          <w:color w:val="000000"/>
          <w:sz w:val="20"/>
          <w:szCs w:val="20"/>
        </w:rPr>
        <w:t>ates further increased the estimated costs to produce and deliver aircraft included in the accounting quantity, but were partially offset by headcount and other cost reductions. These costs will result in lower 737 margins in future periods after deliverie</w:t>
      </w:r>
      <w:r>
        <w:rPr>
          <w:rFonts w:ascii="Arial" w:eastAsia="宋体" w:hAnsi="Arial" w:cs="Arial"/>
          <w:color w:val="000000"/>
          <w:sz w:val="20"/>
          <w:szCs w:val="20"/>
        </w:rPr>
        <w:t>s resume.</w:t>
      </w:r>
    </w:p>
    <w:p w14:paraId="4090E5B2" w14:textId="77777777" w:rsidR="00833634" w:rsidRDefault="00E15D51">
      <w:pPr>
        <w:spacing w:after="180"/>
        <w:jc w:val="both"/>
      </w:pPr>
      <w:r>
        <w:rPr>
          <w:rFonts w:ascii="Arial" w:eastAsia="宋体" w:hAnsi="Arial" w:cs="Arial"/>
          <w:color w:val="000000"/>
          <w:sz w:val="20"/>
          <w:szCs w:val="20"/>
        </w:rPr>
        <w:t>During the first quarter of 2020, we reduced the number of aircraft included in the accounting quantity by 400 units as a result of reductions to planned production rates due to COVID-19 driven market uncertainties. The accounting quantity was un</w:t>
      </w:r>
      <w:r>
        <w:rPr>
          <w:rFonts w:ascii="Arial" w:eastAsia="宋体" w:hAnsi="Arial" w:cs="Arial"/>
          <w:color w:val="000000"/>
          <w:sz w:val="20"/>
          <w:szCs w:val="20"/>
        </w:rPr>
        <w:t>changed during the second and third quarters. As we continue to produce at abnormally low production rates in 2020 and 2021, we expect to incur approximately $5 billion of abnormal production costs that are being expensed as incurred. The slowdown in the p</w:t>
      </w:r>
      <w:r>
        <w:rPr>
          <w:rFonts w:ascii="Arial" w:eastAsia="宋体" w:hAnsi="Arial" w:cs="Arial"/>
          <w:color w:val="000000"/>
          <w:sz w:val="20"/>
          <w:szCs w:val="20"/>
        </w:rPr>
        <w:t xml:space="preserve">lanned production rate ramp-up increased expected abnormal costs however this increase was </w:t>
      </w:r>
    </w:p>
    <w:p w14:paraId="4090E5B3" w14:textId="77777777" w:rsidR="00833634" w:rsidRDefault="00E15D51">
      <w:pPr>
        <w:spacing w:after="180"/>
        <w:jc w:val="center"/>
      </w:pPr>
      <w:r>
        <w:rPr>
          <w:rFonts w:ascii="Arial" w:eastAsia="宋体" w:hAnsi="Arial" w:cs="Arial"/>
          <w:color w:val="000000"/>
          <w:sz w:val="18"/>
          <w:szCs w:val="18"/>
        </w:rPr>
        <w:t>17</w:t>
      </w:r>
    </w:p>
    <w:p w14:paraId="4090E5B4" w14:textId="77777777" w:rsidR="00833634" w:rsidRDefault="00E15D51">
      <w:r>
        <w:pict w14:anchorId="4090FE31">
          <v:rect id="_x0000_i1043" style="width:415.3pt;height:1.5pt" o:hralign="center" o:hrstd="t" o:hr="t" fillcolor="#a0a0a0" stroked="f"/>
        </w:pict>
      </w:r>
    </w:p>
    <w:p w14:paraId="4090E5B5" w14:textId="77777777" w:rsidR="00833634" w:rsidRDefault="00E15D51">
      <w:pPr>
        <w:spacing w:after="180"/>
        <w:jc w:val="both"/>
      </w:pPr>
      <w:hyperlink r:id="rId120" w:anchor="i8d805bfb1e1c4815a1dcd5b6d1e0b117_10" w:history="1">
        <w:r>
          <w:rPr>
            <w:rStyle w:val="a5"/>
            <w:rFonts w:ascii="Arial" w:eastAsia="宋体" w:hAnsi="Arial" w:cs="Arial"/>
            <w:sz w:val="18"/>
            <w:szCs w:val="18"/>
          </w:rPr>
          <w:t>Table of C</w:t>
        </w:r>
        <w:r>
          <w:rPr>
            <w:rStyle w:val="a5"/>
            <w:rFonts w:ascii="Arial" w:eastAsia="宋体" w:hAnsi="Arial" w:cs="Arial"/>
            <w:sz w:val="18"/>
            <w:szCs w:val="18"/>
          </w:rPr>
          <w:t>ontents</w:t>
        </w:r>
      </w:hyperlink>
    </w:p>
    <w:p w14:paraId="4090E5B6" w14:textId="77777777" w:rsidR="00833634" w:rsidRDefault="00E15D51">
      <w:pPr>
        <w:spacing w:after="180"/>
        <w:jc w:val="both"/>
      </w:pPr>
      <w:r>
        <w:rPr>
          <w:rFonts w:ascii="Arial" w:eastAsia="宋体" w:hAnsi="Arial" w:cs="Arial"/>
          <w:color w:val="000000"/>
          <w:sz w:val="20"/>
          <w:szCs w:val="20"/>
        </w:rPr>
        <w:t>offset by adjustments to the determination of the normal production level due to COVID-19 impacts on customer demand, as well as cost reduction activities, including significant reductions in employment levels. We expensed $590 and $2,099 of abn</w:t>
      </w:r>
      <w:r>
        <w:rPr>
          <w:rFonts w:ascii="Arial" w:eastAsia="宋体" w:hAnsi="Arial" w:cs="Arial"/>
          <w:color w:val="000000"/>
          <w:sz w:val="20"/>
          <w:szCs w:val="20"/>
        </w:rPr>
        <w:t>ormal production costs during the three and nine months ended September 30, 2020.</w:t>
      </w:r>
    </w:p>
    <w:p w14:paraId="4090E5B7" w14:textId="77777777" w:rsidR="00833634" w:rsidRDefault="00E15D51">
      <w:pPr>
        <w:spacing w:after="180"/>
        <w:jc w:val="both"/>
      </w:pPr>
      <w:r>
        <w:rPr>
          <w:rFonts w:ascii="Arial" w:eastAsia="宋体" w:hAnsi="Arial" w:cs="Arial"/>
          <w:color w:val="000000"/>
          <w:sz w:val="20"/>
          <w:szCs w:val="20"/>
        </w:rPr>
        <w:t>We have also recorded additional expenses of $239 as a result of the 737 MAX grounding in the first nine months of 2020. These expenses include costs related to storage, pilo</w:t>
      </w:r>
      <w:r>
        <w:rPr>
          <w:rFonts w:ascii="Arial" w:eastAsia="宋体" w:hAnsi="Arial" w:cs="Arial"/>
          <w:color w:val="000000"/>
          <w:sz w:val="20"/>
          <w:szCs w:val="20"/>
        </w:rPr>
        <w:t>t training and software updates.</w:t>
      </w:r>
    </w:p>
    <w:p w14:paraId="4090E5B8" w14:textId="77777777" w:rsidR="00833634" w:rsidRDefault="00E15D51">
      <w:pPr>
        <w:jc w:val="both"/>
      </w:pPr>
      <w:r>
        <w:rPr>
          <w:rFonts w:ascii="Arial" w:eastAsia="宋体" w:hAnsi="Arial" w:cs="Arial"/>
          <w:color w:val="000000"/>
          <w:sz w:val="20"/>
          <w:szCs w:val="20"/>
        </w:rPr>
        <w:t>The following table summarizes changes in the 737 MAX customer concessions and other considerations liability during 2020.</w:t>
      </w:r>
      <w:r>
        <w:rPr>
          <w:rFonts w:ascii="Arial" w:eastAsia="宋体" w:hAnsi="Arial" w:cs="Arial"/>
          <w:b/>
          <w:bCs/>
          <w:i/>
          <w:iCs/>
          <w:color w:val="EE2724"/>
          <w:sz w:val="20"/>
          <w:szCs w:val="20"/>
        </w:rPr>
        <w:t xml:space="preserve"> </w:t>
      </w:r>
    </w:p>
    <w:tbl>
      <w:tblPr>
        <w:tblW w:w="5000" w:type="pct"/>
        <w:tblCellMar>
          <w:top w:w="15" w:type="dxa"/>
          <w:left w:w="15" w:type="dxa"/>
          <w:bottom w:w="15" w:type="dxa"/>
          <w:right w:w="15" w:type="dxa"/>
        </w:tblCellMar>
        <w:tblLook w:val="04A0" w:firstRow="1" w:lastRow="0" w:firstColumn="1" w:lastColumn="0" w:noHBand="0" w:noVBand="1"/>
      </w:tblPr>
      <w:tblGrid>
        <w:gridCol w:w="69"/>
        <w:gridCol w:w="6545"/>
        <w:gridCol w:w="38"/>
        <w:gridCol w:w="69"/>
        <w:gridCol w:w="1543"/>
        <w:gridCol w:w="36"/>
        <w:gridCol w:w="36"/>
      </w:tblGrid>
      <w:tr w:rsidR="00833634" w14:paraId="4090E5C0" w14:textId="77777777">
        <w:tc>
          <w:tcPr>
            <w:tcW w:w="50" w:type="pct"/>
            <w:shd w:val="clear" w:color="auto" w:fill="auto"/>
          </w:tcPr>
          <w:p w14:paraId="4090E5B9" w14:textId="77777777" w:rsidR="00833634" w:rsidRDefault="00833634">
            <w:pPr>
              <w:rPr>
                <w:rFonts w:ascii="宋体"/>
              </w:rPr>
            </w:pPr>
          </w:p>
        </w:tc>
        <w:tc>
          <w:tcPr>
            <w:tcW w:w="3951" w:type="pct"/>
            <w:shd w:val="clear" w:color="auto" w:fill="auto"/>
          </w:tcPr>
          <w:p w14:paraId="4090E5BA" w14:textId="77777777" w:rsidR="00833634" w:rsidRDefault="00833634">
            <w:pPr>
              <w:rPr>
                <w:rFonts w:ascii="宋体"/>
              </w:rPr>
            </w:pPr>
          </w:p>
        </w:tc>
        <w:tc>
          <w:tcPr>
            <w:tcW w:w="5" w:type="pct"/>
            <w:shd w:val="clear" w:color="auto" w:fill="auto"/>
          </w:tcPr>
          <w:p w14:paraId="4090E5BB" w14:textId="77777777" w:rsidR="00833634" w:rsidRDefault="00833634">
            <w:pPr>
              <w:rPr>
                <w:rFonts w:ascii="宋体"/>
              </w:rPr>
            </w:pPr>
          </w:p>
        </w:tc>
        <w:tc>
          <w:tcPr>
            <w:tcW w:w="50" w:type="pct"/>
            <w:shd w:val="clear" w:color="auto" w:fill="auto"/>
          </w:tcPr>
          <w:p w14:paraId="4090E5BC" w14:textId="77777777" w:rsidR="00833634" w:rsidRDefault="00833634">
            <w:pPr>
              <w:rPr>
                <w:rFonts w:ascii="宋体"/>
              </w:rPr>
            </w:pPr>
          </w:p>
        </w:tc>
        <w:tc>
          <w:tcPr>
            <w:tcW w:w="938" w:type="pct"/>
            <w:shd w:val="clear" w:color="auto" w:fill="auto"/>
          </w:tcPr>
          <w:p w14:paraId="4090E5BD" w14:textId="77777777" w:rsidR="00833634" w:rsidRDefault="00833634">
            <w:pPr>
              <w:rPr>
                <w:rFonts w:ascii="宋体"/>
              </w:rPr>
            </w:pPr>
          </w:p>
        </w:tc>
        <w:tc>
          <w:tcPr>
            <w:tcW w:w="5" w:type="pct"/>
            <w:shd w:val="clear" w:color="auto" w:fill="auto"/>
          </w:tcPr>
          <w:p w14:paraId="4090E5BE" w14:textId="77777777" w:rsidR="00833634" w:rsidRDefault="00833634">
            <w:pPr>
              <w:rPr>
                <w:rFonts w:ascii="宋体"/>
              </w:rPr>
            </w:pPr>
          </w:p>
        </w:tc>
        <w:tc>
          <w:tcPr>
            <w:tcW w:w="0" w:type="auto"/>
            <w:shd w:val="clear" w:color="auto" w:fill="auto"/>
          </w:tcPr>
          <w:p w14:paraId="4090E5BF" w14:textId="77777777" w:rsidR="00833634" w:rsidRDefault="00833634">
            <w:pPr>
              <w:rPr>
                <w:rFonts w:ascii="宋体"/>
                <w:vanish/>
              </w:rPr>
            </w:pPr>
          </w:p>
        </w:tc>
      </w:tr>
      <w:tr w:rsidR="00833634" w14:paraId="4090E5C4" w14:textId="77777777">
        <w:tc>
          <w:tcPr>
            <w:tcW w:w="0" w:type="auto"/>
            <w:gridSpan w:val="3"/>
            <w:shd w:val="clear" w:color="auto" w:fill="auto"/>
            <w:tcMar>
              <w:top w:w="0" w:type="dxa"/>
              <w:left w:w="20" w:type="dxa"/>
              <w:bottom w:w="0" w:type="dxa"/>
              <w:right w:w="20" w:type="dxa"/>
            </w:tcMar>
          </w:tcPr>
          <w:p w14:paraId="4090E5C1"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5C2" w14:textId="77777777" w:rsidR="00833634" w:rsidRDefault="00E15D51">
            <w:pPr>
              <w:jc w:val="right"/>
              <w:textAlignment w:val="bottom"/>
            </w:pPr>
            <w:r>
              <w:rPr>
                <w:rFonts w:ascii="Arial" w:eastAsia="宋体" w:hAnsi="Arial" w:cs="Arial"/>
                <w:b/>
                <w:bCs/>
                <w:color w:val="000000"/>
                <w:sz w:val="20"/>
                <w:szCs w:val="20"/>
              </w:rPr>
              <w:t>2020</w:t>
            </w:r>
          </w:p>
        </w:tc>
        <w:tc>
          <w:tcPr>
            <w:tcW w:w="0" w:type="auto"/>
            <w:shd w:val="clear" w:color="auto" w:fill="auto"/>
          </w:tcPr>
          <w:p w14:paraId="4090E5C3" w14:textId="77777777" w:rsidR="00833634" w:rsidRDefault="00833634">
            <w:pPr>
              <w:rPr>
                <w:rFonts w:ascii="宋体"/>
                <w:vanish/>
              </w:rPr>
            </w:pPr>
          </w:p>
        </w:tc>
      </w:tr>
      <w:tr w:rsidR="00833634" w14:paraId="4090E5C9"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4090E5C5" w14:textId="77777777" w:rsidR="00833634" w:rsidRDefault="00E15D51">
            <w:pPr>
              <w:textAlignment w:val="top"/>
            </w:pPr>
            <w:r>
              <w:rPr>
                <w:rFonts w:ascii="Arial" w:eastAsia="宋体" w:hAnsi="Arial" w:cs="Arial"/>
                <w:color w:val="000000"/>
                <w:sz w:val="20"/>
                <w:szCs w:val="20"/>
              </w:rPr>
              <w:t>Beginning balance – January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5C6" w14:textId="77777777" w:rsidR="00833634" w:rsidRDefault="00E15D51">
            <w:pPr>
              <w:jc w:val="right"/>
              <w:textAlignment w:val="bottom"/>
            </w:pPr>
            <w:r>
              <w:rPr>
                <w:rFonts w:ascii="Arial" w:eastAsia="宋体" w:hAnsi="Arial" w:cs="Arial"/>
                <w:b/>
                <w:bCs/>
                <w:color w:val="000000"/>
                <w:sz w:val="20"/>
                <w:szCs w:val="20"/>
              </w:rPr>
              <w:t>$7,389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5C7" w14:textId="77777777" w:rsidR="00833634" w:rsidRDefault="00833634">
            <w:pPr>
              <w:jc w:val="right"/>
              <w:rPr>
                <w:rFonts w:ascii="宋体"/>
              </w:rPr>
            </w:pPr>
          </w:p>
        </w:tc>
        <w:tc>
          <w:tcPr>
            <w:tcW w:w="0" w:type="auto"/>
            <w:shd w:val="clear" w:color="auto" w:fill="auto"/>
          </w:tcPr>
          <w:p w14:paraId="4090E5C8" w14:textId="77777777" w:rsidR="00833634" w:rsidRDefault="00833634">
            <w:pPr>
              <w:rPr>
                <w:rFonts w:ascii="宋体"/>
                <w:vanish/>
              </w:rPr>
            </w:pPr>
          </w:p>
        </w:tc>
      </w:tr>
      <w:tr w:rsidR="00833634" w14:paraId="4090E5CD" w14:textId="77777777">
        <w:trPr>
          <w:hidden/>
        </w:trPr>
        <w:tc>
          <w:tcPr>
            <w:tcW w:w="0" w:type="auto"/>
            <w:gridSpan w:val="3"/>
            <w:shd w:val="clear" w:color="auto" w:fill="auto"/>
          </w:tcPr>
          <w:p w14:paraId="4090E5CA" w14:textId="77777777" w:rsidR="00833634" w:rsidRDefault="00833634">
            <w:pPr>
              <w:rPr>
                <w:rFonts w:ascii="宋体"/>
                <w:vanish/>
              </w:rPr>
            </w:pPr>
          </w:p>
        </w:tc>
        <w:tc>
          <w:tcPr>
            <w:tcW w:w="0" w:type="auto"/>
            <w:gridSpan w:val="3"/>
            <w:shd w:val="clear" w:color="auto" w:fill="auto"/>
          </w:tcPr>
          <w:p w14:paraId="4090E5CB" w14:textId="77777777" w:rsidR="00833634" w:rsidRDefault="00833634">
            <w:pPr>
              <w:rPr>
                <w:rFonts w:ascii="宋体"/>
                <w:vanish/>
              </w:rPr>
            </w:pPr>
          </w:p>
        </w:tc>
        <w:tc>
          <w:tcPr>
            <w:tcW w:w="0" w:type="auto"/>
            <w:shd w:val="clear" w:color="auto" w:fill="auto"/>
          </w:tcPr>
          <w:p w14:paraId="4090E5CC" w14:textId="77777777" w:rsidR="00833634" w:rsidRDefault="00833634">
            <w:pPr>
              <w:rPr>
                <w:rFonts w:ascii="宋体"/>
                <w:vanish/>
              </w:rPr>
            </w:pPr>
          </w:p>
        </w:tc>
      </w:tr>
      <w:tr w:rsidR="00833634" w14:paraId="4090E5D2" w14:textId="77777777">
        <w:tc>
          <w:tcPr>
            <w:tcW w:w="0" w:type="auto"/>
            <w:gridSpan w:val="3"/>
            <w:shd w:val="clear" w:color="auto" w:fill="FFFFFF"/>
            <w:tcMar>
              <w:top w:w="40" w:type="dxa"/>
              <w:left w:w="360" w:type="dxa"/>
              <w:bottom w:w="40" w:type="dxa"/>
              <w:right w:w="20" w:type="dxa"/>
            </w:tcMar>
          </w:tcPr>
          <w:p w14:paraId="4090E5CE" w14:textId="77777777" w:rsidR="00833634" w:rsidRDefault="00E15D51">
            <w:pPr>
              <w:textAlignment w:val="top"/>
            </w:pPr>
            <w:r>
              <w:rPr>
                <w:rFonts w:ascii="Arial" w:eastAsia="宋体" w:hAnsi="Arial" w:cs="Arial"/>
                <w:color w:val="000000"/>
                <w:sz w:val="20"/>
                <w:szCs w:val="20"/>
              </w:rPr>
              <w:t>Reductions for payments made</w:t>
            </w:r>
          </w:p>
        </w:tc>
        <w:tc>
          <w:tcPr>
            <w:tcW w:w="0" w:type="auto"/>
            <w:gridSpan w:val="2"/>
            <w:shd w:val="clear" w:color="auto" w:fill="FFFFFF"/>
            <w:tcMar>
              <w:top w:w="40" w:type="dxa"/>
              <w:left w:w="20" w:type="dxa"/>
              <w:bottom w:w="40" w:type="dxa"/>
              <w:right w:w="0" w:type="dxa"/>
            </w:tcMar>
            <w:vAlign w:val="bottom"/>
          </w:tcPr>
          <w:p w14:paraId="4090E5CF" w14:textId="77777777" w:rsidR="00833634" w:rsidRDefault="00E15D51">
            <w:pPr>
              <w:jc w:val="right"/>
              <w:textAlignment w:val="bottom"/>
            </w:pPr>
            <w:r>
              <w:rPr>
                <w:rFonts w:ascii="Arial" w:eastAsia="宋体" w:hAnsi="Arial" w:cs="Arial"/>
                <w:b/>
                <w:bCs/>
                <w:color w:val="000000"/>
                <w:sz w:val="20"/>
                <w:szCs w:val="20"/>
              </w:rPr>
              <w:t>(1,695)</w:t>
            </w:r>
          </w:p>
        </w:tc>
        <w:tc>
          <w:tcPr>
            <w:tcW w:w="0" w:type="auto"/>
            <w:shd w:val="clear" w:color="auto" w:fill="FFFFFF"/>
            <w:tcMar>
              <w:top w:w="40" w:type="dxa"/>
              <w:left w:w="0" w:type="dxa"/>
              <w:bottom w:w="40" w:type="dxa"/>
              <w:right w:w="20" w:type="dxa"/>
            </w:tcMar>
            <w:vAlign w:val="bottom"/>
          </w:tcPr>
          <w:p w14:paraId="4090E5D0" w14:textId="77777777" w:rsidR="00833634" w:rsidRDefault="00833634">
            <w:pPr>
              <w:jc w:val="right"/>
              <w:rPr>
                <w:rFonts w:ascii="宋体"/>
              </w:rPr>
            </w:pPr>
          </w:p>
        </w:tc>
        <w:tc>
          <w:tcPr>
            <w:tcW w:w="0" w:type="auto"/>
            <w:shd w:val="clear" w:color="auto" w:fill="auto"/>
          </w:tcPr>
          <w:p w14:paraId="4090E5D1" w14:textId="77777777" w:rsidR="00833634" w:rsidRDefault="00833634">
            <w:pPr>
              <w:rPr>
                <w:rFonts w:ascii="宋体"/>
                <w:vanish/>
              </w:rPr>
            </w:pPr>
          </w:p>
        </w:tc>
      </w:tr>
      <w:tr w:rsidR="00833634" w14:paraId="4090E5D7" w14:textId="77777777">
        <w:tc>
          <w:tcPr>
            <w:tcW w:w="0" w:type="auto"/>
            <w:gridSpan w:val="3"/>
            <w:shd w:val="clear" w:color="auto" w:fill="CCEEFF"/>
            <w:tcMar>
              <w:top w:w="40" w:type="dxa"/>
              <w:left w:w="360" w:type="dxa"/>
              <w:bottom w:w="40" w:type="dxa"/>
              <w:right w:w="20" w:type="dxa"/>
            </w:tcMar>
          </w:tcPr>
          <w:p w14:paraId="4090E5D3" w14:textId="77777777" w:rsidR="00833634" w:rsidRDefault="00E15D51">
            <w:pPr>
              <w:textAlignment w:val="top"/>
            </w:pPr>
            <w:r>
              <w:rPr>
                <w:rFonts w:ascii="Arial" w:eastAsia="宋体" w:hAnsi="Arial" w:cs="Arial"/>
                <w:color w:val="000000"/>
                <w:sz w:val="20"/>
                <w:szCs w:val="20"/>
              </w:rPr>
              <w:t>Reductions for concessions and other in-kind considerations</w:t>
            </w:r>
          </w:p>
        </w:tc>
        <w:tc>
          <w:tcPr>
            <w:tcW w:w="0" w:type="auto"/>
            <w:gridSpan w:val="2"/>
            <w:shd w:val="clear" w:color="auto" w:fill="CCEEFF"/>
            <w:tcMar>
              <w:top w:w="40" w:type="dxa"/>
              <w:left w:w="20" w:type="dxa"/>
              <w:bottom w:w="40" w:type="dxa"/>
              <w:right w:w="0" w:type="dxa"/>
            </w:tcMar>
            <w:vAlign w:val="bottom"/>
          </w:tcPr>
          <w:p w14:paraId="4090E5D4" w14:textId="77777777" w:rsidR="00833634" w:rsidRDefault="00E15D51">
            <w:pPr>
              <w:jc w:val="right"/>
              <w:textAlignment w:val="bottom"/>
            </w:pPr>
            <w:r>
              <w:rPr>
                <w:rFonts w:ascii="Arial" w:eastAsia="宋体" w:hAnsi="Arial" w:cs="Arial"/>
                <w:b/>
                <w:bCs/>
                <w:color w:val="000000"/>
                <w:sz w:val="20"/>
                <w:szCs w:val="20"/>
              </w:rPr>
              <w:t>(83)</w:t>
            </w:r>
          </w:p>
        </w:tc>
        <w:tc>
          <w:tcPr>
            <w:tcW w:w="0" w:type="auto"/>
            <w:shd w:val="clear" w:color="auto" w:fill="CCEEFF"/>
            <w:tcMar>
              <w:top w:w="40" w:type="dxa"/>
              <w:left w:w="0" w:type="dxa"/>
              <w:bottom w:w="40" w:type="dxa"/>
              <w:right w:w="20" w:type="dxa"/>
            </w:tcMar>
            <w:vAlign w:val="bottom"/>
          </w:tcPr>
          <w:p w14:paraId="4090E5D5" w14:textId="77777777" w:rsidR="00833634" w:rsidRDefault="00833634">
            <w:pPr>
              <w:jc w:val="right"/>
              <w:rPr>
                <w:rFonts w:ascii="宋体"/>
              </w:rPr>
            </w:pPr>
          </w:p>
        </w:tc>
        <w:tc>
          <w:tcPr>
            <w:tcW w:w="0" w:type="auto"/>
            <w:shd w:val="clear" w:color="auto" w:fill="auto"/>
          </w:tcPr>
          <w:p w14:paraId="4090E5D6" w14:textId="77777777" w:rsidR="00833634" w:rsidRDefault="00833634">
            <w:pPr>
              <w:rPr>
                <w:rFonts w:ascii="宋体"/>
                <w:vanish/>
              </w:rPr>
            </w:pPr>
          </w:p>
        </w:tc>
      </w:tr>
      <w:tr w:rsidR="00833634" w14:paraId="4090E5DC" w14:textId="77777777">
        <w:tc>
          <w:tcPr>
            <w:tcW w:w="0" w:type="auto"/>
            <w:gridSpan w:val="3"/>
            <w:shd w:val="clear" w:color="auto" w:fill="FFFFFF"/>
            <w:tcMar>
              <w:top w:w="40" w:type="dxa"/>
              <w:left w:w="360" w:type="dxa"/>
              <w:bottom w:w="40" w:type="dxa"/>
              <w:right w:w="20" w:type="dxa"/>
            </w:tcMar>
          </w:tcPr>
          <w:p w14:paraId="4090E5D8" w14:textId="77777777" w:rsidR="00833634" w:rsidRDefault="00E15D51">
            <w:pPr>
              <w:textAlignment w:val="top"/>
            </w:pPr>
            <w:r>
              <w:rPr>
                <w:rFonts w:ascii="Arial" w:eastAsia="宋体" w:hAnsi="Arial" w:cs="Arial"/>
                <w:color w:val="000000"/>
                <w:sz w:val="20"/>
                <w:szCs w:val="20"/>
              </w:rPr>
              <w:t>Changes in estimates</w:t>
            </w:r>
          </w:p>
        </w:tc>
        <w:tc>
          <w:tcPr>
            <w:tcW w:w="0" w:type="auto"/>
            <w:gridSpan w:val="2"/>
            <w:shd w:val="clear" w:color="auto" w:fill="FFFFFF"/>
            <w:tcMar>
              <w:top w:w="40" w:type="dxa"/>
              <w:left w:w="20" w:type="dxa"/>
              <w:bottom w:w="40" w:type="dxa"/>
              <w:right w:w="0" w:type="dxa"/>
            </w:tcMar>
            <w:vAlign w:val="bottom"/>
          </w:tcPr>
          <w:p w14:paraId="4090E5D9" w14:textId="77777777" w:rsidR="00833634" w:rsidRDefault="00E15D51">
            <w:pPr>
              <w:jc w:val="right"/>
              <w:textAlignment w:val="bottom"/>
            </w:pPr>
            <w:r>
              <w:rPr>
                <w:rFonts w:ascii="Arial" w:eastAsia="宋体" w:hAnsi="Arial" w:cs="Arial"/>
                <w:b/>
                <w:bCs/>
                <w:color w:val="000000"/>
                <w:sz w:val="20"/>
                <w:szCs w:val="20"/>
              </w:rPr>
              <w:t>370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5DA" w14:textId="77777777" w:rsidR="00833634" w:rsidRDefault="00833634">
            <w:pPr>
              <w:jc w:val="right"/>
              <w:rPr>
                <w:rFonts w:ascii="宋体"/>
              </w:rPr>
            </w:pPr>
          </w:p>
        </w:tc>
        <w:tc>
          <w:tcPr>
            <w:tcW w:w="0" w:type="auto"/>
            <w:shd w:val="clear" w:color="auto" w:fill="auto"/>
          </w:tcPr>
          <w:p w14:paraId="4090E5DB" w14:textId="77777777" w:rsidR="00833634" w:rsidRDefault="00833634">
            <w:pPr>
              <w:rPr>
                <w:rFonts w:ascii="宋体"/>
                <w:vanish/>
              </w:rPr>
            </w:pPr>
          </w:p>
        </w:tc>
      </w:tr>
      <w:tr w:rsidR="00833634" w14:paraId="4090E5E1"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4090E5DD" w14:textId="77777777" w:rsidR="00833634" w:rsidRDefault="00E15D51">
            <w:pPr>
              <w:textAlignment w:val="top"/>
            </w:pPr>
            <w:r>
              <w:rPr>
                <w:rFonts w:ascii="Arial" w:eastAsia="宋体" w:hAnsi="Arial" w:cs="Arial"/>
                <w:color w:val="000000"/>
                <w:sz w:val="20"/>
                <w:szCs w:val="20"/>
              </w:rPr>
              <w:t>Ending balance – September 30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5DE" w14:textId="77777777" w:rsidR="00833634" w:rsidRDefault="00E15D51">
            <w:pPr>
              <w:jc w:val="right"/>
              <w:textAlignment w:val="bottom"/>
            </w:pPr>
            <w:r>
              <w:rPr>
                <w:rFonts w:ascii="Arial" w:eastAsia="宋体" w:hAnsi="Arial" w:cs="Arial"/>
                <w:b/>
                <w:bCs/>
                <w:color w:val="000000"/>
                <w:sz w:val="20"/>
                <w:szCs w:val="20"/>
              </w:rPr>
              <w:t>$5,981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5DF" w14:textId="77777777" w:rsidR="00833634" w:rsidRDefault="00833634">
            <w:pPr>
              <w:jc w:val="right"/>
              <w:rPr>
                <w:rFonts w:ascii="宋体"/>
              </w:rPr>
            </w:pPr>
          </w:p>
        </w:tc>
        <w:tc>
          <w:tcPr>
            <w:tcW w:w="0" w:type="auto"/>
            <w:shd w:val="clear" w:color="auto" w:fill="auto"/>
          </w:tcPr>
          <w:p w14:paraId="4090E5E0" w14:textId="77777777" w:rsidR="00833634" w:rsidRDefault="00833634">
            <w:pPr>
              <w:rPr>
                <w:rFonts w:ascii="宋体"/>
                <w:vanish/>
              </w:rPr>
            </w:pPr>
          </w:p>
        </w:tc>
      </w:tr>
    </w:tbl>
    <w:p w14:paraId="4090E5E2" w14:textId="77777777" w:rsidR="00833634" w:rsidRDefault="00E15D51">
      <w:pPr>
        <w:spacing w:after="180"/>
        <w:jc w:val="both"/>
      </w:pPr>
      <w:r>
        <w:rPr>
          <w:rFonts w:ascii="Arial" w:eastAsia="宋体" w:hAnsi="Arial" w:cs="Arial"/>
          <w:color w:val="000000"/>
          <w:sz w:val="20"/>
          <w:szCs w:val="20"/>
        </w:rPr>
        <w:t xml:space="preserve">We are working with our customers to minimize the impact to their operations from grounded and </w:t>
      </w:r>
      <w:r>
        <w:rPr>
          <w:rFonts w:ascii="Arial" w:eastAsia="宋体" w:hAnsi="Arial" w:cs="Arial"/>
          <w:color w:val="000000"/>
          <w:sz w:val="20"/>
          <w:szCs w:val="20"/>
        </w:rPr>
        <w:t>undelivered aircraft. We continue to reassess the liability for estimated potential concessions and other considerations to customers on a quarterly basis. This reassessment includes updating estimates to reflect revisions to return to service, delivery an</w:t>
      </w:r>
      <w:r>
        <w:rPr>
          <w:rFonts w:ascii="Arial" w:eastAsia="宋体" w:hAnsi="Arial" w:cs="Arial"/>
          <w:color w:val="000000"/>
          <w:sz w:val="20"/>
          <w:szCs w:val="20"/>
        </w:rPr>
        <w:t>d production rate assumptions driven by timing of regulatory approvals, as well as latest information based on engagements with 737 MAX customers. The liability represents our current best estimate of future concessions and other considerations to customer</w:t>
      </w:r>
      <w:r>
        <w:rPr>
          <w:rFonts w:ascii="Arial" w:eastAsia="宋体" w:hAnsi="Arial" w:cs="Arial"/>
          <w:color w:val="000000"/>
          <w:sz w:val="20"/>
          <w:szCs w:val="20"/>
        </w:rPr>
        <w:t>s, and is necessarily based on a series of assumptions. It is subject to change in future quarters as negotiations with customers mature and timing and conditions of return to service are better understood. The liability balance of $6.0 billion at Septembe</w:t>
      </w:r>
      <w:r>
        <w:rPr>
          <w:rFonts w:ascii="Arial" w:eastAsia="宋体" w:hAnsi="Arial" w:cs="Arial"/>
          <w:color w:val="000000"/>
          <w:sz w:val="20"/>
          <w:szCs w:val="20"/>
        </w:rPr>
        <w:t>r 30, 2020 includes $1.6 billion expected to be liquidated by lower customer delivery payments, $0.8 billion expected to be paid in cash and $0.2 billion in other concessions. Of the cash payments to customers, we expect to pay $0.2 billion in 2020 and $0.</w:t>
      </w:r>
      <w:r>
        <w:rPr>
          <w:rFonts w:ascii="Arial" w:eastAsia="宋体" w:hAnsi="Arial" w:cs="Arial"/>
          <w:color w:val="000000"/>
          <w:sz w:val="20"/>
          <w:szCs w:val="20"/>
        </w:rPr>
        <w:t>4 billion in 2021. The type of consideration to be provided for the remaining $3.4 billion will depend on the outcomes of negotiations with customers.</w:t>
      </w:r>
    </w:p>
    <w:p w14:paraId="4090E5E3" w14:textId="77777777" w:rsidR="00833634" w:rsidRDefault="00E15D51">
      <w:pPr>
        <w:spacing w:after="180"/>
        <w:jc w:val="both"/>
      </w:pPr>
      <w:r>
        <w:rPr>
          <w:rFonts w:ascii="Arial" w:eastAsia="宋体" w:hAnsi="Arial" w:cs="Arial"/>
          <w:color w:val="000000"/>
          <w:sz w:val="20"/>
          <w:szCs w:val="20"/>
        </w:rPr>
        <w:t xml:space="preserve">The FAA and other non-U.S. civil aviation authorities will determine the timing and conditions of return </w:t>
      </w:r>
      <w:r>
        <w:rPr>
          <w:rFonts w:ascii="Arial" w:eastAsia="宋体" w:hAnsi="Arial" w:cs="Arial"/>
          <w:color w:val="000000"/>
          <w:sz w:val="20"/>
          <w:szCs w:val="20"/>
        </w:rPr>
        <w:t>to service. Our assumptions reflect our current best estimate, but actual timing and conditions of return to service and resumption of deliveries could differ from this estimate, the effect of which could be material. We are unable at this time to reasonab</w:t>
      </w:r>
      <w:r>
        <w:rPr>
          <w:rFonts w:ascii="Arial" w:eastAsia="宋体" w:hAnsi="Arial" w:cs="Arial"/>
          <w:color w:val="000000"/>
          <w:sz w:val="20"/>
          <w:szCs w:val="20"/>
        </w:rPr>
        <w:t>ly estimate potential future additional financial impacts or a range of loss, if any, due to continued uncertainties related to the timing and conditions of return to service, uncertainties related to the impacts of COVID-19 on our operations, supply chain</w:t>
      </w:r>
      <w:r>
        <w:rPr>
          <w:rFonts w:ascii="Arial" w:eastAsia="宋体" w:hAnsi="Arial" w:cs="Arial"/>
          <w:color w:val="000000"/>
          <w:sz w:val="20"/>
          <w:szCs w:val="20"/>
        </w:rPr>
        <w:t xml:space="preserve"> and customers, future changes to the production rate, supply chain impacts, and/or the results of negotiations with particular customers. Any such impacts, including any changes in our estimates, could have a material adverse effect on our financial posit</w:t>
      </w:r>
      <w:r>
        <w:rPr>
          <w:rFonts w:ascii="Arial" w:eastAsia="宋体" w:hAnsi="Arial" w:cs="Arial"/>
          <w:color w:val="000000"/>
          <w:sz w:val="20"/>
          <w:szCs w:val="20"/>
        </w:rPr>
        <w:t>ion, results of operations, and/or cash flows. For example, we expect that, in the event that we are unable to resume aircraft deliveries consistent with our assumptions, the continued absence of revenue, earnings, and cash flows associated with 737 MAX de</w:t>
      </w:r>
      <w:r>
        <w:rPr>
          <w:rFonts w:ascii="Arial" w:eastAsia="宋体" w:hAnsi="Arial" w:cs="Arial"/>
          <w:color w:val="000000"/>
          <w:sz w:val="20"/>
          <w:szCs w:val="20"/>
        </w:rPr>
        <w:t xml:space="preserve">liveries would continue to have a material impact on our operating results. In the event that future production rate increases occur at a slower rate or take longer than we are currently assuming, we expect that the growth in inventory and other cash flow </w:t>
      </w:r>
      <w:r>
        <w:rPr>
          <w:rFonts w:ascii="Arial" w:eastAsia="宋体" w:hAnsi="Arial" w:cs="Arial"/>
          <w:color w:val="000000"/>
          <w:sz w:val="20"/>
          <w:szCs w:val="20"/>
        </w:rPr>
        <w:t>impacts associated with production would decrease. However, while any prolonged production suspension or delays in planned production rate increases could mitigate the impact on our liquidity, it could significantly increase the overall expected costs to p</w:t>
      </w:r>
      <w:r>
        <w:rPr>
          <w:rFonts w:ascii="Arial" w:eastAsia="宋体" w:hAnsi="Arial" w:cs="Arial"/>
          <w:color w:val="000000"/>
          <w:sz w:val="20"/>
          <w:szCs w:val="20"/>
        </w:rPr>
        <w:t>roduce aircraft included in the accounting quantity, which would reduce 737 program margins and/or increase abnormal production costs in the future.</w:t>
      </w:r>
    </w:p>
    <w:p w14:paraId="4090E5E4" w14:textId="77777777" w:rsidR="00833634" w:rsidRDefault="00E15D51">
      <w:pPr>
        <w:spacing w:after="180"/>
        <w:jc w:val="both"/>
      </w:pPr>
      <w:r>
        <w:rPr>
          <w:rFonts w:ascii="Arial" w:eastAsia="宋体" w:hAnsi="Arial" w:cs="Arial"/>
          <w:color w:val="000000"/>
          <w:sz w:val="20"/>
          <w:szCs w:val="20"/>
        </w:rPr>
        <w:t xml:space="preserve">Commercial air traffic has fallen dramatically due to the COVID-19 pandemic. While this trend has impacted </w:t>
      </w:r>
      <w:r>
        <w:rPr>
          <w:rFonts w:ascii="Arial" w:eastAsia="宋体" w:hAnsi="Arial" w:cs="Arial"/>
          <w:color w:val="000000"/>
          <w:sz w:val="20"/>
          <w:szCs w:val="20"/>
        </w:rPr>
        <w:t>passenger traffic most severely, near-term cargo traffic has also fallen significantly due to the global economic downturn and the reduction in cargo capacity on passenger airplanes. Airlines have significantly reduced their capacity, and many could implem</w:t>
      </w:r>
      <w:r>
        <w:rPr>
          <w:rFonts w:ascii="Arial" w:eastAsia="宋体" w:hAnsi="Arial" w:cs="Arial"/>
          <w:color w:val="000000"/>
          <w:sz w:val="20"/>
          <w:szCs w:val="20"/>
        </w:rPr>
        <w:t xml:space="preserve">ent further reductions in the near future. Many airlines are also implementing significant reductions in staffing. These capacity changes are causing, and </w:t>
      </w:r>
    </w:p>
    <w:p w14:paraId="4090E5E5" w14:textId="77777777" w:rsidR="00833634" w:rsidRDefault="00E15D51">
      <w:pPr>
        <w:spacing w:after="180"/>
        <w:jc w:val="center"/>
      </w:pPr>
      <w:r>
        <w:rPr>
          <w:rFonts w:ascii="Arial" w:eastAsia="宋体" w:hAnsi="Arial" w:cs="Arial"/>
          <w:color w:val="000000"/>
          <w:sz w:val="18"/>
          <w:szCs w:val="18"/>
        </w:rPr>
        <w:t>18</w:t>
      </w:r>
    </w:p>
    <w:p w14:paraId="4090E5E6" w14:textId="77777777" w:rsidR="00833634" w:rsidRDefault="00E15D51">
      <w:r>
        <w:pict w14:anchorId="4090FE32">
          <v:rect id="_x0000_i1044" style="width:415.3pt;height:1.5pt" o:hralign="center" o:hrstd="t" o:hr="t" fillcolor="#a0a0a0" stroked="f"/>
        </w:pict>
      </w:r>
    </w:p>
    <w:p w14:paraId="4090E5E7" w14:textId="77777777" w:rsidR="00833634" w:rsidRDefault="00E15D51">
      <w:pPr>
        <w:spacing w:after="180"/>
        <w:jc w:val="both"/>
      </w:pPr>
      <w:hyperlink r:id="rId121" w:anchor="i8d805bfb1e1c4815a1dcd5b6d1e0b117_10" w:history="1">
        <w:r>
          <w:rPr>
            <w:rStyle w:val="a5"/>
            <w:rFonts w:ascii="Arial" w:eastAsia="宋体" w:hAnsi="Arial" w:cs="Arial"/>
            <w:sz w:val="18"/>
            <w:szCs w:val="18"/>
          </w:rPr>
          <w:t>Table of Contents</w:t>
        </w:r>
      </w:hyperlink>
    </w:p>
    <w:p w14:paraId="4090E5E8" w14:textId="77777777" w:rsidR="00833634" w:rsidRDefault="00E15D51">
      <w:pPr>
        <w:spacing w:after="180"/>
        <w:jc w:val="both"/>
      </w:pPr>
      <w:r>
        <w:rPr>
          <w:rFonts w:ascii="Arial" w:eastAsia="宋体" w:hAnsi="Arial" w:cs="Arial"/>
          <w:color w:val="000000"/>
          <w:sz w:val="20"/>
          <w:szCs w:val="20"/>
        </w:rPr>
        <w:t xml:space="preserve">are expected to continue to cause, negative impacts to our customers’ revenue, earnings, and cash flow, and in some cases may threaten the future viability of some of our </w:t>
      </w:r>
      <w:r>
        <w:rPr>
          <w:rFonts w:ascii="Arial" w:eastAsia="宋体" w:hAnsi="Arial" w:cs="Arial"/>
          <w:color w:val="000000"/>
          <w:sz w:val="20"/>
          <w:szCs w:val="20"/>
        </w:rPr>
        <w:t>customers, potentially causing defaults within our customer financing portfolio and/or requiring us to remarket aircraft that have already been produced and/or are currently in backlog. If 737 MAX aircraft remain grounded for an extended period of time, we</w:t>
      </w:r>
      <w:r>
        <w:rPr>
          <w:rFonts w:ascii="Arial" w:eastAsia="宋体" w:hAnsi="Arial" w:cs="Arial"/>
          <w:color w:val="000000"/>
          <w:sz w:val="20"/>
          <w:szCs w:val="20"/>
        </w:rPr>
        <w:t xml:space="preserve"> may experience additional reductions to backlog and/or significant order cancellations. Additionally, we may experience fewer new orders and increased cancellations across all of our commercial airplane programs as a result of the COVID-19 pandemic and as</w:t>
      </w:r>
      <w:r>
        <w:rPr>
          <w:rFonts w:ascii="Arial" w:eastAsia="宋体" w:hAnsi="Arial" w:cs="Arial"/>
          <w:color w:val="000000"/>
          <w:sz w:val="20"/>
          <w:szCs w:val="20"/>
        </w:rPr>
        <w:t>sociated impacts on demand. Our customers may also lack sufficient liquidity to purchase new aircraft due to impacts from the pandemic. We are also observing a significant increase in the number of requests for payment deferrals, contract modifications, le</w:t>
      </w:r>
      <w:r>
        <w:rPr>
          <w:rFonts w:ascii="Arial" w:eastAsia="宋体" w:hAnsi="Arial" w:cs="Arial"/>
          <w:color w:val="000000"/>
          <w:sz w:val="20"/>
          <w:szCs w:val="20"/>
        </w:rPr>
        <w:t>ase restructurings and similar actions, and these trends may lead to additional earnings charges, impairments and other adverse financial impacts in our business over time. In addition, to the extent that customers have valid rights to cancel undelivered a</w:t>
      </w:r>
      <w:r>
        <w:rPr>
          <w:rFonts w:ascii="Arial" w:eastAsia="宋体" w:hAnsi="Arial" w:cs="Arial"/>
          <w:color w:val="000000"/>
          <w:sz w:val="20"/>
          <w:szCs w:val="20"/>
        </w:rPr>
        <w:t>ircraft, we may be required to refund pre-delivery payments, putting additional constraints on our liquidity. There is risk that the industry implements longer-term strategies involving reduced capacity, shifting route patterns, and mitigation strategies r</w:t>
      </w:r>
      <w:r>
        <w:rPr>
          <w:rFonts w:ascii="Arial" w:eastAsia="宋体" w:hAnsi="Arial" w:cs="Arial"/>
          <w:color w:val="000000"/>
          <w:sz w:val="20"/>
          <w:szCs w:val="20"/>
        </w:rPr>
        <w:t>elated to impacts from COVID-19 and the risk of future public health crises. In addition, airlines may experience reduced demand due to reluctance by the flying public to travel.</w:t>
      </w:r>
    </w:p>
    <w:p w14:paraId="4090E5E9" w14:textId="77777777" w:rsidR="00833634" w:rsidRDefault="00E15D51">
      <w:pPr>
        <w:spacing w:after="180"/>
        <w:jc w:val="both"/>
      </w:pPr>
      <w:r>
        <w:rPr>
          <w:rFonts w:ascii="Arial" w:eastAsia="宋体" w:hAnsi="Arial" w:cs="Arial"/>
          <w:color w:val="000000"/>
          <w:sz w:val="20"/>
          <w:szCs w:val="20"/>
        </w:rPr>
        <w:t>As a result, there is significant uncertainty with respect to when commercial</w:t>
      </w:r>
      <w:r>
        <w:rPr>
          <w:rFonts w:ascii="Arial" w:eastAsia="宋体" w:hAnsi="Arial" w:cs="Arial"/>
          <w:color w:val="000000"/>
          <w:sz w:val="20"/>
          <w:szCs w:val="20"/>
        </w:rPr>
        <w:t xml:space="preserve"> air traffic levels will begin to recover, and whether and at what point capacity will return to and/or exceed pre-COVID-19 levels. The COVID-19 pandemic also has increased, and its aftermath is also expected to continue to increase, uncertainty with respe</w:t>
      </w:r>
      <w:r>
        <w:rPr>
          <w:rFonts w:ascii="Arial" w:eastAsia="宋体" w:hAnsi="Arial" w:cs="Arial"/>
          <w:color w:val="000000"/>
          <w:sz w:val="20"/>
          <w:szCs w:val="20"/>
        </w:rPr>
        <w:t>ct to global trade volumes, putting significant negative pressure on cargo traffic. Any of these factors would have a significant impact on the demand for both single-aisle and wide-body commercial aircraft, as well as for the services we provide to commer</w:t>
      </w:r>
      <w:r>
        <w:rPr>
          <w:rFonts w:ascii="Arial" w:eastAsia="宋体" w:hAnsi="Arial" w:cs="Arial"/>
          <w:color w:val="000000"/>
          <w:sz w:val="20"/>
          <w:szCs w:val="20"/>
        </w:rPr>
        <w:t xml:space="preserve">cial airlines. In addition, a lengthy period of reduced industry-wide demand for commercial aircraft would put additional pressure on our suppliers, resulting in increased procurement costs and/or additional supply chain disruption. To the extent that the </w:t>
      </w:r>
      <w:r>
        <w:rPr>
          <w:rFonts w:ascii="Arial" w:eastAsia="宋体" w:hAnsi="Arial" w:cs="Arial"/>
          <w:color w:val="000000"/>
          <w:sz w:val="20"/>
          <w:szCs w:val="20"/>
        </w:rPr>
        <w:t>COVID-19 pandemic or its aftermath further impacts demand for our products and services or impairs the viability of some of our customers and/or suppliers, our financial condition, results of operations, and cash flows could be adversely affected, and thos</w:t>
      </w:r>
      <w:r>
        <w:rPr>
          <w:rFonts w:ascii="Arial" w:eastAsia="宋体" w:hAnsi="Arial" w:cs="Arial"/>
          <w:color w:val="000000"/>
          <w:sz w:val="20"/>
          <w:szCs w:val="20"/>
        </w:rPr>
        <w:t>e impacts could be material.</w:t>
      </w:r>
    </w:p>
    <w:p w14:paraId="4090E5EA" w14:textId="77777777" w:rsidR="00833634" w:rsidRDefault="00E15D51">
      <w:pPr>
        <w:spacing w:after="180"/>
        <w:jc w:val="both"/>
      </w:pPr>
      <w:r>
        <w:rPr>
          <w:rFonts w:ascii="Arial" w:eastAsia="宋体" w:hAnsi="Arial" w:cs="Arial"/>
          <w:b/>
          <w:bCs/>
          <w:color w:val="000000"/>
          <w:sz w:val="20"/>
          <w:szCs w:val="20"/>
        </w:rPr>
        <w:t>Environmental</w:t>
      </w:r>
    </w:p>
    <w:p w14:paraId="4090E5EB" w14:textId="77777777" w:rsidR="00833634" w:rsidRDefault="00E15D51">
      <w:pPr>
        <w:jc w:val="both"/>
      </w:pPr>
      <w:r>
        <w:rPr>
          <w:rFonts w:ascii="Arial" w:eastAsia="宋体" w:hAnsi="Arial" w:cs="Arial"/>
          <w:color w:val="000000"/>
          <w:sz w:val="20"/>
          <w:szCs w:val="20"/>
        </w:rPr>
        <w:t>The following table summarizes environmental remediation activity during the nine months ended September 30, 2020 and 2019.</w:t>
      </w:r>
    </w:p>
    <w:tbl>
      <w:tblPr>
        <w:tblW w:w="4992" w:type="pct"/>
        <w:tblCellMar>
          <w:top w:w="15" w:type="dxa"/>
          <w:left w:w="15" w:type="dxa"/>
          <w:bottom w:w="15" w:type="dxa"/>
          <w:right w:w="15" w:type="dxa"/>
        </w:tblCellMar>
        <w:tblLook w:val="04A0" w:firstRow="1" w:lastRow="0" w:firstColumn="1" w:lastColumn="0" w:noHBand="0" w:noVBand="1"/>
      </w:tblPr>
      <w:tblGrid>
        <w:gridCol w:w="63"/>
        <w:gridCol w:w="6196"/>
        <w:gridCol w:w="37"/>
        <w:gridCol w:w="63"/>
        <w:gridCol w:w="862"/>
        <w:gridCol w:w="36"/>
        <w:gridCol w:w="36"/>
        <w:gridCol w:w="36"/>
        <w:gridCol w:w="36"/>
        <w:gridCol w:w="59"/>
        <w:gridCol w:w="863"/>
        <w:gridCol w:w="36"/>
      </w:tblGrid>
      <w:tr w:rsidR="00833634" w14:paraId="4090E5F8" w14:textId="77777777">
        <w:tc>
          <w:tcPr>
            <w:tcW w:w="50" w:type="pct"/>
            <w:shd w:val="clear" w:color="auto" w:fill="auto"/>
          </w:tcPr>
          <w:p w14:paraId="4090E5EC" w14:textId="77777777" w:rsidR="00833634" w:rsidRDefault="00833634">
            <w:pPr>
              <w:rPr>
                <w:rFonts w:ascii="宋体"/>
              </w:rPr>
            </w:pPr>
          </w:p>
        </w:tc>
        <w:tc>
          <w:tcPr>
            <w:tcW w:w="3733" w:type="pct"/>
            <w:shd w:val="clear" w:color="auto" w:fill="auto"/>
          </w:tcPr>
          <w:p w14:paraId="4090E5ED" w14:textId="77777777" w:rsidR="00833634" w:rsidRDefault="00833634">
            <w:pPr>
              <w:rPr>
                <w:rFonts w:ascii="宋体"/>
              </w:rPr>
            </w:pPr>
          </w:p>
        </w:tc>
        <w:tc>
          <w:tcPr>
            <w:tcW w:w="5" w:type="pct"/>
            <w:shd w:val="clear" w:color="auto" w:fill="auto"/>
          </w:tcPr>
          <w:p w14:paraId="4090E5EE" w14:textId="77777777" w:rsidR="00833634" w:rsidRDefault="00833634">
            <w:pPr>
              <w:rPr>
                <w:rFonts w:ascii="宋体"/>
              </w:rPr>
            </w:pPr>
          </w:p>
        </w:tc>
        <w:tc>
          <w:tcPr>
            <w:tcW w:w="50" w:type="pct"/>
            <w:shd w:val="clear" w:color="auto" w:fill="auto"/>
          </w:tcPr>
          <w:p w14:paraId="4090E5EF" w14:textId="77777777" w:rsidR="00833634" w:rsidRDefault="00833634">
            <w:pPr>
              <w:rPr>
                <w:rFonts w:ascii="宋体"/>
              </w:rPr>
            </w:pPr>
          </w:p>
        </w:tc>
        <w:tc>
          <w:tcPr>
            <w:tcW w:w="530" w:type="pct"/>
            <w:shd w:val="clear" w:color="auto" w:fill="auto"/>
          </w:tcPr>
          <w:p w14:paraId="4090E5F0" w14:textId="77777777" w:rsidR="00833634" w:rsidRDefault="00833634">
            <w:pPr>
              <w:rPr>
                <w:rFonts w:ascii="宋体"/>
              </w:rPr>
            </w:pPr>
          </w:p>
        </w:tc>
        <w:tc>
          <w:tcPr>
            <w:tcW w:w="5" w:type="pct"/>
            <w:shd w:val="clear" w:color="auto" w:fill="auto"/>
          </w:tcPr>
          <w:p w14:paraId="4090E5F1" w14:textId="77777777" w:rsidR="00833634" w:rsidRDefault="00833634">
            <w:pPr>
              <w:rPr>
                <w:rFonts w:ascii="宋体"/>
              </w:rPr>
            </w:pPr>
          </w:p>
        </w:tc>
        <w:tc>
          <w:tcPr>
            <w:tcW w:w="5" w:type="pct"/>
            <w:shd w:val="clear" w:color="auto" w:fill="auto"/>
          </w:tcPr>
          <w:p w14:paraId="4090E5F2" w14:textId="77777777" w:rsidR="00833634" w:rsidRDefault="00833634">
            <w:pPr>
              <w:rPr>
                <w:rFonts w:ascii="宋体"/>
              </w:rPr>
            </w:pPr>
          </w:p>
        </w:tc>
        <w:tc>
          <w:tcPr>
            <w:tcW w:w="30" w:type="pct"/>
            <w:shd w:val="clear" w:color="auto" w:fill="auto"/>
          </w:tcPr>
          <w:p w14:paraId="4090E5F3" w14:textId="77777777" w:rsidR="00833634" w:rsidRDefault="00833634">
            <w:pPr>
              <w:rPr>
                <w:rFonts w:ascii="宋体"/>
              </w:rPr>
            </w:pPr>
          </w:p>
        </w:tc>
        <w:tc>
          <w:tcPr>
            <w:tcW w:w="5" w:type="pct"/>
            <w:shd w:val="clear" w:color="auto" w:fill="auto"/>
          </w:tcPr>
          <w:p w14:paraId="4090E5F4" w14:textId="77777777" w:rsidR="00833634" w:rsidRDefault="00833634">
            <w:pPr>
              <w:rPr>
                <w:rFonts w:ascii="宋体"/>
              </w:rPr>
            </w:pPr>
          </w:p>
        </w:tc>
        <w:tc>
          <w:tcPr>
            <w:tcW w:w="50" w:type="pct"/>
            <w:shd w:val="clear" w:color="auto" w:fill="auto"/>
          </w:tcPr>
          <w:p w14:paraId="4090E5F5" w14:textId="77777777" w:rsidR="00833634" w:rsidRDefault="00833634">
            <w:pPr>
              <w:rPr>
                <w:rFonts w:ascii="宋体"/>
              </w:rPr>
            </w:pPr>
          </w:p>
        </w:tc>
        <w:tc>
          <w:tcPr>
            <w:tcW w:w="530" w:type="pct"/>
            <w:shd w:val="clear" w:color="auto" w:fill="auto"/>
          </w:tcPr>
          <w:p w14:paraId="4090E5F6" w14:textId="77777777" w:rsidR="00833634" w:rsidRDefault="00833634">
            <w:pPr>
              <w:rPr>
                <w:rFonts w:ascii="宋体"/>
              </w:rPr>
            </w:pPr>
          </w:p>
        </w:tc>
        <w:tc>
          <w:tcPr>
            <w:tcW w:w="5" w:type="pct"/>
            <w:shd w:val="clear" w:color="auto" w:fill="auto"/>
          </w:tcPr>
          <w:p w14:paraId="4090E5F7" w14:textId="77777777" w:rsidR="00833634" w:rsidRDefault="00833634">
            <w:pPr>
              <w:rPr>
                <w:rFonts w:ascii="宋体"/>
              </w:rPr>
            </w:pPr>
          </w:p>
        </w:tc>
      </w:tr>
      <w:tr w:rsidR="00833634" w14:paraId="4090E5FD" w14:textId="77777777">
        <w:tc>
          <w:tcPr>
            <w:tcW w:w="0" w:type="auto"/>
            <w:gridSpan w:val="3"/>
            <w:shd w:val="clear" w:color="auto" w:fill="auto"/>
            <w:tcMar>
              <w:top w:w="0" w:type="dxa"/>
              <w:left w:w="20" w:type="dxa"/>
              <w:bottom w:w="0" w:type="dxa"/>
              <w:right w:w="20" w:type="dxa"/>
            </w:tcMar>
          </w:tcPr>
          <w:p w14:paraId="4090E5F9"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5FA"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4090E5FB"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5FC" w14:textId="77777777" w:rsidR="00833634" w:rsidRDefault="00E15D51">
            <w:pPr>
              <w:jc w:val="right"/>
              <w:textAlignment w:val="bottom"/>
            </w:pPr>
            <w:r>
              <w:rPr>
                <w:rFonts w:ascii="Arial" w:eastAsia="宋体" w:hAnsi="Arial" w:cs="Arial"/>
                <w:color w:val="000000"/>
                <w:sz w:val="20"/>
                <w:szCs w:val="20"/>
              </w:rPr>
              <w:t>2019</w:t>
            </w:r>
          </w:p>
        </w:tc>
      </w:tr>
      <w:tr w:rsidR="00833634" w14:paraId="4090E604"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5FE" w14:textId="77777777" w:rsidR="00833634" w:rsidRDefault="00E15D51">
            <w:pPr>
              <w:textAlignment w:val="bottom"/>
            </w:pPr>
            <w:r>
              <w:rPr>
                <w:rFonts w:ascii="Arial" w:eastAsia="宋体" w:hAnsi="Arial" w:cs="Arial"/>
                <w:color w:val="000000"/>
                <w:sz w:val="20"/>
                <w:szCs w:val="20"/>
              </w:rPr>
              <w:t>Beginning balance – January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5FF" w14:textId="77777777" w:rsidR="00833634" w:rsidRDefault="00E15D51">
            <w:pPr>
              <w:jc w:val="right"/>
              <w:textAlignment w:val="bottom"/>
            </w:pPr>
            <w:r>
              <w:rPr>
                <w:rFonts w:ascii="Arial" w:eastAsia="宋体" w:hAnsi="Arial" w:cs="Arial"/>
                <w:b/>
                <w:bCs/>
                <w:color w:val="000000"/>
                <w:sz w:val="20"/>
                <w:szCs w:val="20"/>
              </w:rPr>
              <w:t>$570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0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60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602" w14:textId="77777777" w:rsidR="00833634" w:rsidRDefault="00E15D51">
            <w:pPr>
              <w:jc w:val="right"/>
              <w:textAlignment w:val="bottom"/>
            </w:pPr>
            <w:r>
              <w:rPr>
                <w:rFonts w:ascii="Arial" w:eastAsia="宋体" w:hAnsi="Arial" w:cs="Arial"/>
                <w:color w:val="000000"/>
                <w:sz w:val="20"/>
                <w:szCs w:val="20"/>
              </w:rPr>
              <w:t>$555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03" w14:textId="77777777" w:rsidR="00833634" w:rsidRDefault="00833634">
            <w:pPr>
              <w:jc w:val="right"/>
              <w:rPr>
                <w:rFonts w:ascii="宋体"/>
              </w:rPr>
            </w:pPr>
          </w:p>
        </w:tc>
      </w:tr>
      <w:tr w:rsidR="00833634" w14:paraId="4090E60B" w14:textId="77777777">
        <w:tc>
          <w:tcPr>
            <w:tcW w:w="0" w:type="auto"/>
            <w:gridSpan w:val="3"/>
            <w:shd w:val="clear" w:color="auto" w:fill="FFFFFF"/>
            <w:tcMar>
              <w:top w:w="40" w:type="dxa"/>
              <w:left w:w="360" w:type="dxa"/>
              <w:bottom w:w="40" w:type="dxa"/>
              <w:right w:w="20" w:type="dxa"/>
            </w:tcMar>
            <w:vAlign w:val="bottom"/>
          </w:tcPr>
          <w:p w14:paraId="4090E605" w14:textId="77777777" w:rsidR="00833634" w:rsidRDefault="00E15D51">
            <w:pPr>
              <w:textAlignment w:val="bottom"/>
            </w:pPr>
            <w:r>
              <w:rPr>
                <w:rFonts w:ascii="Arial" w:eastAsia="宋体" w:hAnsi="Arial" w:cs="Arial"/>
                <w:color w:val="000000"/>
                <w:sz w:val="20"/>
                <w:szCs w:val="20"/>
              </w:rPr>
              <w:t>Reductions for payments made</w:t>
            </w:r>
          </w:p>
        </w:tc>
        <w:tc>
          <w:tcPr>
            <w:tcW w:w="0" w:type="auto"/>
            <w:gridSpan w:val="2"/>
            <w:shd w:val="clear" w:color="auto" w:fill="FFFFFF"/>
            <w:tcMar>
              <w:top w:w="40" w:type="dxa"/>
              <w:left w:w="20" w:type="dxa"/>
              <w:bottom w:w="40" w:type="dxa"/>
              <w:right w:w="0" w:type="dxa"/>
            </w:tcMar>
            <w:vAlign w:val="bottom"/>
          </w:tcPr>
          <w:p w14:paraId="4090E606" w14:textId="77777777" w:rsidR="00833634" w:rsidRDefault="00E15D51">
            <w:pPr>
              <w:jc w:val="right"/>
              <w:textAlignment w:val="bottom"/>
            </w:pPr>
            <w:r>
              <w:rPr>
                <w:rFonts w:ascii="Arial" w:eastAsia="宋体" w:hAnsi="Arial" w:cs="Arial"/>
                <w:b/>
                <w:bCs/>
                <w:color w:val="000000"/>
                <w:sz w:val="20"/>
                <w:szCs w:val="20"/>
              </w:rPr>
              <w:t>(26)</w:t>
            </w:r>
          </w:p>
        </w:tc>
        <w:tc>
          <w:tcPr>
            <w:tcW w:w="0" w:type="auto"/>
            <w:shd w:val="clear" w:color="auto" w:fill="FFFFFF"/>
            <w:tcMar>
              <w:top w:w="40" w:type="dxa"/>
              <w:left w:w="0" w:type="dxa"/>
              <w:bottom w:w="40" w:type="dxa"/>
              <w:right w:w="20" w:type="dxa"/>
            </w:tcMar>
            <w:vAlign w:val="bottom"/>
          </w:tcPr>
          <w:p w14:paraId="4090E60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60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609" w14:textId="77777777" w:rsidR="00833634" w:rsidRDefault="00E15D51">
            <w:pPr>
              <w:jc w:val="right"/>
              <w:textAlignment w:val="bottom"/>
            </w:pPr>
            <w:r>
              <w:rPr>
                <w:rFonts w:ascii="Arial" w:eastAsia="宋体" w:hAnsi="Arial" w:cs="Arial"/>
                <w:color w:val="000000"/>
                <w:sz w:val="20"/>
                <w:szCs w:val="20"/>
              </w:rPr>
              <w:t>(34)</w:t>
            </w:r>
          </w:p>
        </w:tc>
        <w:tc>
          <w:tcPr>
            <w:tcW w:w="0" w:type="auto"/>
            <w:shd w:val="clear" w:color="auto" w:fill="FFFFFF"/>
            <w:tcMar>
              <w:top w:w="40" w:type="dxa"/>
              <w:left w:w="0" w:type="dxa"/>
              <w:bottom w:w="40" w:type="dxa"/>
              <w:right w:w="20" w:type="dxa"/>
            </w:tcMar>
            <w:vAlign w:val="bottom"/>
          </w:tcPr>
          <w:p w14:paraId="4090E60A" w14:textId="77777777" w:rsidR="00833634" w:rsidRDefault="00833634">
            <w:pPr>
              <w:jc w:val="right"/>
              <w:rPr>
                <w:rFonts w:ascii="宋体"/>
              </w:rPr>
            </w:pPr>
          </w:p>
        </w:tc>
      </w:tr>
      <w:tr w:rsidR="00833634" w14:paraId="4090E612" w14:textId="77777777">
        <w:tc>
          <w:tcPr>
            <w:tcW w:w="0" w:type="auto"/>
            <w:gridSpan w:val="3"/>
            <w:shd w:val="clear" w:color="auto" w:fill="CCEEFF"/>
            <w:tcMar>
              <w:top w:w="40" w:type="dxa"/>
              <w:left w:w="360" w:type="dxa"/>
              <w:bottom w:w="40" w:type="dxa"/>
              <w:right w:w="20" w:type="dxa"/>
            </w:tcMar>
            <w:vAlign w:val="bottom"/>
          </w:tcPr>
          <w:p w14:paraId="4090E60C" w14:textId="77777777" w:rsidR="00833634" w:rsidRDefault="00E15D51">
            <w:pPr>
              <w:textAlignment w:val="bottom"/>
            </w:pPr>
            <w:r>
              <w:rPr>
                <w:rFonts w:ascii="Arial" w:eastAsia="宋体" w:hAnsi="Arial" w:cs="Arial"/>
                <w:color w:val="000000"/>
                <w:sz w:val="20"/>
                <w:szCs w:val="20"/>
              </w:rPr>
              <w:t>Changes in estimates</w:t>
            </w:r>
          </w:p>
        </w:tc>
        <w:tc>
          <w:tcPr>
            <w:tcW w:w="0" w:type="auto"/>
            <w:gridSpan w:val="2"/>
            <w:shd w:val="clear" w:color="auto" w:fill="CCEEFF"/>
            <w:tcMar>
              <w:top w:w="40" w:type="dxa"/>
              <w:left w:w="20" w:type="dxa"/>
              <w:bottom w:w="40" w:type="dxa"/>
              <w:right w:w="0" w:type="dxa"/>
            </w:tcMar>
            <w:vAlign w:val="bottom"/>
          </w:tcPr>
          <w:p w14:paraId="4090E60D" w14:textId="77777777" w:rsidR="00833634" w:rsidRDefault="00E15D51">
            <w:pPr>
              <w:jc w:val="right"/>
              <w:textAlignment w:val="bottom"/>
            </w:pPr>
            <w:r>
              <w:rPr>
                <w:rFonts w:ascii="Arial" w:eastAsia="宋体" w:hAnsi="Arial" w:cs="Arial"/>
                <w:b/>
                <w:bCs/>
                <w:color w:val="000000"/>
                <w:sz w:val="20"/>
                <w:szCs w:val="20"/>
              </w:rPr>
              <w:t>27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60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60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610" w14:textId="77777777" w:rsidR="00833634" w:rsidRDefault="00E15D51">
            <w:pPr>
              <w:jc w:val="right"/>
              <w:textAlignment w:val="bottom"/>
            </w:pPr>
            <w:r>
              <w:rPr>
                <w:rFonts w:ascii="Arial" w:eastAsia="宋体" w:hAnsi="Arial" w:cs="Arial"/>
                <w:color w:val="000000"/>
                <w:sz w:val="20"/>
                <w:szCs w:val="20"/>
              </w:rPr>
              <w:t>61 </w:t>
            </w:r>
          </w:p>
        </w:tc>
        <w:tc>
          <w:tcPr>
            <w:tcW w:w="0" w:type="auto"/>
            <w:shd w:val="clear" w:color="auto" w:fill="CCEEFF"/>
            <w:tcMar>
              <w:top w:w="40" w:type="dxa"/>
              <w:left w:w="0" w:type="dxa"/>
              <w:bottom w:w="40" w:type="dxa"/>
              <w:right w:w="20" w:type="dxa"/>
            </w:tcMar>
            <w:vAlign w:val="bottom"/>
          </w:tcPr>
          <w:p w14:paraId="4090E611" w14:textId="77777777" w:rsidR="00833634" w:rsidRDefault="00833634">
            <w:pPr>
              <w:jc w:val="right"/>
              <w:rPr>
                <w:rFonts w:ascii="宋体"/>
              </w:rPr>
            </w:pPr>
          </w:p>
        </w:tc>
      </w:tr>
      <w:tr w:rsidR="00833634" w14:paraId="4090E619"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E613" w14:textId="77777777" w:rsidR="00833634" w:rsidRDefault="00E15D51">
            <w:pPr>
              <w:textAlignment w:val="bottom"/>
            </w:pPr>
            <w:r>
              <w:rPr>
                <w:rFonts w:ascii="Arial" w:eastAsia="宋体" w:hAnsi="Arial" w:cs="Arial"/>
                <w:color w:val="000000"/>
                <w:sz w:val="20"/>
                <w:szCs w:val="20"/>
              </w:rPr>
              <w:t>Ending balance – September 30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614" w14:textId="77777777" w:rsidR="00833634" w:rsidRDefault="00E15D51">
            <w:pPr>
              <w:jc w:val="right"/>
              <w:textAlignment w:val="bottom"/>
            </w:pPr>
            <w:r>
              <w:rPr>
                <w:rFonts w:ascii="Arial" w:eastAsia="宋体" w:hAnsi="Arial" w:cs="Arial"/>
                <w:b/>
                <w:bCs/>
                <w:color w:val="000000"/>
                <w:sz w:val="20"/>
                <w:szCs w:val="20"/>
              </w:rPr>
              <w:t>$571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615"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616"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617" w14:textId="77777777" w:rsidR="00833634" w:rsidRDefault="00E15D51">
            <w:pPr>
              <w:jc w:val="right"/>
              <w:textAlignment w:val="bottom"/>
            </w:pPr>
            <w:r>
              <w:rPr>
                <w:rFonts w:ascii="Arial" w:eastAsia="宋体" w:hAnsi="Arial" w:cs="Arial"/>
                <w:color w:val="000000"/>
                <w:sz w:val="20"/>
                <w:szCs w:val="20"/>
              </w:rPr>
              <w:t>$582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618" w14:textId="77777777" w:rsidR="00833634" w:rsidRDefault="00833634">
            <w:pPr>
              <w:jc w:val="right"/>
              <w:rPr>
                <w:rFonts w:ascii="宋体"/>
              </w:rPr>
            </w:pPr>
          </w:p>
        </w:tc>
      </w:tr>
    </w:tbl>
    <w:p w14:paraId="4090E61A" w14:textId="77777777" w:rsidR="00833634" w:rsidRDefault="00E15D51">
      <w:pPr>
        <w:spacing w:after="180"/>
        <w:jc w:val="both"/>
      </w:pPr>
      <w:r>
        <w:rPr>
          <w:rFonts w:ascii="Arial" w:eastAsia="宋体" w:hAnsi="Arial" w:cs="Arial"/>
          <w:color w:val="000000"/>
          <w:sz w:val="20"/>
          <w:szCs w:val="20"/>
        </w:rPr>
        <w:t xml:space="preserve">The liabilities recorded represent our best estimate or the low end of a range of reasonably possible costs expected to be </w:t>
      </w:r>
      <w:r>
        <w:rPr>
          <w:rFonts w:ascii="Arial" w:eastAsia="宋体" w:hAnsi="Arial" w:cs="Arial"/>
          <w:color w:val="000000"/>
          <w:sz w:val="20"/>
          <w:szCs w:val="20"/>
        </w:rPr>
        <w:t>incurred to remediate sites, including operation and maintenance over periods of up to 30 years. It is reasonably possible that we may incur charges that exceed these recorded amounts because of regulatory agency orders and directives, changes in laws and/</w:t>
      </w:r>
      <w:r>
        <w:rPr>
          <w:rFonts w:ascii="Arial" w:eastAsia="宋体" w:hAnsi="Arial" w:cs="Arial"/>
          <w:color w:val="000000"/>
          <w:sz w:val="20"/>
          <w:szCs w:val="20"/>
        </w:rPr>
        <w:t>or regulations, higher than expected costs and/or the discovery of new or additional contamination. As part of our estimating process, we develop a range of reasonably possible alternate scenarios that includes the high end of a range of reasonably possibl</w:t>
      </w:r>
      <w:r>
        <w:rPr>
          <w:rFonts w:ascii="Arial" w:eastAsia="宋体" w:hAnsi="Arial" w:cs="Arial"/>
          <w:color w:val="000000"/>
          <w:sz w:val="20"/>
          <w:szCs w:val="20"/>
        </w:rPr>
        <w:t>e cost estimates for all remediation sites for which we have sufficient information based on our experience and existing laws and regulations. There are some potential remediation obligations where the costs of remediation cannot be reasonably estimated. A</w:t>
      </w:r>
      <w:r>
        <w:rPr>
          <w:rFonts w:ascii="Arial" w:eastAsia="宋体" w:hAnsi="Arial" w:cs="Arial"/>
          <w:color w:val="000000"/>
          <w:sz w:val="20"/>
          <w:szCs w:val="20"/>
        </w:rPr>
        <w:t>t September 30, 2020 and December 31, 2019, the high end of the estimated range of reasonably possible remediation costs exceeded our recorded liabilities by $1,094 and $1,077.</w:t>
      </w:r>
    </w:p>
    <w:p w14:paraId="4090E61B" w14:textId="77777777" w:rsidR="00833634" w:rsidRDefault="00E15D51">
      <w:pPr>
        <w:spacing w:after="180"/>
        <w:jc w:val="center"/>
      </w:pPr>
      <w:r>
        <w:rPr>
          <w:rFonts w:ascii="Arial" w:eastAsia="宋体" w:hAnsi="Arial" w:cs="Arial"/>
          <w:color w:val="000000"/>
          <w:sz w:val="18"/>
          <w:szCs w:val="18"/>
        </w:rPr>
        <w:t>19</w:t>
      </w:r>
    </w:p>
    <w:p w14:paraId="4090E61C" w14:textId="77777777" w:rsidR="00833634" w:rsidRDefault="00E15D51">
      <w:r>
        <w:pict w14:anchorId="4090FE33">
          <v:rect id="_x0000_i1045" style="width:415.3pt;height:1.5pt" o:hralign="center" o:hrstd="t" o:hr="t" fillcolor="#a0a0a0" stroked="f"/>
        </w:pict>
      </w:r>
    </w:p>
    <w:p w14:paraId="4090E61D" w14:textId="77777777" w:rsidR="00833634" w:rsidRDefault="00E15D51">
      <w:pPr>
        <w:spacing w:after="180"/>
        <w:jc w:val="both"/>
      </w:pPr>
      <w:hyperlink r:id="rId122" w:anchor="i8d805bfb1e1c4815a1dcd5b6d1e0b117_10" w:history="1">
        <w:r>
          <w:rPr>
            <w:rStyle w:val="a5"/>
            <w:rFonts w:ascii="Arial" w:eastAsia="宋体" w:hAnsi="Arial" w:cs="Arial"/>
            <w:sz w:val="18"/>
            <w:szCs w:val="18"/>
          </w:rPr>
          <w:t>Table of Contents</w:t>
        </w:r>
      </w:hyperlink>
    </w:p>
    <w:p w14:paraId="4090E61E" w14:textId="77777777" w:rsidR="00833634" w:rsidRDefault="00E15D51">
      <w:pPr>
        <w:spacing w:after="180"/>
        <w:jc w:val="both"/>
      </w:pPr>
      <w:r>
        <w:rPr>
          <w:rFonts w:ascii="Arial" w:eastAsia="宋体" w:hAnsi="Arial" w:cs="Arial"/>
          <w:b/>
          <w:bCs/>
          <w:color w:val="000000"/>
          <w:sz w:val="20"/>
          <w:szCs w:val="20"/>
        </w:rPr>
        <w:t>Product Warranties</w:t>
      </w:r>
    </w:p>
    <w:p w14:paraId="4090E61F" w14:textId="77777777" w:rsidR="00833634" w:rsidRDefault="00E15D51">
      <w:pPr>
        <w:jc w:val="both"/>
      </w:pPr>
      <w:r>
        <w:rPr>
          <w:rFonts w:ascii="Arial" w:eastAsia="宋体" w:hAnsi="Arial" w:cs="Arial"/>
          <w:color w:val="000000"/>
          <w:sz w:val="20"/>
          <w:szCs w:val="20"/>
        </w:rPr>
        <w:t>The following table summarizes product warranty activity recorded d</w:t>
      </w:r>
      <w:r>
        <w:rPr>
          <w:rFonts w:ascii="Arial" w:eastAsia="宋体" w:hAnsi="Arial" w:cs="Arial"/>
          <w:color w:val="000000"/>
          <w:sz w:val="20"/>
          <w:szCs w:val="20"/>
        </w:rPr>
        <w:t>uring the nine months ended September 30, 2020 and 2019.</w:t>
      </w:r>
    </w:p>
    <w:tbl>
      <w:tblPr>
        <w:tblW w:w="4992" w:type="pct"/>
        <w:tblCellMar>
          <w:top w:w="15" w:type="dxa"/>
          <w:left w:w="15" w:type="dxa"/>
          <w:bottom w:w="15" w:type="dxa"/>
          <w:right w:w="15" w:type="dxa"/>
        </w:tblCellMar>
        <w:tblLook w:val="04A0" w:firstRow="1" w:lastRow="0" w:firstColumn="1" w:lastColumn="0" w:noHBand="0" w:noVBand="1"/>
      </w:tblPr>
      <w:tblGrid>
        <w:gridCol w:w="63"/>
        <w:gridCol w:w="6196"/>
        <w:gridCol w:w="38"/>
        <w:gridCol w:w="63"/>
        <w:gridCol w:w="862"/>
        <w:gridCol w:w="36"/>
        <w:gridCol w:w="36"/>
        <w:gridCol w:w="36"/>
        <w:gridCol w:w="36"/>
        <w:gridCol w:w="60"/>
        <w:gridCol w:w="861"/>
        <w:gridCol w:w="36"/>
      </w:tblGrid>
      <w:tr w:rsidR="00833634" w14:paraId="4090E62C" w14:textId="77777777">
        <w:tc>
          <w:tcPr>
            <w:tcW w:w="50" w:type="pct"/>
            <w:shd w:val="clear" w:color="auto" w:fill="auto"/>
          </w:tcPr>
          <w:p w14:paraId="4090E620" w14:textId="77777777" w:rsidR="00833634" w:rsidRDefault="00833634">
            <w:pPr>
              <w:rPr>
                <w:rFonts w:ascii="宋体"/>
              </w:rPr>
            </w:pPr>
          </w:p>
        </w:tc>
        <w:tc>
          <w:tcPr>
            <w:tcW w:w="3733" w:type="pct"/>
            <w:shd w:val="clear" w:color="auto" w:fill="auto"/>
          </w:tcPr>
          <w:p w14:paraId="4090E621" w14:textId="77777777" w:rsidR="00833634" w:rsidRDefault="00833634">
            <w:pPr>
              <w:rPr>
                <w:rFonts w:ascii="宋体"/>
              </w:rPr>
            </w:pPr>
          </w:p>
        </w:tc>
        <w:tc>
          <w:tcPr>
            <w:tcW w:w="5" w:type="pct"/>
            <w:shd w:val="clear" w:color="auto" w:fill="auto"/>
          </w:tcPr>
          <w:p w14:paraId="4090E622" w14:textId="77777777" w:rsidR="00833634" w:rsidRDefault="00833634">
            <w:pPr>
              <w:rPr>
                <w:rFonts w:ascii="宋体"/>
              </w:rPr>
            </w:pPr>
          </w:p>
        </w:tc>
        <w:tc>
          <w:tcPr>
            <w:tcW w:w="50" w:type="pct"/>
            <w:shd w:val="clear" w:color="auto" w:fill="auto"/>
          </w:tcPr>
          <w:p w14:paraId="4090E623" w14:textId="77777777" w:rsidR="00833634" w:rsidRDefault="00833634">
            <w:pPr>
              <w:rPr>
                <w:rFonts w:ascii="宋体"/>
              </w:rPr>
            </w:pPr>
          </w:p>
        </w:tc>
        <w:tc>
          <w:tcPr>
            <w:tcW w:w="530" w:type="pct"/>
            <w:shd w:val="clear" w:color="auto" w:fill="auto"/>
          </w:tcPr>
          <w:p w14:paraId="4090E624" w14:textId="77777777" w:rsidR="00833634" w:rsidRDefault="00833634">
            <w:pPr>
              <w:rPr>
                <w:rFonts w:ascii="宋体"/>
              </w:rPr>
            </w:pPr>
          </w:p>
        </w:tc>
        <w:tc>
          <w:tcPr>
            <w:tcW w:w="5" w:type="pct"/>
            <w:shd w:val="clear" w:color="auto" w:fill="auto"/>
          </w:tcPr>
          <w:p w14:paraId="4090E625" w14:textId="77777777" w:rsidR="00833634" w:rsidRDefault="00833634">
            <w:pPr>
              <w:rPr>
                <w:rFonts w:ascii="宋体"/>
              </w:rPr>
            </w:pPr>
          </w:p>
        </w:tc>
        <w:tc>
          <w:tcPr>
            <w:tcW w:w="5" w:type="pct"/>
            <w:shd w:val="clear" w:color="auto" w:fill="auto"/>
          </w:tcPr>
          <w:p w14:paraId="4090E626" w14:textId="77777777" w:rsidR="00833634" w:rsidRDefault="00833634">
            <w:pPr>
              <w:rPr>
                <w:rFonts w:ascii="宋体"/>
              </w:rPr>
            </w:pPr>
          </w:p>
        </w:tc>
        <w:tc>
          <w:tcPr>
            <w:tcW w:w="30" w:type="pct"/>
            <w:shd w:val="clear" w:color="auto" w:fill="auto"/>
          </w:tcPr>
          <w:p w14:paraId="4090E627" w14:textId="77777777" w:rsidR="00833634" w:rsidRDefault="00833634">
            <w:pPr>
              <w:rPr>
                <w:rFonts w:ascii="宋体"/>
              </w:rPr>
            </w:pPr>
          </w:p>
        </w:tc>
        <w:tc>
          <w:tcPr>
            <w:tcW w:w="5" w:type="pct"/>
            <w:shd w:val="clear" w:color="auto" w:fill="auto"/>
          </w:tcPr>
          <w:p w14:paraId="4090E628" w14:textId="77777777" w:rsidR="00833634" w:rsidRDefault="00833634">
            <w:pPr>
              <w:rPr>
                <w:rFonts w:ascii="宋体"/>
              </w:rPr>
            </w:pPr>
          </w:p>
        </w:tc>
        <w:tc>
          <w:tcPr>
            <w:tcW w:w="50" w:type="pct"/>
            <w:shd w:val="clear" w:color="auto" w:fill="auto"/>
          </w:tcPr>
          <w:p w14:paraId="4090E629" w14:textId="77777777" w:rsidR="00833634" w:rsidRDefault="00833634">
            <w:pPr>
              <w:rPr>
                <w:rFonts w:ascii="宋体"/>
              </w:rPr>
            </w:pPr>
          </w:p>
        </w:tc>
        <w:tc>
          <w:tcPr>
            <w:tcW w:w="530" w:type="pct"/>
            <w:shd w:val="clear" w:color="auto" w:fill="auto"/>
          </w:tcPr>
          <w:p w14:paraId="4090E62A" w14:textId="77777777" w:rsidR="00833634" w:rsidRDefault="00833634">
            <w:pPr>
              <w:rPr>
                <w:rFonts w:ascii="宋体"/>
              </w:rPr>
            </w:pPr>
          </w:p>
        </w:tc>
        <w:tc>
          <w:tcPr>
            <w:tcW w:w="5" w:type="pct"/>
            <w:shd w:val="clear" w:color="auto" w:fill="auto"/>
          </w:tcPr>
          <w:p w14:paraId="4090E62B" w14:textId="77777777" w:rsidR="00833634" w:rsidRDefault="00833634">
            <w:pPr>
              <w:rPr>
                <w:rFonts w:ascii="宋体"/>
              </w:rPr>
            </w:pPr>
          </w:p>
        </w:tc>
      </w:tr>
      <w:tr w:rsidR="00833634" w14:paraId="4090E631" w14:textId="77777777">
        <w:tc>
          <w:tcPr>
            <w:tcW w:w="0" w:type="auto"/>
            <w:gridSpan w:val="3"/>
            <w:shd w:val="clear" w:color="auto" w:fill="auto"/>
            <w:tcMar>
              <w:top w:w="0" w:type="dxa"/>
              <w:left w:w="20" w:type="dxa"/>
              <w:bottom w:w="0" w:type="dxa"/>
              <w:right w:w="20" w:type="dxa"/>
            </w:tcMar>
          </w:tcPr>
          <w:p w14:paraId="4090E62D"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62E"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4090E62F"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630" w14:textId="77777777" w:rsidR="00833634" w:rsidRDefault="00E15D51">
            <w:pPr>
              <w:jc w:val="right"/>
              <w:textAlignment w:val="bottom"/>
            </w:pPr>
            <w:r>
              <w:rPr>
                <w:rFonts w:ascii="Arial" w:eastAsia="宋体" w:hAnsi="Arial" w:cs="Arial"/>
                <w:color w:val="000000"/>
                <w:sz w:val="20"/>
                <w:szCs w:val="20"/>
              </w:rPr>
              <w:t>2019</w:t>
            </w:r>
          </w:p>
        </w:tc>
      </w:tr>
      <w:tr w:rsidR="00833634" w14:paraId="4090E63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632" w14:textId="77777777" w:rsidR="00833634" w:rsidRDefault="00E15D51">
            <w:pPr>
              <w:textAlignment w:val="bottom"/>
            </w:pPr>
            <w:r>
              <w:rPr>
                <w:rFonts w:ascii="Arial" w:eastAsia="宋体" w:hAnsi="Arial" w:cs="Arial"/>
                <w:color w:val="000000"/>
                <w:sz w:val="20"/>
                <w:szCs w:val="20"/>
              </w:rPr>
              <w:t>Beginning balance – January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633" w14:textId="77777777" w:rsidR="00833634" w:rsidRDefault="00E15D51">
            <w:pPr>
              <w:jc w:val="right"/>
              <w:textAlignment w:val="bottom"/>
            </w:pPr>
            <w:r>
              <w:rPr>
                <w:rFonts w:ascii="Arial" w:eastAsia="宋体" w:hAnsi="Arial" w:cs="Arial"/>
                <w:b/>
                <w:bCs/>
                <w:color w:val="000000"/>
                <w:sz w:val="20"/>
                <w:szCs w:val="20"/>
              </w:rPr>
              <w:t>$1,267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3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63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636" w14:textId="77777777" w:rsidR="00833634" w:rsidRDefault="00E15D51">
            <w:pPr>
              <w:jc w:val="right"/>
              <w:textAlignment w:val="bottom"/>
            </w:pPr>
            <w:r>
              <w:rPr>
                <w:rFonts w:ascii="Arial" w:eastAsia="宋体" w:hAnsi="Arial" w:cs="Arial"/>
                <w:color w:val="000000"/>
                <w:sz w:val="20"/>
                <w:szCs w:val="20"/>
              </w:rPr>
              <w:t>$1,127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37" w14:textId="77777777" w:rsidR="00833634" w:rsidRDefault="00833634">
            <w:pPr>
              <w:jc w:val="right"/>
              <w:rPr>
                <w:rFonts w:ascii="宋体"/>
              </w:rPr>
            </w:pPr>
          </w:p>
        </w:tc>
      </w:tr>
      <w:tr w:rsidR="00833634" w14:paraId="4090E63F" w14:textId="77777777">
        <w:tc>
          <w:tcPr>
            <w:tcW w:w="0" w:type="auto"/>
            <w:gridSpan w:val="3"/>
            <w:shd w:val="clear" w:color="auto" w:fill="FFFFFF"/>
            <w:tcMar>
              <w:top w:w="40" w:type="dxa"/>
              <w:left w:w="360" w:type="dxa"/>
              <w:bottom w:w="40" w:type="dxa"/>
              <w:right w:w="20" w:type="dxa"/>
            </w:tcMar>
            <w:vAlign w:val="bottom"/>
          </w:tcPr>
          <w:p w14:paraId="4090E639" w14:textId="77777777" w:rsidR="00833634" w:rsidRDefault="00E15D51">
            <w:pPr>
              <w:textAlignment w:val="bottom"/>
            </w:pPr>
            <w:r>
              <w:rPr>
                <w:rFonts w:ascii="Arial" w:eastAsia="宋体" w:hAnsi="Arial" w:cs="Arial"/>
                <w:color w:val="000000"/>
                <w:sz w:val="20"/>
                <w:szCs w:val="20"/>
              </w:rPr>
              <w:t>Additions for current year deliveries</w:t>
            </w:r>
          </w:p>
        </w:tc>
        <w:tc>
          <w:tcPr>
            <w:tcW w:w="0" w:type="auto"/>
            <w:gridSpan w:val="2"/>
            <w:shd w:val="clear" w:color="auto" w:fill="FFFFFF"/>
            <w:tcMar>
              <w:top w:w="40" w:type="dxa"/>
              <w:left w:w="20" w:type="dxa"/>
              <w:bottom w:w="40" w:type="dxa"/>
              <w:right w:w="0" w:type="dxa"/>
            </w:tcMar>
            <w:vAlign w:val="bottom"/>
          </w:tcPr>
          <w:p w14:paraId="4090E63A" w14:textId="77777777" w:rsidR="00833634" w:rsidRDefault="00E15D51">
            <w:pPr>
              <w:jc w:val="right"/>
              <w:textAlignment w:val="bottom"/>
            </w:pPr>
            <w:r>
              <w:rPr>
                <w:rFonts w:ascii="Arial" w:eastAsia="宋体" w:hAnsi="Arial" w:cs="Arial"/>
                <w:b/>
                <w:bCs/>
                <w:color w:val="000000"/>
                <w:sz w:val="20"/>
                <w:szCs w:val="20"/>
              </w:rPr>
              <w:t>50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63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63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63D" w14:textId="77777777" w:rsidR="00833634" w:rsidRDefault="00E15D51">
            <w:pPr>
              <w:jc w:val="right"/>
              <w:textAlignment w:val="bottom"/>
            </w:pPr>
            <w:r>
              <w:rPr>
                <w:rFonts w:ascii="Arial" w:eastAsia="宋体" w:hAnsi="Arial" w:cs="Arial"/>
                <w:color w:val="000000"/>
                <w:sz w:val="20"/>
                <w:szCs w:val="20"/>
              </w:rPr>
              <w:t>128 </w:t>
            </w:r>
          </w:p>
        </w:tc>
        <w:tc>
          <w:tcPr>
            <w:tcW w:w="0" w:type="auto"/>
            <w:shd w:val="clear" w:color="auto" w:fill="FFFFFF"/>
            <w:tcMar>
              <w:top w:w="40" w:type="dxa"/>
              <w:left w:w="0" w:type="dxa"/>
              <w:bottom w:w="40" w:type="dxa"/>
              <w:right w:w="20" w:type="dxa"/>
            </w:tcMar>
            <w:vAlign w:val="bottom"/>
          </w:tcPr>
          <w:p w14:paraId="4090E63E" w14:textId="77777777" w:rsidR="00833634" w:rsidRDefault="00833634">
            <w:pPr>
              <w:jc w:val="right"/>
              <w:rPr>
                <w:rFonts w:ascii="宋体"/>
              </w:rPr>
            </w:pPr>
          </w:p>
        </w:tc>
      </w:tr>
      <w:tr w:rsidR="00833634" w14:paraId="4090E646" w14:textId="77777777">
        <w:tc>
          <w:tcPr>
            <w:tcW w:w="0" w:type="auto"/>
            <w:gridSpan w:val="3"/>
            <w:shd w:val="clear" w:color="auto" w:fill="CCEEFF"/>
            <w:tcMar>
              <w:top w:w="40" w:type="dxa"/>
              <w:left w:w="360" w:type="dxa"/>
              <w:bottom w:w="40" w:type="dxa"/>
              <w:right w:w="20" w:type="dxa"/>
            </w:tcMar>
            <w:vAlign w:val="bottom"/>
          </w:tcPr>
          <w:p w14:paraId="4090E640" w14:textId="77777777" w:rsidR="00833634" w:rsidRDefault="00E15D51">
            <w:pPr>
              <w:textAlignment w:val="bottom"/>
            </w:pPr>
            <w:r>
              <w:rPr>
                <w:rFonts w:ascii="Arial" w:eastAsia="宋体" w:hAnsi="Arial" w:cs="Arial"/>
                <w:color w:val="000000"/>
                <w:sz w:val="20"/>
                <w:szCs w:val="20"/>
              </w:rPr>
              <w:t>Reductions for payments made</w:t>
            </w:r>
          </w:p>
        </w:tc>
        <w:tc>
          <w:tcPr>
            <w:tcW w:w="0" w:type="auto"/>
            <w:gridSpan w:val="2"/>
            <w:shd w:val="clear" w:color="auto" w:fill="CCEEFF"/>
            <w:tcMar>
              <w:top w:w="40" w:type="dxa"/>
              <w:left w:w="20" w:type="dxa"/>
              <w:bottom w:w="40" w:type="dxa"/>
              <w:right w:w="0" w:type="dxa"/>
            </w:tcMar>
            <w:vAlign w:val="bottom"/>
          </w:tcPr>
          <w:p w14:paraId="4090E641" w14:textId="77777777" w:rsidR="00833634" w:rsidRDefault="00E15D51">
            <w:pPr>
              <w:jc w:val="right"/>
              <w:textAlignment w:val="bottom"/>
            </w:pPr>
            <w:r>
              <w:rPr>
                <w:rFonts w:ascii="Arial" w:eastAsia="宋体" w:hAnsi="Arial" w:cs="Arial"/>
                <w:b/>
                <w:bCs/>
                <w:color w:val="000000"/>
                <w:sz w:val="20"/>
                <w:szCs w:val="20"/>
              </w:rPr>
              <w:t>(202)</w:t>
            </w:r>
          </w:p>
        </w:tc>
        <w:tc>
          <w:tcPr>
            <w:tcW w:w="0" w:type="auto"/>
            <w:shd w:val="clear" w:color="auto" w:fill="CCEEFF"/>
            <w:tcMar>
              <w:top w:w="40" w:type="dxa"/>
              <w:left w:w="0" w:type="dxa"/>
              <w:bottom w:w="40" w:type="dxa"/>
              <w:right w:w="20" w:type="dxa"/>
            </w:tcMar>
            <w:vAlign w:val="bottom"/>
          </w:tcPr>
          <w:p w14:paraId="4090E64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64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644" w14:textId="77777777" w:rsidR="00833634" w:rsidRDefault="00E15D51">
            <w:pPr>
              <w:jc w:val="right"/>
              <w:textAlignment w:val="bottom"/>
            </w:pPr>
            <w:r>
              <w:rPr>
                <w:rFonts w:ascii="Arial" w:eastAsia="宋体" w:hAnsi="Arial" w:cs="Arial"/>
                <w:color w:val="000000"/>
                <w:sz w:val="20"/>
                <w:szCs w:val="20"/>
              </w:rPr>
              <w:t>(166)</w:t>
            </w:r>
          </w:p>
        </w:tc>
        <w:tc>
          <w:tcPr>
            <w:tcW w:w="0" w:type="auto"/>
            <w:shd w:val="clear" w:color="auto" w:fill="CCEEFF"/>
            <w:tcMar>
              <w:top w:w="40" w:type="dxa"/>
              <w:left w:w="0" w:type="dxa"/>
              <w:bottom w:w="40" w:type="dxa"/>
              <w:right w:w="20" w:type="dxa"/>
            </w:tcMar>
            <w:vAlign w:val="bottom"/>
          </w:tcPr>
          <w:p w14:paraId="4090E645" w14:textId="77777777" w:rsidR="00833634" w:rsidRDefault="00833634">
            <w:pPr>
              <w:jc w:val="right"/>
              <w:rPr>
                <w:rFonts w:ascii="宋体"/>
              </w:rPr>
            </w:pPr>
          </w:p>
        </w:tc>
      </w:tr>
      <w:tr w:rsidR="00833634" w14:paraId="4090E64D" w14:textId="77777777">
        <w:tc>
          <w:tcPr>
            <w:tcW w:w="0" w:type="auto"/>
            <w:gridSpan w:val="3"/>
            <w:shd w:val="clear" w:color="auto" w:fill="FFFFFF"/>
            <w:tcMar>
              <w:top w:w="40" w:type="dxa"/>
              <w:left w:w="360" w:type="dxa"/>
              <w:bottom w:w="40" w:type="dxa"/>
              <w:right w:w="20" w:type="dxa"/>
            </w:tcMar>
            <w:vAlign w:val="bottom"/>
          </w:tcPr>
          <w:p w14:paraId="4090E647" w14:textId="77777777" w:rsidR="00833634" w:rsidRDefault="00E15D51">
            <w:pPr>
              <w:textAlignment w:val="bottom"/>
            </w:pPr>
            <w:r>
              <w:rPr>
                <w:rFonts w:ascii="Arial" w:eastAsia="宋体" w:hAnsi="Arial" w:cs="Arial"/>
                <w:color w:val="000000"/>
                <w:sz w:val="20"/>
                <w:szCs w:val="20"/>
              </w:rPr>
              <w:t xml:space="preserve">Changes in </w:t>
            </w:r>
            <w:r>
              <w:rPr>
                <w:rFonts w:ascii="Arial" w:eastAsia="宋体" w:hAnsi="Arial" w:cs="Arial"/>
                <w:color w:val="000000"/>
                <w:sz w:val="20"/>
                <w:szCs w:val="20"/>
              </w:rPr>
              <w:t>estimates</w:t>
            </w:r>
          </w:p>
        </w:tc>
        <w:tc>
          <w:tcPr>
            <w:tcW w:w="0" w:type="auto"/>
            <w:gridSpan w:val="2"/>
            <w:shd w:val="clear" w:color="auto" w:fill="FFFFFF"/>
            <w:tcMar>
              <w:top w:w="40" w:type="dxa"/>
              <w:left w:w="20" w:type="dxa"/>
              <w:bottom w:w="40" w:type="dxa"/>
              <w:right w:w="0" w:type="dxa"/>
            </w:tcMar>
            <w:vAlign w:val="bottom"/>
          </w:tcPr>
          <w:p w14:paraId="4090E648" w14:textId="77777777" w:rsidR="00833634" w:rsidRDefault="00E15D51">
            <w:pPr>
              <w:jc w:val="right"/>
              <w:textAlignment w:val="bottom"/>
            </w:pPr>
            <w:r>
              <w:rPr>
                <w:rFonts w:ascii="Arial" w:eastAsia="宋体" w:hAnsi="Arial" w:cs="Arial"/>
                <w:b/>
                <w:bCs/>
                <w:color w:val="000000"/>
                <w:sz w:val="20"/>
                <w:szCs w:val="20"/>
              </w:rPr>
              <w:t>444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64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64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64B" w14:textId="77777777" w:rsidR="00833634" w:rsidRDefault="00E15D51">
            <w:pPr>
              <w:jc w:val="right"/>
              <w:textAlignment w:val="bottom"/>
            </w:pPr>
            <w:r>
              <w:rPr>
                <w:rFonts w:ascii="Arial" w:eastAsia="宋体" w:hAnsi="Arial" w:cs="Arial"/>
                <w:color w:val="000000"/>
                <w:sz w:val="20"/>
                <w:szCs w:val="20"/>
              </w:rPr>
              <w:t>(7)</w:t>
            </w:r>
          </w:p>
        </w:tc>
        <w:tc>
          <w:tcPr>
            <w:tcW w:w="0" w:type="auto"/>
            <w:shd w:val="clear" w:color="auto" w:fill="FFFFFF"/>
            <w:tcMar>
              <w:top w:w="40" w:type="dxa"/>
              <w:left w:w="0" w:type="dxa"/>
              <w:bottom w:w="40" w:type="dxa"/>
              <w:right w:w="20" w:type="dxa"/>
            </w:tcMar>
            <w:vAlign w:val="bottom"/>
          </w:tcPr>
          <w:p w14:paraId="4090E64C" w14:textId="77777777" w:rsidR="00833634" w:rsidRDefault="00833634">
            <w:pPr>
              <w:jc w:val="right"/>
              <w:rPr>
                <w:rFonts w:ascii="宋体"/>
              </w:rPr>
            </w:pPr>
          </w:p>
        </w:tc>
      </w:tr>
      <w:tr w:rsidR="00833634" w14:paraId="4090E654"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E64E" w14:textId="77777777" w:rsidR="00833634" w:rsidRDefault="00E15D51">
            <w:pPr>
              <w:textAlignment w:val="bottom"/>
            </w:pPr>
            <w:r>
              <w:rPr>
                <w:rFonts w:ascii="Arial" w:eastAsia="宋体" w:hAnsi="Arial" w:cs="Arial"/>
                <w:color w:val="000000"/>
                <w:sz w:val="20"/>
                <w:szCs w:val="20"/>
              </w:rPr>
              <w:t>Ending balance – September 30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64F" w14:textId="77777777" w:rsidR="00833634" w:rsidRDefault="00E15D51">
            <w:pPr>
              <w:jc w:val="right"/>
              <w:textAlignment w:val="bottom"/>
            </w:pPr>
            <w:r>
              <w:rPr>
                <w:rFonts w:ascii="Arial" w:eastAsia="宋体" w:hAnsi="Arial" w:cs="Arial"/>
                <w:b/>
                <w:bCs/>
                <w:color w:val="000000"/>
                <w:sz w:val="20"/>
                <w:szCs w:val="20"/>
              </w:rPr>
              <w:t>$1,559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650"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651"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652" w14:textId="77777777" w:rsidR="00833634" w:rsidRDefault="00E15D51">
            <w:pPr>
              <w:jc w:val="right"/>
              <w:textAlignment w:val="bottom"/>
            </w:pPr>
            <w:r>
              <w:rPr>
                <w:rFonts w:ascii="Arial" w:eastAsia="宋体" w:hAnsi="Arial" w:cs="Arial"/>
                <w:color w:val="000000"/>
                <w:sz w:val="20"/>
                <w:szCs w:val="20"/>
              </w:rPr>
              <w:t>$1,082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653" w14:textId="77777777" w:rsidR="00833634" w:rsidRDefault="00833634">
            <w:pPr>
              <w:jc w:val="right"/>
              <w:rPr>
                <w:rFonts w:ascii="宋体"/>
              </w:rPr>
            </w:pPr>
          </w:p>
        </w:tc>
      </w:tr>
    </w:tbl>
    <w:p w14:paraId="4090E655" w14:textId="77777777" w:rsidR="00833634" w:rsidRDefault="00E15D51">
      <w:pPr>
        <w:spacing w:after="180"/>
        <w:jc w:val="both"/>
      </w:pPr>
      <w:r>
        <w:rPr>
          <w:rFonts w:ascii="Arial" w:eastAsia="宋体" w:hAnsi="Arial" w:cs="Arial"/>
          <w:color w:val="000000"/>
          <w:sz w:val="20"/>
          <w:szCs w:val="20"/>
        </w:rPr>
        <w:t xml:space="preserve">The increase in the product warranty reserve during the nine months ended September 30, 2020 is primarily driven by charges related to “pickle forks” on 737NG aircraft. During </w:t>
      </w:r>
      <w:r>
        <w:rPr>
          <w:rFonts w:ascii="Arial" w:eastAsia="宋体" w:hAnsi="Arial" w:cs="Arial"/>
          <w:color w:val="000000"/>
          <w:sz w:val="20"/>
          <w:szCs w:val="20"/>
        </w:rPr>
        <w:t>2019, we detected cracks in the "pickle forks", a frame fitting component of the structure connecting the wings to the fuselages of 737NG aircraft. We notified the FAA, which issued a directive requiring that certain 737NG airplanes be inspected. We have e</w:t>
      </w:r>
      <w:r>
        <w:rPr>
          <w:rFonts w:ascii="Arial" w:eastAsia="宋体" w:hAnsi="Arial" w:cs="Arial"/>
          <w:color w:val="000000"/>
          <w:sz w:val="20"/>
          <w:szCs w:val="20"/>
        </w:rPr>
        <w:t>stimated the number of aircraft that will have to be repaired in the future and provisioned for the estimated costs of completing the repairs. We recognized charges of $135 in 2019 for current and projected future aircraft repairs. During the first quarter</w:t>
      </w:r>
      <w:r>
        <w:rPr>
          <w:rFonts w:ascii="Arial" w:eastAsia="宋体" w:hAnsi="Arial" w:cs="Arial"/>
          <w:color w:val="000000"/>
          <w:sz w:val="20"/>
          <w:szCs w:val="20"/>
        </w:rPr>
        <w:t xml:space="preserve"> of 2020, we recognized additional charges of $336 based on revised engineering and fleet utilization estimates as well as updated repair cost estimates. We cannot estimate a range of reasonably possible losses, if any, in excess of amounts recognized due </w:t>
      </w:r>
      <w:r>
        <w:rPr>
          <w:rFonts w:ascii="Arial" w:eastAsia="宋体" w:hAnsi="Arial" w:cs="Arial"/>
          <w:color w:val="000000"/>
          <w:sz w:val="20"/>
          <w:szCs w:val="20"/>
        </w:rPr>
        <w:t>to the ongoing nature of the inspections and repairs and pending the completion of investigations into the cause of the condition.</w:t>
      </w:r>
    </w:p>
    <w:p w14:paraId="4090E656" w14:textId="77777777" w:rsidR="00833634" w:rsidRDefault="00E15D51">
      <w:pPr>
        <w:spacing w:after="180"/>
        <w:jc w:val="both"/>
      </w:pPr>
      <w:r>
        <w:rPr>
          <w:rFonts w:ascii="Arial" w:eastAsia="宋体" w:hAnsi="Arial" w:cs="Arial"/>
          <w:b/>
          <w:bCs/>
          <w:color w:val="000000"/>
          <w:sz w:val="20"/>
          <w:szCs w:val="20"/>
        </w:rPr>
        <w:t>Commercial Aircraft Commitments</w:t>
      </w:r>
    </w:p>
    <w:p w14:paraId="4090E657" w14:textId="77777777" w:rsidR="00833634" w:rsidRDefault="00E15D51">
      <w:pPr>
        <w:spacing w:after="180"/>
        <w:jc w:val="both"/>
      </w:pPr>
      <w:r>
        <w:rPr>
          <w:rFonts w:ascii="Arial" w:eastAsia="宋体" w:hAnsi="Arial" w:cs="Arial"/>
          <w:color w:val="000000"/>
          <w:sz w:val="20"/>
          <w:szCs w:val="20"/>
        </w:rPr>
        <w:t>In conjunction with signing definitive agreements for the sale of new aircraft (Sale Aircraft</w:t>
      </w:r>
      <w:r>
        <w:rPr>
          <w:rFonts w:ascii="Arial" w:eastAsia="宋体" w:hAnsi="Arial" w:cs="Arial"/>
          <w:color w:val="000000"/>
          <w:sz w:val="20"/>
          <w:szCs w:val="20"/>
        </w:rPr>
        <w:t>), we have entered into trade-in commitments with certain customers that give them the right to trade in used aircraft at a specified price upon the purchase of Sale Aircraft. The probability that trade-in commitments will be exercised is determined by usi</w:t>
      </w:r>
      <w:r>
        <w:rPr>
          <w:rFonts w:ascii="Arial" w:eastAsia="宋体" w:hAnsi="Arial" w:cs="Arial"/>
          <w:color w:val="000000"/>
          <w:sz w:val="20"/>
          <w:szCs w:val="20"/>
        </w:rPr>
        <w:t>ng both quantitative information from valuation sources and qualitative information from other sources. The probability of exercise is assessed quarterly, or as events trigger a change, and takes into consideration the current economic and airline industry</w:t>
      </w:r>
      <w:r>
        <w:rPr>
          <w:rFonts w:ascii="Arial" w:eastAsia="宋体" w:hAnsi="Arial" w:cs="Arial"/>
          <w:color w:val="000000"/>
          <w:sz w:val="20"/>
          <w:szCs w:val="20"/>
        </w:rPr>
        <w:t xml:space="preserve"> environments. Trade-in commitments, which can be terminated by mutual consent with the customer, may be exercised only during the period specified in the agreement, and require advance notice by the customer.</w:t>
      </w:r>
    </w:p>
    <w:p w14:paraId="4090E658" w14:textId="77777777" w:rsidR="00833634" w:rsidRDefault="00E15D51">
      <w:pPr>
        <w:spacing w:after="180"/>
        <w:jc w:val="both"/>
      </w:pPr>
      <w:r>
        <w:rPr>
          <w:rFonts w:ascii="Arial" w:eastAsia="宋体" w:hAnsi="Arial" w:cs="Arial"/>
          <w:color w:val="000000"/>
          <w:sz w:val="20"/>
          <w:szCs w:val="20"/>
        </w:rPr>
        <w:t>Trade-in commitment agreements at September 30</w:t>
      </w:r>
      <w:r>
        <w:rPr>
          <w:rFonts w:ascii="Arial" w:eastAsia="宋体" w:hAnsi="Arial" w:cs="Arial"/>
          <w:color w:val="000000"/>
          <w:sz w:val="20"/>
          <w:szCs w:val="20"/>
        </w:rPr>
        <w:t>, 2020 have expiration dates from 2020 through 2028. At September 30, 2020 and December 31, 2019 total contractual trade-in commitments were $958 and $1,407. As of September 30, 2020 and December 31, 2019, we estimated that it was probable we would be obli</w:t>
      </w:r>
      <w:r>
        <w:rPr>
          <w:rFonts w:ascii="Arial" w:eastAsia="宋体" w:hAnsi="Arial" w:cs="Arial"/>
          <w:color w:val="000000"/>
          <w:sz w:val="20"/>
          <w:szCs w:val="20"/>
        </w:rPr>
        <w:t>gated to perform on certain of these commitments with net amounts payable to customers totaling $601 and $711 and the fair value of the related trade-in aircraft was $590 and $678.</w:t>
      </w:r>
    </w:p>
    <w:p w14:paraId="4090E659" w14:textId="77777777" w:rsidR="00833634" w:rsidRDefault="00E15D51">
      <w:pPr>
        <w:spacing w:after="180"/>
        <w:jc w:val="center"/>
      </w:pPr>
      <w:r>
        <w:rPr>
          <w:rFonts w:ascii="Arial" w:eastAsia="宋体" w:hAnsi="Arial" w:cs="Arial"/>
          <w:color w:val="000000"/>
          <w:sz w:val="18"/>
          <w:szCs w:val="18"/>
        </w:rPr>
        <w:t>20</w:t>
      </w:r>
    </w:p>
    <w:p w14:paraId="4090E65A" w14:textId="77777777" w:rsidR="00833634" w:rsidRDefault="00E15D51">
      <w:r>
        <w:pict w14:anchorId="4090FE34">
          <v:rect id="_x0000_i1046" style="width:415.3pt;height:1.5pt" o:hralign="center" o:hrstd="t" o:hr="t" fillcolor="#a0a0a0" stroked="f"/>
        </w:pict>
      </w:r>
    </w:p>
    <w:p w14:paraId="4090E65B" w14:textId="77777777" w:rsidR="00833634" w:rsidRDefault="00E15D51">
      <w:pPr>
        <w:spacing w:after="180"/>
        <w:jc w:val="both"/>
      </w:pPr>
      <w:hyperlink r:id="rId123" w:anchor="i8d805bfb1e1c4815a1dcd5b6d1e0b117_10" w:history="1">
        <w:r>
          <w:rPr>
            <w:rStyle w:val="a5"/>
            <w:rFonts w:ascii="Arial" w:eastAsia="宋体" w:hAnsi="Arial" w:cs="Arial"/>
            <w:sz w:val="18"/>
            <w:szCs w:val="18"/>
          </w:rPr>
          <w:t>Table of Contents</w:t>
        </w:r>
      </w:hyperlink>
    </w:p>
    <w:p w14:paraId="4090E65C" w14:textId="77777777" w:rsidR="00833634" w:rsidRDefault="00E15D51">
      <w:pPr>
        <w:spacing w:after="180"/>
        <w:jc w:val="both"/>
      </w:pPr>
      <w:r>
        <w:rPr>
          <w:rFonts w:ascii="Arial" w:eastAsia="宋体" w:hAnsi="Arial" w:cs="Arial"/>
          <w:b/>
          <w:bCs/>
          <w:color w:val="000000"/>
          <w:sz w:val="20"/>
          <w:szCs w:val="20"/>
        </w:rPr>
        <w:t>Financing Commitments</w:t>
      </w:r>
    </w:p>
    <w:p w14:paraId="4090E65D" w14:textId="77777777" w:rsidR="00833634" w:rsidRDefault="00E15D51">
      <w:pPr>
        <w:jc w:val="both"/>
      </w:pPr>
      <w:r>
        <w:rPr>
          <w:rFonts w:ascii="Arial" w:eastAsia="宋体" w:hAnsi="Arial" w:cs="Arial"/>
          <w:color w:val="000000"/>
          <w:sz w:val="20"/>
          <w:szCs w:val="20"/>
        </w:rPr>
        <w:t>Financing commitments related to aircraft on order, including op</w:t>
      </w:r>
      <w:r>
        <w:rPr>
          <w:rFonts w:ascii="Arial" w:eastAsia="宋体" w:hAnsi="Arial" w:cs="Arial"/>
          <w:color w:val="000000"/>
          <w:sz w:val="20"/>
          <w:szCs w:val="20"/>
        </w:rPr>
        <w:t>tions and those proposed in sales campaigns, and refinancing of delivered aircraft, totaled $12,571 and $13,377 as of September 30, 2020 and December 31, 2019. The estimated earliest potential funding dates for these commitments as of September 30, 2020 ar</w:t>
      </w:r>
      <w:r>
        <w:rPr>
          <w:rFonts w:ascii="Arial" w:eastAsia="宋体" w:hAnsi="Arial" w:cs="Arial"/>
          <w:color w:val="000000"/>
          <w:sz w:val="20"/>
          <w:szCs w:val="20"/>
        </w:rPr>
        <w:t>e as follows:</w:t>
      </w:r>
    </w:p>
    <w:tbl>
      <w:tblPr>
        <w:tblW w:w="5000" w:type="pct"/>
        <w:tblCellMar>
          <w:top w:w="15" w:type="dxa"/>
          <w:left w:w="15" w:type="dxa"/>
          <w:bottom w:w="15" w:type="dxa"/>
          <w:right w:w="15" w:type="dxa"/>
        </w:tblCellMar>
        <w:tblLook w:val="04A0" w:firstRow="1" w:lastRow="0" w:firstColumn="1" w:lastColumn="0" w:noHBand="0" w:noVBand="1"/>
      </w:tblPr>
      <w:tblGrid>
        <w:gridCol w:w="69"/>
        <w:gridCol w:w="7068"/>
        <w:gridCol w:w="36"/>
        <w:gridCol w:w="70"/>
        <w:gridCol w:w="1057"/>
        <w:gridCol w:w="36"/>
      </w:tblGrid>
      <w:tr w:rsidR="00833634" w14:paraId="4090E664" w14:textId="77777777">
        <w:tc>
          <w:tcPr>
            <w:tcW w:w="50" w:type="pct"/>
            <w:shd w:val="clear" w:color="auto" w:fill="auto"/>
          </w:tcPr>
          <w:p w14:paraId="4090E65E" w14:textId="77777777" w:rsidR="00833634" w:rsidRDefault="00833634">
            <w:pPr>
              <w:rPr>
                <w:rFonts w:ascii="宋体"/>
              </w:rPr>
            </w:pPr>
          </w:p>
        </w:tc>
        <w:tc>
          <w:tcPr>
            <w:tcW w:w="4247" w:type="pct"/>
            <w:shd w:val="clear" w:color="auto" w:fill="auto"/>
          </w:tcPr>
          <w:p w14:paraId="4090E65F" w14:textId="77777777" w:rsidR="00833634" w:rsidRDefault="00833634">
            <w:pPr>
              <w:rPr>
                <w:rFonts w:ascii="宋体"/>
              </w:rPr>
            </w:pPr>
          </w:p>
        </w:tc>
        <w:tc>
          <w:tcPr>
            <w:tcW w:w="5" w:type="pct"/>
            <w:shd w:val="clear" w:color="auto" w:fill="auto"/>
          </w:tcPr>
          <w:p w14:paraId="4090E660" w14:textId="77777777" w:rsidR="00833634" w:rsidRDefault="00833634">
            <w:pPr>
              <w:rPr>
                <w:rFonts w:ascii="宋体"/>
              </w:rPr>
            </w:pPr>
          </w:p>
        </w:tc>
        <w:tc>
          <w:tcPr>
            <w:tcW w:w="50" w:type="pct"/>
            <w:shd w:val="clear" w:color="auto" w:fill="auto"/>
          </w:tcPr>
          <w:p w14:paraId="4090E661" w14:textId="77777777" w:rsidR="00833634" w:rsidRDefault="00833634">
            <w:pPr>
              <w:rPr>
                <w:rFonts w:ascii="宋体"/>
              </w:rPr>
            </w:pPr>
          </w:p>
        </w:tc>
        <w:tc>
          <w:tcPr>
            <w:tcW w:w="642" w:type="pct"/>
            <w:shd w:val="clear" w:color="auto" w:fill="auto"/>
          </w:tcPr>
          <w:p w14:paraId="4090E662" w14:textId="77777777" w:rsidR="00833634" w:rsidRDefault="00833634">
            <w:pPr>
              <w:rPr>
                <w:rFonts w:ascii="宋体"/>
              </w:rPr>
            </w:pPr>
          </w:p>
        </w:tc>
        <w:tc>
          <w:tcPr>
            <w:tcW w:w="5" w:type="pct"/>
            <w:shd w:val="clear" w:color="auto" w:fill="auto"/>
          </w:tcPr>
          <w:p w14:paraId="4090E663" w14:textId="77777777" w:rsidR="00833634" w:rsidRDefault="00833634">
            <w:pPr>
              <w:rPr>
                <w:rFonts w:ascii="宋体"/>
              </w:rPr>
            </w:pPr>
          </w:p>
        </w:tc>
      </w:tr>
      <w:tr w:rsidR="00833634" w14:paraId="4090E667" w14:textId="77777777">
        <w:tc>
          <w:tcPr>
            <w:tcW w:w="0" w:type="auto"/>
            <w:gridSpan w:val="3"/>
            <w:shd w:val="clear" w:color="auto" w:fill="auto"/>
            <w:tcMar>
              <w:top w:w="0" w:type="dxa"/>
              <w:left w:w="20" w:type="dxa"/>
              <w:bottom w:w="0" w:type="dxa"/>
              <w:right w:w="20" w:type="dxa"/>
            </w:tcMar>
          </w:tcPr>
          <w:p w14:paraId="4090E665" w14:textId="77777777" w:rsidR="00833634" w:rsidRDefault="00833634">
            <w:pPr>
              <w:textAlignment w:val="top"/>
            </w:pPr>
          </w:p>
        </w:tc>
        <w:tc>
          <w:tcPr>
            <w:tcW w:w="0" w:type="auto"/>
            <w:gridSpan w:val="3"/>
            <w:shd w:val="clear" w:color="auto" w:fill="auto"/>
            <w:tcMar>
              <w:top w:w="40" w:type="dxa"/>
              <w:left w:w="20" w:type="dxa"/>
              <w:bottom w:w="40" w:type="dxa"/>
              <w:right w:w="20" w:type="dxa"/>
            </w:tcMar>
            <w:vAlign w:val="bottom"/>
          </w:tcPr>
          <w:p w14:paraId="4090E666" w14:textId="77777777" w:rsidR="00833634" w:rsidRDefault="00E15D51">
            <w:pPr>
              <w:jc w:val="right"/>
              <w:textAlignment w:val="bottom"/>
            </w:pPr>
            <w:r>
              <w:rPr>
                <w:rFonts w:ascii="Arial" w:eastAsia="宋体" w:hAnsi="Arial" w:cs="Arial"/>
                <w:color w:val="000000"/>
                <w:sz w:val="20"/>
                <w:szCs w:val="20"/>
              </w:rPr>
              <w:t>Total</w:t>
            </w:r>
          </w:p>
        </w:tc>
      </w:tr>
      <w:tr w:rsidR="00833634" w14:paraId="4090E66B"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668" w14:textId="77777777" w:rsidR="00833634" w:rsidRDefault="00E15D51">
            <w:pPr>
              <w:textAlignment w:val="bottom"/>
            </w:pPr>
            <w:r>
              <w:rPr>
                <w:rFonts w:ascii="Arial" w:eastAsia="宋体" w:hAnsi="Arial" w:cs="Arial"/>
                <w:color w:val="000000"/>
                <w:sz w:val="20"/>
                <w:szCs w:val="20"/>
              </w:rPr>
              <w:t>October through December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669" w14:textId="77777777" w:rsidR="00833634" w:rsidRDefault="00E15D51">
            <w:pPr>
              <w:jc w:val="right"/>
              <w:textAlignment w:val="bottom"/>
            </w:pPr>
            <w:r>
              <w:rPr>
                <w:rFonts w:ascii="Arial" w:eastAsia="宋体" w:hAnsi="Arial" w:cs="Arial"/>
                <w:color w:val="000000"/>
                <w:sz w:val="20"/>
                <w:szCs w:val="20"/>
              </w:rPr>
              <w:t>$1,732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6A" w14:textId="77777777" w:rsidR="00833634" w:rsidRDefault="00833634">
            <w:pPr>
              <w:jc w:val="right"/>
              <w:rPr>
                <w:rFonts w:ascii="宋体"/>
              </w:rPr>
            </w:pPr>
          </w:p>
        </w:tc>
      </w:tr>
      <w:tr w:rsidR="00833634" w14:paraId="4090E66F" w14:textId="77777777">
        <w:tc>
          <w:tcPr>
            <w:tcW w:w="0" w:type="auto"/>
            <w:gridSpan w:val="3"/>
            <w:shd w:val="clear" w:color="auto" w:fill="FFFFFF"/>
            <w:tcMar>
              <w:top w:w="40" w:type="dxa"/>
              <w:left w:w="20" w:type="dxa"/>
              <w:bottom w:w="40" w:type="dxa"/>
              <w:right w:w="20" w:type="dxa"/>
            </w:tcMar>
            <w:vAlign w:val="bottom"/>
          </w:tcPr>
          <w:p w14:paraId="4090E66C" w14:textId="77777777" w:rsidR="00833634" w:rsidRDefault="00E15D51">
            <w:pPr>
              <w:textAlignment w:val="bottom"/>
            </w:pPr>
            <w:r>
              <w:rPr>
                <w:rFonts w:ascii="Arial" w:eastAsia="宋体" w:hAnsi="Arial" w:cs="Arial"/>
                <w:color w:val="000000"/>
                <w:sz w:val="20"/>
                <w:szCs w:val="20"/>
              </w:rPr>
              <w:t>2021</w:t>
            </w:r>
          </w:p>
        </w:tc>
        <w:tc>
          <w:tcPr>
            <w:tcW w:w="0" w:type="auto"/>
            <w:gridSpan w:val="2"/>
            <w:shd w:val="clear" w:color="auto" w:fill="FFFFFF"/>
            <w:tcMar>
              <w:top w:w="40" w:type="dxa"/>
              <w:left w:w="20" w:type="dxa"/>
              <w:bottom w:w="40" w:type="dxa"/>
              <w:right w:w="0" w:type="dxa"/>
            </w:tcMar>
            <w:vAlign w:val="bottom"/>
          </w:tcPr>
          <w:p w14:paraId="4090E66D" w14:textId="77777777" w:rsidR="00833634" w:rsidRDefault="00E15D51">
            <w:pPr>
              <w:jc w:val="right"/>
              <w:textAlignment w:val="bottom"/>
            </w:pPr>
            <w:r>
              <w:rPr>
                <w:rFonts w:ascii="Arial" w:eastAsia="宋体" w:hAnsi="Arial" w:cs="Arial"/>
                <w:color w:val="000000"/>
                <w:sz w:val="20"/>
                <w:szCs w:val="20"/>
              </w:rPr>
              <w:t>2,323 </w:t>
            </w:r>
          </w:p>
        </w:tc>
        <w:tc>
          <w:tcPr>
            <w:tcW w:w="0" w:type="auto"/>
            <w:shd w:val="clear" w:color="auto" w:fill="FFFFFF"/>
            <w:tcMar>
              <w:top w:w="40" w:type="dxa"/>
              <w:left w:w="0" w:type="dxa"/>
              <w:bottom w:w="40" w:type="dxa"/>
              <w:right w:w="20" w:type="dxa"/>
            </w:tcMar>
            <w:vAlign w:val="bottom"/>
          </w:tcPr>
          <w:p w14:paraId="4090E66E" w14:textId="77777777" w:rsidR="00833634" w:rsidRDefault="00833634">
            <w:pPr>
              <w:jc w:val="right"/>
              <w:rPr>
                <w:rFonts w:ascii="宋体"/>
              </w:rPr>
            </w:pPr>
          </w:p>
        </w:tc>
      </w:tr>
      <w:tr w:rsidR="00833634" w14:paraId="4090E673" w14:textId="77777777">
        <w:tc>
          <w:tcPr>
            <w:tcW w:w="0" w:type="auto"/>
            <w:gridSpan w:val="3"/>
            <w:shd w:val="clear" w:color="auto" w:fill="CCEEFF"/>
            <w:tcMar>
              <w:top w:w="40" w:type="dxa"/>
              <w:left w:w="20" w:type="dxa"/>
              <w:bottom w:w="40" w:type="dxa"/>
              <w:right w:w="20" w:type="dxa"/>
            </w:tcMar>
            <w:vAlign w:val="bottom"/>
          </w:tcPr>
          <w:p w14:paraId="4090E670" w14:textId="77777777" w:rsidR="00833634" w:rsidRDefault="00E15D51">
            <w:pPr>
              <w:textAlignment w:val="bottom"/>
            </w:pPr>
            <w:r>
              <w:rPr>
                <w:rFonts w:ascii="Arial" w:eastAsia="宋体" w:hAnsi="Arial" w:cs="Arial"/>
                <w:color w:val="000000"/>
                <w:sz w:val="20"/>
                <w:szCs w:val="20"/>
              </w:rPr>
              <w:t>2022</w:t>
            </w:r>
          </w:p>
        </w:tc>
        <w:tc>
          <w:tcPr>
            <w:tcW w:w="0" w:type="auto"/>
            <w:gridSpan w:val="2"/>
            <w:shd w:val="clear" w:color="auto" w:fill="CCEEFF"/>
            <w:tcMar>
              <w:top w:w="40" w:type="dxa"/>
              <w:left w:w="20" w:type="dxa"/>
              <w:bottom w:w="40" w:type="dxa"/>
              <w:right w:w="0" w:type="dxa"/>
            </w:tcMar>
            <w:vAlign w:val="bottom"/>
          </w:tcPr>
          <w:p w14:paraId="4090E671" w14:textId="77777777" w:rsidR="00833634" w:rsidRDefault="00E15D51">
            <w:pPr>
              <w:jc w:val="right"/>
              <w:textAlignment w:val="bottom"/>
            </w:pPr>
            <w:r>
              <w:rPr>
                <w:rFonts w:ascii="Arial" w:eastAsia="宋体" w:hAnsi="Arial" w:cs="Arial"/>
                <w:color w:val="000000"/>
                <w:sz w:val="20"/>
                <w:szCs w:val="20"/>
              </w:rPr>
              <w:t>1,733 </w:t>
            </w:r>
          </w:p>
        </w:tc>
        <w:tc>
          <w:tcPr>
            <w:tcW w:w="0" w:type="auto"/>
            <w:shd w:val="clear" w:color="auto" w:fill="CCEEFF"/>
            <w:tcMar>
              <w:top w:w="40" w:type="dxa"/>
              <w:left w:w="0" w:type="dxa"/>
              <w:bottom w:w="40" w:type="dxa"/>
              <w:right w:w="20" w:type="dxa"/>
            </w:tcMar>
            <w:vAlign w:val="bottom"/>
          </w:tcPr>
          <w:p w14:paraId="4090E672" w14:textId="77777777" w:rsidR="00833634" w:rsidRDefault="00833634">
            <w:pPr>
              <w:jc w:val="right"/>
              <w:rPr>
                <w:rFonts w:ascii="宋体"/>
              </w:rPr>
            </w:pPr>
          </w:p>
        </w:tc>
      </w:tr>
      <w:tr w:rsidR="00833634" w14:paraId="4090E677" w14:textId="77777777">
        <w:tc>
          <w:tcPr>
            <w:tcW w:w="0" w:type="auto"/>
            <w:gridSpan w:val="3"/>
            <w:shd w:val="clear" w:color="auto" w:fill="FFFFFF"/>
            <w:tcMar>
              <w:top w:w="40" w:type="dxa"/>
              <w:left w:w="20" w:type="dxa"/>
              <w:bottom w:w="40" w:type="dxa"/>
              <w:right w:w="20" w:type="dxa"/>
            </w:tcMar>
            <w:vAlign w:val="bottom"/>
          </w:tcPr>
          <w:p w14:paraId="4090E674" w14:textId="77777777" w:rsidR="00833634" w:rsidRDefault="00E15D51">
            <w:pPr>
              <w:textAlignment w:val="bottom"/>
            </w:pPr>
            <w:r>
              <w:rPr>
                <w:rFonts w:ascii="Arial" w:eastAsia="宋体" w:hAnsi="Arial" w:cs="Arial"/>
                <w:color w:val="000000"/>
                <w:sz w:val="20"/>
                <w:szCs w:val="20"/>
              </w:rPr>
              <w:t>2023</w:t>
            </w:r>
          </w:p>
        </w:tc>
        <w:tc>
          <w:tcPr>
            <w:tcW w:w="0" w:type="auto"/>
            <w:gridSpan w:val="2"/>
            <w:shd w:val="clear" w:color="auto" w:fill="FFFFFF"/>
            <w:tcMar>
              <w:top w:w="40" w:type="dxa"/>
              <w:left w:w="20" w:type="dxa"/>
              <w:bottom w:w="40" w:type="dxa"/>
              <w:right w:w="0" w:type="dxa"/>
            </w:tcMar>
            <w:vAlign w:val="bottom"/>
          </w:tcPr>
          <w:p w14:paraId="4090E675" w14:textId="77777777" w:rsidR="00833634" w:rsidRDefault="00E15D51">
            <w:pPr>
              <w:jc w:val="right"/>
              <w:textAlignment w:val="bottom"/>
            </w:pPr>
            <w:r>
              <w:rPr>
                <w:rFonts w:ascii="Arial" w:eastAsia="宋体" w:hAnsi="Arial" w:cs="Arial"/>
                <w:color w:val="000000"/>
                <w:sz w:val="20"/>
                <w:szCs w:val="20"/>
              </w:rPr>
              <w:t>1,567 </w:t>
            </w:r>
          </w:p>
        </w:tc>
        <w:tc>
          <w:tcPr>
            <w:tcW w:w="0" w:type="auto"/>
            <w:shd w:val="clear" w:color="auto" w:fill="FFFFFF"/>
            <w:tcMar>
              <w:top w:w="40" w:type="dxa"/>
              <w:left w:w="0" w:type="dxa"/>
              <w:bottom w:w="40" w:type="dxa"/>
              <w:right w:w="20" w:type="dxa"/>
            </w:tcMar>
            <w:vAlign w:val="bottom"/>
          </w:tcPr>
          <w:p w14:paraId="4090E676" w14:textId="77777777" w:rsidR="00833634" w:rsidRDefault="00833634">
            <w:pPr>
              <w:jc w:val="right"/>
              <w:rPr>
                <w:rFonts w:ascii="宋体"/>
              </w:rPr>
            </w:pPr>
          </w:p>
        </w:tc>
      </w:tr>
      <w:tr w:rsidR="00833634" w14:paraId="4090E67B" w14:textId="77777777">
        <w:tc>
          <w:tcPr>
            <w:tcW w:w="0" w:type="auto"/>
            <w:gridSpan w:val="3"/>
            <w:shd w:val="clear" w:color="auto" w:fill="CCEEFF"/>
            <w:tcMar>
              <w:top w:w="40" w:type="dxa"/>
              <w:left w:w="20" w:type="dxa"/>
              <w:bottom w:w="40" w:type="dxa"/>
              <w:right w:w="20" w:type="dxa"/>
            </w:tcMar>
            <w:vAlign w:val="bottom"/>
          </w:tcPr>
          <w:p w14:paraId="4090E678" w14:textId="77777777" w:rsidR="00833634" w:rsidRDefault="00E15D51">
            <w:pPr>
              <w:textAlignment w:val="bottom"/>
            </w:pPr>
            <w:r>
              <w:rPr>
                <w:rFonts w:ascii="Arial" w:eastAsia="宋体" w:hAnsi="Arial" w:cs="Arial"/>
                <w:color w:val="000000"/>
                <w:sz w:val="20"/>
                <w:szCs w:val="20"/>
              </w:rPr>
              <w:t>2024</w:t>
            </w:r>
          </w:p>
        </w:tc>
        <w:tc>
          <w:tcPr>
            <w:tcW w:w="0" w:type="auto"/>
            <w:gridSpan w:val="2"/>
            <w:shd w:val="clear" w:color="auto" w:fill="CCEEFF"/>
            <w:tcMar>
              <w:top w:w="40" w:type="dxa"/>
              <w:left w:w="20" w:type="dxa"/>
              <w:bottom w:w="40" w:type="dxa"/>
              <w:right w:w="0" w:type="dxa"/>
            </w:tcMar>
            <w:vAlign w:val="bottom"/>
          </w:tcPr>
          <w:p w14:paraId="4090E679" w14:textId="77777777" w:rsidR="00833634" w:rsidRDefault="00E15D51">
            <w:pPr>
              <w:jc w:val="right"/>
              <w:textAlignment w:val="bottom"/>
            </w:pPr>
            <w:r>
              <w:rPr>
                <w:rFonts w:ascii="Arial" w:eastAsia="宋体" w:hAnsi="Arial" w:cs="Arial"/>
                <w:color w:val="000000"/>
                <w:sz w:val="20"/>
                <w:szCs w:val="20"/>
              </w:rPr>
              <w:t>1,659 </w:t>
            </w:r>
          </w:p>
        </w:tc>
        <w:tc>
          <w:tcPr>
            <w:tcW w:w="0" w:type="auto"/>
            <w:shd w:val="clear" w:color="auto" w:fill="CCEEFF"/>
            <w:tcMar>
              <w:top w:w="40" w:type="dxa"/>
              <w:left w:w="0" w:type="dxa"/>
              <w:bottom w:w="40" w:type="dxa"/>
              <w:right w:w="20" w:type="dxa"/>
            </w:tcMar>
            <w:vAlign w:val="bottom"/>
          </w:tcPr>
          <w:p w14:paraId="4090E67A" w14:textId="77777777" w:rsidR="00833634" w:rsidRDefault="00833634">
            <w:pPr>
              <w:jc w:val="right"/>
              <w:rPr>
                <w:rFonts w:ascii="宋体"/>
              </w:rPr>
            </w:pPr>
          </w:p>
        </w:tc>
      </w:tr>
      <w:tr w:rsidR="00833634" w14:paraId="4090E67F" w14:textId="77777777">
        <w:tc>
          <w:tcPr>
            <w:tcW w:w="0" w:type="auto"/>
            <w:gridSpan w:val="3"/>
            <w:shd w:val="clear" w:color="auto" w:fill="FFFFFF"/>
            <w:tcMar>
              <w:top w:w="40" w:type="dxa"/>
              <w:left w:w="20" w:type="dxa"/>
              <w:bottom w:w="40" w:type="dxa"/>
              <w:right w:w="20" w:type="dxa"/>
            </w:tcMar>
            <w:vAlign w:val="bottom"/>
          </w:tcPr>
          <w:p w14:paraId="4090E67C" w14:textId="77777777" w:rsidR="00833634" w:rsidRDefault="00E15D51">
            <w:pPr>
              <w:textAlignment w:val="bottom"/>
            </w:pPr>
            <w:r>
              <w:rPr>
                <w:rFonts w:ascii="Arial" w:eastAsia="宋体" w:hAnsi="Arial" w:cs="Arial"/>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4090E67D" w14:textId="77777777" w:rsidR="00833634" w:rsidRDefault="00E15D51">
            <w:pPr>
              <w:jc w:val="right"/>
              <w:textAlignment w:val="bottom"/>
            </w:pPr>
            <w:r>
              <w:rPr>
                <w:rFonts w:ascii="Arial" w:eastAsia="宋体" w:hAnsi="Arial" w:cs="Arial"/>
                <w:color w:val="000000"/>
                <w:sz w:val="20"/>
                <w:szCs w:val="20"/>
              </w:rPr>
              <w:t>3,557 </w:t>
            </w:r>
          </w:p>
        </w:tc>
        <w:tc>
          <w:tcPr>
            <w:tcW w:w="0" w:type="auto"/>
            <w:shd w:val="clear" w:color="auto" w:fill="FFFFFF"/>
            <w:tcMar>
              <w:top w:w="40" w:type="dxa"/>
              <w:left w:w="0" w:type="dxa"/>
              <w:bottom w:w="40" w:type="dxa"/>
              <w:right w:w="20" w:type="dxa"/>
            </w:tcMar>
            <w:vAlign w:val="bottom"/>
          </w:tcPr>
          <w:p w14:paraId="4090E67E" w14:textId="77777777" w:rsidR="00833634" w:rsidRDefault="00833634">
            <w:pPr>
              <w:jc w:val="right"/>
              <w:rPr>
                <w:rFonts w:ascii="宋体"/>
              </w:rPr>
            </w:pPr>
          </w:p>
        </w:tc>
      </w:tr>
      <w:tr w:rsidR="00833634" w14:paraId="4090E683" w14:textId="77777777">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680"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681" w14:textId="77777777" w:rsidR="00833634" w:rsidRDefault="00E15D51">
            <w:pPr>
              <w:jc w:val="right"/>
              <w:textAlignment w:val="bottom"/>
            </w:pPr>
            <w:r>
              <w:rPr>
                <w:rFonts w:ascii="Arial" w:eastAsia="宋体" w:hAnsi="Arial" w:cs="Arial"/>
                <w:color w:val="000000"/>
                <w:sz w:val="20"/>
                <w:szCs w:val="20"/>
              </w:rPr>
              <w:t>$12,571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682" w14:textId="77777777" w:rsidR="00833634" w:rsidRDefault="00833634">
            <w:pPr>
              <w:jc w:val="right"/>
              <w:rPr>
                <w:rFonts w:ascii="宋体"/>
              </w:rPr>
            </w:pPr>
          </w:p>
        </w:tc>
      </w:tr>
    </w:tbl>
    <w:p w14:paraId="4090E684" w14:textId="77777777" w:rsidR="00833634" w:rsidRDefault="00E15D51">
      <w:pPr>
        <w:spacing w:after="180"/>
        <w:jc w:val="both"/>
      </w:pPr>
      <w:r>
        <w:rPr>
          <w:rFonts w:ascii="Arial" w:eastAsia="宋体" w:hAnsi="Arial" w:cs="Arial"/>
          <w:color w:val="000000"/>
          <w:sz w:val="20"/>
          <w:szCs w:val="20"/>
        </w:rPr>
        <w:t xml:space="preserve">As of September 30, 2020, all of these financing commitments relate to customers we believe </w:t>
      </w:r>
      <w:r>
        <w:rPr>
          <w:rFonts w:ascii="Arial" w:eastAsia="宋体" w:hAnsi="Arial" w:cs="Arial"/>
          <w:color w:val="000000"/>
          <w:sz w:val="20"/>
          <w:szCs w:val="20"/>
        </w:rPr>
        <w:t>have less than investment-grade credit. We have concluded that no reserve for future potential losses is required for these financing commitments based upon the terms, such as collateralization and interest rates, under which funding would be provided.</w:t>
      </w:r>
    </w:p>
    <w:p w14:paraId="4090E685" w14:textId="77777777" w:rsidR="00833634" w:rsidRDefault="00E15D51">
      <w:pPr>
        <w:spacing w:after="180"/>
        <w:jc w:val="both"/>
      </w:pPr>
      <w:r>
        <w:rPr>
          <w:rFonts w:ascii="Arial" w:eastAsia="宋体" w:hAnsi="Arial" w:cs="Arial"/>
          <w:b/>
          <w:bCs/>
          <w:color w:val="000000"/>
          <w:sz w:val="20"/>
          <w:szCs w:val="20"/>
        </w:rPr>
        <w:t>Fun</w:t>
      </w:r>
      <w:r>
        <w:rPr>
          <w:rFonts w:ascii="Arial" w:eastAsia="宋体" w:hAnsi="Arial" w:cs="Arial"/>
          <w:b/>
          <w:bCs/>
          <w:color w:val="000000"/>
          <w:sz w:val="20"/>
          <w:szCs w:val="20"/>
        </w:rPr>
        <w:t>ding Commitments</w:t>
      </w:r>
    </w:p>
    <w:p w14:paraId="4090E686" w14:textId="77777777" w:rsidR="00833634" w:rsidRDefault="00E15D51">
      <w:pPr>
        <w:spacing w:after="180"/>
        <w:jc w:val="both"/>
      </w:pPr>
      <w:r>
        <w:rPr>
          <w:rFonts w:ascii="Arial" w:eastAsia="宋体" w:hAnsi="Arial" w:cs="Arial"/>
          <w:color w:val="000000"/>
          <w:sz w:val="20"/>
          <w:szCs w:val="20"/>
        </w:rPr>
        <w:t xml:space="preserve">We have commitments to make additional capital contributions of $243 to joint ventures over the next seven years. </w:t>
      </w:r>
    </w:p>
    <w:p w14:paraId="4090E687" w14:textId="77777777" w:rsidR="00833634" w:rsidRDefault="00E15D51">
      <w:pPr>
        <w:spacing w:after="180"/>
        <w:jc w:val="both"/>
      </w:pPr>
      <w:r>
        <w:rPr>
          <w:rFonts w:ascii="Arial" w:eastAsia="宋体" w:hAnsi="Arial" w:cs="Arial"/>
          <w:b/>
          <w:bCs/>
          <w:color w:val="000000"/>
          <w:sz w:val="20"/>
          <w:szCs w:val="20"/>
        </w:rPr>
        <w:t>Standby Letters of Credit and Surety Bonds</w:t>
      </w:r>
    </w:p>
    <w:p w14:paraId="4090E688" w14:textId="77777777" w:rsidR="00833634" w:rsidRDefault="00E15D51">
      <w:pPr>
        <w:spacing w:after="180"/>
        <w:jc w:val="both"/>
      </w:pPr>
      <w:r>
        <w:rPr>
          <w:rFonts w:ascii="Arial" w:eastAsia="宋体" w:hAnsi="Arial" w:cs="Arial"/>
          <w:color w:val="000000"/>
          <w:sz w:val="20"/>
          <w:szCs w:val="20"/>
        </w:rPr>
        <w:t>We have entered into standby letters of credit and surety bonds with financial in</w:t>
      </w:r>
      <w:r>
        <w:rPr>
          <w:rFonts w:ascii="Arial" w:eastAsia="宋体" w:hAnsi="Arial" w:cs="Arial"/>
          <w:color w:val="000000"/>
          <w:sz w:val="20"/>
          <w:szCs w:val="20"/>
        </w:rPr>
        <w:t>stitutions primarily relating to the guarantee of our future performance on certain contracts. Contingent liabilities on outstanding letters of credit agreements and surety bonds aggregated approximately $3,640 and $3,769 as of September 30, 2020 and Decem</w:t>
      </w:r>
      <w:r>
        <w:rPr>
          <w:rFonts w:ascii="Arial" w:eastAsia="宋体" w:hAnsi="Arial" w:cs="Arial"/>
          <w:color w:val="000000"/>
          <w:sz w:val="20"/>
          <w:szCs w:val="20"/>
        </w:rPr>
        <w:t>ber 31, 2019.</w:t>
      </w:r>
    </w:p>
    <w:p w14:paraId="4090E689" w14:textId="77777777" w:rsidR="00833634" w:rsidRDefault="00E15D51">
      <w:pPr>
        <w:spacing w:after="180"/>
        <w:jc w:val="both"/>
      </w:pPr>
      <w:r>
        <w:rPr>
          <w:rFonts w:ascii="Arial" w:eastAsia="宋体" w:hAnsi="Arial" w:cs="Arial"/>
          <w:b/>
          <w:bCs/>
          <w:color w:val="000000"/>
          <w:sz w:val="20"/>
          <w:szCs w:val="20"/>
        </w:rPr>
        <w:t>United States Government Defense Environment Overview</w:t>
      </w:r>
    </w:p>
    <w:p w14:paraId="4090E68A" w14:textId="77777777" w:rsidR="00833634" w:rsidRDefault="00E15D51">
      <w:pPr>
        <w:spacing w:after="180"/>
        <w:jc w:val="both"/>
      </w:pPr>
      <w:r>
        <w:rPr>
          <w:rFonts w:ascii="Arial" w:eastAsia="宋体" w:hAnsi="Arial" w:cs="Arial"/>
          <w:color w:val="000000"/>
          <w:sz w:val="20"/>
          <w:szCs w:val="20"/>
        </w:rPr>
        <w:t>The Bipartisan Budget Act of 2019 raised the Budget Control Act limits on federal discretionary defense and non-defense spending for fiscal years 2020 and 2021 (FY20 and FY21), reducing bu</w:t>
      </w:r>
      <w:r>
        <w:rPr>
          <w:rFonts w:ascii="Arial" w:eastAsia="宋体" w:hAnsi="Arial" w:cs="Arial"/>
          <w:color w:val="000000"/>
          <w:sz w:val="20"/>
          <w:szCs w:val="20"/>
        </w:rPr>
        <w:t>dget uncertainty and the risk of sequestration. The consolidated appropriations acts for FY20, enacted in December 2019, provided FY20 appropriations for government departments and agencies, including the U.S. DoD, the National Aeronautics and Space Admini</w:t>
      </w:r>
      <w:r>
        <w:rPr>
          <w:rFonts w:ascii="Arial" w:eastAsia="宋体" w:hAnsi="Arial" w:cs="Arial"/>
          <w:color w:val="000000"/>
          <w:sz w:val="20"/>
          <w:szCs w:val="20"/>
        </w:rPr>
        <w:t>stration (NASA) and the FAA. In February 2020, the U.S. administration submitted its request for $740.5 billion in base national defense spending for FY21, congruent with the amended spending limit. The Continuing Resolution (CR), enacted on October 1, 202</w:t>
      </w:r>
      <w:r>
        <w:rPr>
          <w:rFonts w:ascii="Arial" w:eastAsia="宋体" w:hAnsi="Arial" w:cs="Arial"/>
          <w:color w:val="000000"/>
          <w:sz w:val="20"/>
          <w:szCs w:val="20"/>
        </w:rPr>
        <w:t>0, continues federal funding at FY20 appropriated levels through December 11, 2020. Congress and the President must enact either full-year FY21 appropriations bills or an additional CR to fund government departments and agencies beyond December 11, 2020 or</w:t>
      </w:r>
      <w:r>
        <w:rPr>
          <w:rFonts w:ascii="Arial" w:eastAsia="宋体" w:hAnsi="Arial" w:cs="Arial"/>
          <w:color w:val="000000"/>
          <w:sz w:val="20"/>
          <w:szCs w:val="20"/>
        </w:rPr>
        <w:t xml:space="preserve"> a government shutdown could result, which may impact the Company’s operations.</w:t>
      </w:r>
    </w:p>
    <w:p w14:paraId="4090E68B" w14:textId="77777777" w:rsidR="00833634" w:rsidRDefault="00E15D51">
      <w:pPr>
        <w:spacing w:after="180"/>
        <w:jc w:val="both"/>
      </w:pPr>
      <w:r>
        <w:rPr>
          <w:rFonts w:ascii="Arial" w:eastAsia="宋体" w:hAnsi="Arial" w:cs="Arial"/>
          <w:color w:val="000000"/>
          <w:sz w:val="20"/>
          <w:szCs w:val="20"/>
        </w:rPr>
        <w:t xml:space="preserve">The enacted FY20 appropriations included funding for Boeing’s major programs, such as the F/A-18 Super Hornet, F-15EX, CH-47 Chinook, AH-64 Apache, V-22 Osprey, KC-46A Tanker, </w:t>
      </w:r>
      <w:r>
        <w:rPr>
          <w:rFonts w:ascii="Arial" w:eastAsia="宋体" w:hAnsi="Arial" w:cs="Arial"/>
          <w:color w:val="000000"/>
          <w:sz w:val="20"/>
          <w:szCs w:val="20"/>
        </w:rPr>
        <w:t>P-8 Poseidon and Space Launch System. However, there continues to be uncertainty with respect to future program-level appropriations for the U.S. DoD and other government agencies, including NASA. Future budget cuts or investment priority changes, includin</w:t>
      </w:r>
      <w:r>
        <w:rPr>
          <w:rFonts w:ascii="Arial" w:eastAsia="宋体" w:hAnsi="Arial" w:cs="Arial"/>
          <w:color w:val="000000"/>
          <w:sz w:val="20"/>
          <w:szCs w:val="20"/>
        </w:rPr>
        <w:t>g changes associated with the authorizations and appropriations process, could result in reductions, cancellations and/or delays of existing contracts or programs. Any of these impacts could have a material effect on our results of operations, financial po</w:t>
      </w:r>
      <w:r>
        <w:rPr>
          <w:rFonts w:ascii="Arial" w:eastAsia="宋体" w:hAnsi="Arial" w:cs="Arial"/>
          <w:color w:val="000000"/>
          <w:sz w:val="20"/>
          <w:szCs w:val="20"/>
        </w:rPr>
        <w:t>sition and/or cash flows.</w:t>
      </w:r>
    </w:p>
    <w:p w14:paraId="4090E68C" w14:textId="77777777" w:rsidR="00833634" w:rsidRDefault="00E15D51">
      <w:pPr>
        <w:spacing w:after="180"/>
        <w:jc w:val="center"/>
      </w:pPr>
      <w:r>
        <w:rPr>
          <w:rFonts w:ascii="Arial" w:eastAsia="宋体" w:hAnsi="Arial" w:cs="Arial"/>
          <w:color w:val="000000"/>
          <w:sz w:val="18"/>
          <w:szCs w:val="18"/>
        </w:rPr>
        <w:t>21</w:t>
      </w:r>
    </w:p>
    <w:p w14:paraId="4090E68D" w14:textId="77777777" w:rsidR="00833634" w:rsidRDefault="00E15D51">
      <w:r>
        <w:pict w14:anchorId="4090FE35">
          <v:rect id="_x0000_i1047" style="width:415.3pt;height:1.5pt" o:hralign="center" o:hrstd="t" o:hr="t" fillcolor="#a0a0a0" stroked="f"/>
        </w:pict>
      </w:r>
    </w:p>
    <w:p w14:paraId="4090E68E" w14:textId="77777777" w:rsidR="00833634" w:rsidRDefault="00E15D51">
      <w:pPr>
        <w:spacing w:after="180"/>
        <w:jc w:val="both"/>
      </w:pPr>
      <w:hyperlink r:id="rId124" w:anchor="i8d805bfb1e1c4815a1dcd5b6d1e0b117_10" w:history="1">
        <w:r>
          <w:rPr>
            <w:rStyle w:val="a5"/>
            <w:rFonts w:ascii="Arial" w:eastAsia="宋体" w:hAnsi="Arial" w:cs="Arial"/>
            <w:sz w:val="18"/>
            <w:szCs w:val="18"/>
          </w:rPr>
          <w:t>Table of Contents</w:t>
        </w:r>
      </w:hyperlink>
    </w:p>
    <w:p w14:paraId="4090E68F" w14:textId="77777777" w:rsidR="00833634" w:rsidRDefault="00E15D51">
      <w:pPr>
        <w:spacing w:after="180"/>
        <w:jc w:val="both"/>
      </w:pPr>
      <w:r>
        <w:rPr>
          <w:rFonts w:ascii="Arial" w:eastAsia="宋体" w:hAnsi="Arial" w:cs="Arial"/>
          <w:b/>
          <w:bCs/>
          <w:color w:val="000000"/>
          <w:sz w:val="20"/>
          <w:szCs w:val="20"/>
        </w:rPr>
        <w:t>BDS Fixed-Price Development Contracts</w:t>
      </w:r>
    </w:p>
    <w:p w14:paraId="4090E690" w14:textId="77777777" w:rsidR="00833634" w:rsidRDefault="00E15D51">
      <w:pPr>
        <w:spacing w:after="180"/>
        <w:jc w:val="both"/>
      </w:pPr>
      <w:r>
        <w:rPr>
          <w:rFonts w:ascii="Arial" w:eastAsia="宋体" w:hAnsi="Arial" w:cs="Arial"/>
          <w:color w:val="000000"/>
          <w:sz w:val="20"/>
          <w:szCs w:val="20"/>
        </w:rPr>
        <w:t>Fixed-price development work is inherently uncertain and subject to significant variability in estimates of the cost and time required to complete the work. BDS fixed-price contracts with significant development work include Commercial Crew, KC-46A Tanker,</w:t>
      </w:r>
      <w:r>
        <w:rPr>
          <w:rFonts w:ascii="Arial" w:eastAsia="宋体" w:hAnsi="Arial" w:cs="Arial"/>
          <w:color w:val="000000"/>
          <w:sz w:val="20"/>
          <w:szCs w:val="20"/>
        </w:rPr>
        <w:t xml:space="preserve"> MQ-25, T-7A Red Hawk, VC-25B, and commercial and military satellites. The operational and technical complexities of these contracts create financial risk, which could trigger termination provisions, order cancellations or other financially significant exp</w:t>
      </w:r>
      <w:r>
        <w:rPr>
          <w:rFonts w:ascii="Arial" w:eastAsia="宋体" w:hAnsi="Arial" w:cs="Arial"/>
          <w:color w:val="000000"/>
          <w:sz w:val="20"/>
          <w:szCs w:val="20"/>
        </w:rPr>
        <w:t>osure. Changes to cost and revenue estimates could result in lower margins or material charges for reach-forward losses. For example, we have recorded a reach-forward loss of $1,045 on KC-46A Tanker in the nine months ended September 30, 2020. The KC-46A T</w:t>
      </w:r>
      <w:r>
        <w:rPr>
          <w:rFonts w:ascii="Arial" w:eastAsia="宋体" w:hAnsi="Arial" w:cs="Arial"/>
          <w:color w:val="000000"/>
          <w:sz w:val="20"/>
          <w:szCs w:val="20"/>
        </w:rPr>
        <w:t>anker reach-forward loss in the first quarter of 2020 reflects $551 of costs associated with the agreement signed in April 2020 with the U.S. Air Force (USAF) to develop and integrate a new Remote Vision System, and the remaining costs reflect productivity</w:t>
      </w:r>
      <w:r>
        <w:rPr>
          <w:rFonts w:ascii="Arial" w:eastAsia="宋体" w:hAnsi="Arial" w:cs="Arial"/>
          <w:color w:val="000000"/>
          <w:sz w:val="20"/>
          <w:szCs w:val="20"/>
        </w:rPr>
        <w:t xml:space="preserve"> inefficiencies and COVID-19 related factory disruption. Moreover, our fixed-price development programs remain subject to additional reach-forward losses if we experience further production, technical or quality issues, schedule delays, or increased costs.</w:t>
      </w:r>
    </w:p>
    <w:p w14:paraId="4090E691" w14:textId="77777777" w:rsidR="00833634" w:rsidRDefault="00E15D51">
      <w:pPr>
        <w:spacing w:after="180"/>
        <w:jc w:val="both"/>
      </w:pPr>
      <w:r>
        <w:rPr>
          <w:rFonts w:ascii="Arial" w:eastAsia="宋体" w:hAnsi="Arial" w:cs="Arial"/>
          <w:b/>
          <w:bCs/>
          <w:color w:val="000000"/>
          <w:sz w:val="20"/>
          <w:szCs w:val="20"/>
        </w:rPr>
        <w:t>KC-46A Tanker</w:t>
      </w:r>
      <w:r>
        <w:rPr>
          <w:rFonts w:ascii="Arial" w:eastAsia="宋体" w:hAnsi="Arial" w:cs="Arial"/>
          <w:color w:val="000000"/>
          <w:sz w:val="20"/>
          <w:szCs w:val="20"/>
        </w:rPr>
        <w:t xml:space="preserve"> </w:t>
      </w:r>
    </w:p>
    <w:p w14:paraId="4090E692" w14:textId="77777777" w:rsidR="00833634" w:rsidRDefault="00E15D51">
      <w:pPr>
        <w:spacing w:after="180"/>
        <w:jc w:val="both"/>
      </w:pPr>
      <w:r>
        <w:rPr>
          <w:rFonts w:ascii="Arial" w:eastAsia="宋体" w:hAnsi="Arial" w:cs="Arial"/>
          <w:color w:val="000000"/>
          <w:sz w:val="20"/>
          <w:szCs w:val="20"/>
        </w:rPr>
        <w:t xml:space="preserve">In 2011, we were awarded a contract from the U.S. Air Force to design, develop, manufacture and deliver four next generation aerial refueling tankers. This Engineering, Manufacturing and Development (EMD) contract is a </w:t>
      </w:r>
      <w:r>
        <w:rPr>
          <w:rFonts w:ascii="Arial" w:eastAsia="宋体" w:hAnsi="Arial" w:cs="Arial"/>
          <w:color w:val="000000"/>
          <w:sz w:val="20"/>
          <w:szCs w:val="20"/>
        </w:rPr>
        <w:t>fixed-price incentive fee contract and involves highly complex designs and systems integration. Since 2016, the USAF has authorized five low rate initial production (LRIP) lots for a total of 67 aircraft. The EMD contract and authorized LRIP lots are value</w:t>
      </w:r>
      <w:r>
        <w:rPr>
          <w:rFonts w:ascii="Arial" w:eastAsia="宋体" w:hAnsi="Arial" w:cs="Arial"/>
          <w:color w:val="000000"/>
          <w:sz w:val="20"/>
          <w:szCs w:val="20"/>
        </w:rPr>
        <w:t>d at approximately $15 billion.</w:t>
      </w:r>
    </w:p>
    <w:p w14:paraId="4090E693" w14:textId="77777777" w:rsidR="00833634" w:rsidRDefault="00E15D51">
      <w:pPr>
        <w:spacing w:after="180"/>
        <w:jc w:val="both"/>
      </w:pPr>
      <w:r>
        <w:rPr>
          <w:rFonts w:ascii="Arial" w:eastAsia="宋体" w:hAnsi="Arial" w:cs="Arial"/>
          <w:color w:val="000000"/>
          <w:sz w:val="20"/>
          <w:szCs w:val="20"/>
        </w:rPr>
        <w:t>At September 30, 2020, we had approximately $420 of capitalized precontract costs and $982 of potential termination liabilities to suppliers.</w:t>
      </w:r>
    </w:p>
    <w:p w14:paraId="4090E694" w14:textId="77777777" w:rsidR="00833634" w:rsidRDefault="00E15D51">
      <w:pPr>
        <w:spacing w:after="180"/>
        <w:jc w:val="both"/>
      </w:pPr>
      <w:r>
        <w:rPr>
          <w:rFonts w:ascii="Arial" w:eastAsia="宋体" w:hAnsi="Arial" w:cs="Arial"/>
          <w:b/>
          <w:bCs/>
          <w:color w:val="000000"/>
          <w:sz w:val="20"/>
          <w:szCs w:val="20"/>
        </w:rPr>
        <w:t xml:space="preserve">Recoverable Costs on Government Contracts </w:t>
      </w:r>
    </w:p>
    <w:p w14:paraId="4090E695" w14:textId="77777777" w:rsidR="00833634" w:rsidRDefault="00E15D51">
      <w:pPr>
        <w:spacing w:after="180"/>
        <w:jc w:val="both"/>
      </w:pPr>
      <w:r>
        <w:rPr>
          <w:rFonts w:ascii="Arial" w:eastAsia="宋体" w:hAnsi="Arial" w:cs="Arial"/>
          <w:color w:val="000000"/>
          <w:sz w:val="20"/>
          <w:szCs w:val="20"/>
        </w:rPr>
        <w:t xml:space="preserve">Our final incurred costs for each year </w:t>
      </w:r>
      <w:r>
        <w:rPr>
          <w:rFonts w:ascii="Arial" w:eastAsia="宋体" w:hAnsi="Arial" w:cs="Arial"/>
          <w:color w:val="000000"/>
          <w:sz w:val="20"/>
          <w:szCs w:val="20"/>
        </w:rPr>
        <w:t>are subject to audit and review for allowability by the U.S. government, which can result in payment demands related to costs they believe should be disallowed. We work with the U.S. government to assess the merits of claims and where appropriate reserve f</w:t>
      </w:r>
      <w:r>
        <w:rPr>
          <w:rFonts w:ascii="Arial" w:eastAsia="宋体" w:hAnsi="Arial" w:cs="Arial"/>
          <w:color w:val="000000"/>
          <w:sz w:val="20"/>
          <w:szCs w:val="20"/>
        </w:rPr>
        <w:t>or amounts disputed. If we are unable to satisfactorily resolve disputed costs, we could be required to record an earnings charge and/or provide refunds to the U.S. government.</w:t>
      </w:r>
    </w:p>
    <w:p w14:paraId="4090E696" w14:textId="77777777" w:rsidR="00833634" w:rsidRDefault="00E15D51">
      <w:pPr>
        <w:spacing w:after="180"/>
        <w:jc w:val="both"/>
      </w:pPr>
      <w:r>
        <w:rPr>
          <w:rFonts w:ascii="Arial" w:eastAsia="宋体" w:hAnsi="Arial" w:cs="Arial"/>
          <w:b/>
          <w:bCs/>
          <w:color w:val="000000"/>
          <w:sz w:val="20"/>
          <w:szCs w:val="20"/>
        </w:rPr>
        <w:t xml:space="preserve">Severance </w:t>
      </w:r>
    </w:p>
    <w:p w14:paraId="4090E697" w14:textId="77777777" w:rsidR="00833634" w:rsidRDefault="00E15D51">
      <w:pPr>
        <w:jc w:val="both"/>
      </w:pPr>
      <w:r>
        <w:rPr>
          <w:rFonts w:ascii="Arial" w:eastAsia="宋体" w:hAnsi="Arial" w:cs="Arial"/>
          <w:color w:val="000000"/>
          <w:sz w:val="20"/>
          <w:szCs w:val="20"/>
        </w:rPr>
        <w:t>The following table summarizes changes in the severance liability du</w:t>
      </w:r>
      <w:r>
        <w:rPr>
          <w:rFonts w:ascii="Arial" w:eastAsia="宋体" w:hAnsi="Arial" w:cs="Arial"/>
          <w:color w:val="000000"/>
          <w:sz w:val="20"/>
          <w:szCs w:val="20"/>
        </w:rPr>
        <w:t>ring 2020:</w:t>
      </w:r>
    </w:p>
    <w:tbl>
      <w:tblPr>
        <w:tblW w:w="5000" w:type="pct"/>
        <w:tblCellMar>
          <w:top w:w="15" w:type="dxa"/>
          <w:left w:w="15" w:type="dxa"/>
          <w:bottom w:w="15" w:type="dxa"/>
          <w:right w:w="15" w:type="dxa"/>
        </w:tblCellMar>
        <w:tblLook w:val="04A0" w:firstRow="1" w:lastRow="0" w:firstColumn="1" w:lastColumn="0" w:noHBand="0" w:noVBand="1"/>
      </w:tblPr>
      <w:tblGrid>
        <w:gridCol w:w="69"/>
        <w:gridCol w:w="6545"/>
        <w:gridCol w:w="37"/>
        <w:gridCol w:w="69"/>
        <w:gridCol w:w="1544"/>
        <w:gridCol w:w="36"/>
        <w:gridCol w:w="36"/>
      </w:tblGrid>
      <w:tr w:rsidR="00833634" w14:paraId="4090E69F" w14:textId="77777777">
        <w:tc>
          <w:tcPr>
            <w:tcW w:w="50" w:type="pct"/>
            <w:shd w:val="clear" w:color="auto" w:fill="auto"/>
          </w:tcPr>
          <w:p w14:paraId="4090E698" w14:textId="77777777" w:rsidR="00833634" w:rsidRDefault="00833634">
            <w:pPr>
              <w:rPr>
                <w:rFonts w:ascii="宋体"/>
              </w:rPr>
            </w:pPr>
          </w:p>
        </w:tc>
        <w:tc>
          <w:tcPr>
            <w:tcW w:w="3951" w:type="pct"/>
            <w:shd w:val="clear" w:color="auto" w:fill="auto"/>
          </w:tcPr>
          <w:p w14:paraId="4090E699" w14:textId="77777777" w:rsidR="00833634" w:rsidRDefault="00833634">
            <w:pPr>
              <w:rPr>
                <w:rFonts w:ascii="宋体"/>
              </w:rPr>
            </w:pPr>
          </w:p>
        </w:tc>
        <w:tc>
          <w:tcPr>
            <w:tcW w:w="5" w:type="pct"/>
            <w:shd w:val="clear" w:color="auto" w:fill="auto"/>
          </w:tcPr>
          <w:p w14:paraId="4090E69A" w14:textId="77777777" w:rsidR="00833634" w:rsidRDefault="00833634">
            <w:pPr>
              <w:rPr>
                <w:rFonts w:ascii="宋体"/>
              </w:rPr>
            </w:pPr>
          </w:p>
        </w:tc>
        <w:tc>
          <w:tcPr>
            <w:tcW w:w="50" w:type="pct"/>
            <w:shd w:val="clear" w:color="auto" w:fill="auto"/>
          </w:tcPr>
          <w:p w14:paraId="4090E69B" w14:textId="77777777" w:rsidR="00833634" w:rsidRDefault="00833634">
            <w:pPr>
              <w:rPr>
                <w:rFonts w:ascii="宋体"/>
              </w:rPr>
            </w:pPr>
          </w:p>
        </w:tc>
        <w:tc>
          <w:tcPr>
            <w:tcW w:w="938" w:type="pct"/>
            <w:shd w:val="clear" w:color="auto" w:fill="auto"/>
          </w:tcPr>
          <w:p w14:paraId="4090E69C" w14:textId="77777777" w:rsidR="00833634" w:rsidRDefault="00833634">
            <w:pPr>
              <w:rPr>
                <w:rFonts w:ascii="宋体"/>
              </w:rPr>
            </w:pPr>
          </w:p>
        </w:tc>
        <w:tc>
          <w:tcPr>
            <w:tcW w:w="5" w:type="pct"/>
            <w:shd w:val="clear" w:color="auto" w:fill="auto"/>
          </w:tcPr>
          <w:p w14:paraId="4090E69D" w14:textId="77777777" w:rsidR="00833634" w:rsidRDefault="00833634">
            <w:pPr>
              <w:rPr>
                <w:rFonts w:ascii="宋体"/>
              </w:rPr>
            </w:pPr>
          </w:p>
        </w:tc>
        <w:tc>
          <w:tcPr>
            <w:tcW w:w="0" w:type="auto"/>
            <w:shd w:val="clear" w:color="auto" w:fill="auto"/>
          </w:tcPr>
          <w:p w14:paraId="4090E69E" w14:textId="77777777" w:rsidR="00833634" w:rsidRDefault="00833634">
            <w:pPr>
              <w:rPr>
                <w:rFonts w:ascii="宋体"/>
                <w:vanish/>
              </w:rPr>
            </w:pPr>
          </w:p>
        </w:tc>
      </w:tr>
      <w:tr w:rsidR="00833634" w14:paraId="4090E6A3" w14:textId="77777777">
        <w:tc>
          <w:tcPr>
            <w:tcW w:w="0" w:type="auto"/>
            <w:gridSpan w:val="3"/>
            <w:shd w:val="clear" w:color="auto" w:fill="auto"/>
            <w:tcMar>
              <w:top w:w="0" w:type="dxa"/>
              <w:left w:w="20" w:type="dxa"/>
              <w:bottom w:w="0" w:type="dxa"/>
              <w:right w:w="20" w:type="dxa"/>
            </w:tcMar>
          </w:tcPr>
          <w:p w14:paraId="4090E6A0"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6A1" w14:textId="77777777" w:rsidR="00833634" w:rsidRDefault="00E15D51">
            <w:pPr>
              <w:jc w:val="right"/>
              <w:textAlignment w:val="bottom"/>
            </w:pPr>
            <w:r>
              <w:rPr>
                <w:rFonts w:ascii="Arial" w:eastAsia="宋体" w:hAnsi="Arial" w:cs="Arial"/>
                <w:b/>
                <w:bCs/>
                <w:color w:val="000000"/>
                <w:sz w:val="20"/>
                <w:szCs w:val="20"/>
              </w:rPr>
              <w:t>2020</w:t>
            </w:r>
          </w:p>
        </w:tc>
        <w:tc>
          <w:tcPr>
            <w:tcW w:w="0" w:type="auto"/>
            <w:shd w:val="clear" w:color="auto" w:fill="auto"/>
          </w:tcPr>
          <w:p w14:paraId="4090E6A2" w14:textId="77777777" w:rsidR="00833634" w:rsidRDefault="00833634">
            <w:pPr>
              <w:rPr>
                <w:rFonts w:ascii="宋体"/>
                <w:vanish/>
              </w:rPr>
            </w:pPr>
          </w:p>
        </w:tc>
      </w:tr>
      <w:tr w:rsidR="00833634" w14:paraId="4090E6A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6A4" w14:textId="77777777" w:rsidR="00833634" w:rsidRDefault="00E15D51">
            <w:pPr>
              <w:textAlignment w:val="bottom"/>
            </w:pPr>
            <w:r>
              <w:rPr>
                <w:rFonts w:ascii="Arial" w:eastAsia="宋体" w:hAnsi="Arial" w:cs="Arial"/>
                <w:color w:val="000000"/>
                <w:sz w:val="20"/>
                <w:szCs w:val="20"/>
              </w:rPr>
              <w:t>Initial liability recorded in the second quarter of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6A5" w14:textId="77777777" w:rsidR="00833634" w:rsidRDefault="00E15D51">
            <w:pPr>
              <w:jc w:val="right"/>
              <w:textAlignment w:val="bottom"/>
            </w:pPr>
            <w:r>
              <w:rPr>
                <w:rFonts w:ascii="Arial" w:eastAsia="宋体" w:hAnsi="Arial" w:cs="Arial"/>
                <w:b/>
                <w:bCs/>
                <w:color w:val="000000"/>
                <w:sz w:val="20"/>
                <w:szCs w:val="20"/>
              </w:rPr>
              <w:t>$652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A6" w14:textId="77777777" w:rsidR="00833634" w:rsidRDefault="00833634">
            <w:pPr>
              <w:jc w:val="right"/>
              <w:rPr>
                <w:rFonts w:ascii="宋体"/>
              </w:rPr>
            </w:pPr>
          </w:p>
        </w:tc>
        <w:tc>
          <w:tcPr>
            <w:tcW w:w="0" w:type="auto"/>
            <w:shd w:val="clear" w:color="auto" w:fill="auto"/>
          </w:tcPr>
          <w:p w14:paraId="4090E6A7" w14:textId="77777777" w:rsidR="00833634" w:rsidRDefault="00833634">
            <w:pPr>
              <w:rPr>
                <w:rFonts w:ascii="宋体"/>
                <w:vanish/>
              </w:rPr>
            </w:pPr>
          </w:p>
        </w:tc>
      </w:tr>
      <w:tr w:rsidR="00833634" w14:paraId="4090E6AD" w14:textId="77777777">
        <w:tc>
          <w:tcPr>
            <w:tcW w:w="0" w:type="auto"/>
            <w:gridSpan w:val="3"/>
            <w:shd w:val="clear" w:color="auto" w:fill="FFFFFF"/>
            <w:tcMar>
              <w:top w:w="40" w:type="dxa"/>
              <w:left w:w="360" w:type="dxa"/>
              <w:bottom w:w="40" w:type="dxa"/>
              <w:right w:w="20" w:type="dxa"/>
            </w:tcMar>
          </w:tcPr>
          <w:p w14:paraId="4090E6A9" w14:textId="77777777" w:rsidR="00833634" w:rsidRDefault="00E15D51">
            <w:pPr>
              <w:textAlignment w:val="top"/>
            </w:pPr>
            <w:r>
              <w:rPr>
                <w:rFonts w:ascii="Arial" w:eastAsia="宋体" w:hAnsi="Arial" w:cs="Arial"/>
                <w:color w:val="000000"/>
                <w:sz w:val="20"/>
                <w:szCs w:val="20"/>
              </w:rPr>
              <w:t>Reductions for payments made</w:t>
            </w:r>
          </w:p>
        </w:tc>
        <w:tc>
          <w:tcPr>
            <w:tcW w:w="0" w:type="auto"/>
            <w:gridSpan w:val="2"/>
            <w:shd w:val="clear" w:color="auto" w:fill="FFFFFF"/>
            <w:tcMar>
              <w:top w:w="40" w:type="dxa"/>
              <w:left w:w="20" w:type="dxa"/>
              <w:bottom w:w="40" w:type="dxa"/>
              <w:right w:w="0" w:type="dxa"/>
            </w:tcMar>
            <w:vAlign w:val="bottom"/>
          </w:tcPr>
          <w:p w14:paraId="4090E6AA" w14:textId="77777777" w:rsidR="00833634" w:rsidRDefault="00E15D51">
            <w:pPr>
              <w:jc w:val="right"/>
              <w:textAlignment w:val="bottom"/>
            </w:pPr>
            <w:r>
              <w:rPr>
                <w:rFonts w:ascii="Arial" w:eastAsia="宋体" w:hAnsi="Arial" w:cs="Arial"/>
                <w:b/>
                <w:bCs/>
                <w:color w:val="000000"/>
                <w:sz w:val="20"/>
                <w:szCs w:val="20"/>
              </w:rPr>
              <w:t>(395)</w:t>
            </w:r>
          </w:p>
        </w:tc>
        <w:tc>
          <w:tcPr>
            <w:tcW w:w="0" w:type="auto"/>
            <w:shd w:val="clear" w:color="auto" w:fill="FFFFFF"/>
            <w:tcMar>
              <w:top w:w="40" w:type="dxa"/>
              <w:left w:w="0" w:type="dxa"/>
              <w:bottom w:w="40" w:type="dxa"/>
              <w:right w:w="20" w:type="dxa"/>
            </w:tcMar>
            <w:vAlign w:val="bottom"/>
          </w:tcPr>
          <w:p w14:paraId="4090E6AB" w14:textId="77777777" w:rsidR="00833634" w:rsidRDefault="00833634">
            <w:pPr>
              <w:jc w:val="right"/>
              <w:rPr>
                <w:rFonts w:ascii="宋体"/>
              </w:rPr>
            </w:pPr>
          </w:p>
        </w:tc>
        <w:tc>
          <w:tcPr>
            <w:tcW w:w="0" w:type="auto"/>
            <w:shd w:val="clear" w:color="auto" w:fill="auto"/>
          </w:tcPr>
          <w:p w14:paraId="4090E6AC" w14:textId="77777777" w:rsidR="00833634" w:rsidRDefault="00833634">
            <w:pPr>
              <w:rPr>
                <w:rFonts w:ascii="宋体"/>
                <w:vanish/>
              </w:rPr>
            </w:pPr>
          </w:p>
        </w:tc>
      </w:tr>
      <w:tr w:rsidR="00833634" w14:paraId="4090E6B2" w14:textId="77777777">
        <w:tc>
          <w:tcPr>
            <w:tcW w:w="0" w:type="auto"/>
            <w:gridSpan w:val="3"/>
            <w:shd w:val="clear" w:color="auto" w:fill="CCEEFF"/>
            <w:tcMar>
              <w:top w:w="40" w:type="dxa"/>
              <w:left w:w="360" w:type="dxa"/>
              <w:bottom w:w="40" w:type="dxa"/>
              <w:right w:w="20" w:type="dxa"/>
            </w:tcMar>
            <w:vAlign w:val="bottom"/>
          </w:tcPr>
          <w:p w14:paraId="4090E6AE" w14:textId="77777777" w:rsidR="00833634" w:rsidRDefault="00E15D51">
            <w:pPr>
              <w:textAlignment w:val="bottom"/>
            </w:pPr>
            <w:r>
              <w:rPr>
                <w:rFonts w:ascii="Arial" w:eastAsia="宋体" w:hAnsi="Arial" w:cs="Arial"/>
                <w:color w:val="000000"/>
                <w:sz w:val="20"/>
                <w:szCs w:val="20"/>
              </w:rPr>
              <w:t>Changes in estimates</w:t>
            </w:r>
          </w:p>
        </w:tc>
        <w:tc>
          <w:tcPr>
            <w:tcW w:w="0" w:type="auto"/>
            <w:gridSpan w:val="2"/>
            <w:shd w:val="clear" w:color="auto" w:fill="CCEEFF"/>
            <w:tcMar>
              <w:top w:w="40" w:type="dxa"/>
              <w:left w:w="20" w:type="dxa"/>
              <w:bottom w:w="40" w:type="dxa"/>
              <w:right w:w="0" w:type="dxa"/>
            </w:tcMar>
            <w:vAlign w:val="bottom"/>
          </w:tcPr>
          <w:p w14:paraId="4090E6AF" w14:textId="77777777" w:rsidR="00833634" w:rsidRDefault="00E15D51">
            <w:pPr>
              <w:jc w:val="right"/>
              <w:textAlignment w:val="bottom"/>
            </w:pPr>
            <w:r>
              <w:rPr>
                <w:rFonts w:ascii="Arial" w:eastAsia="宋体" w:hAnsi="Arial" w:cs="Arial"/>
                <w:b/>
                <w:bCs/>
                <w:color w:val="000000"/>
                <w:sz w:val="20"/>
                <w:szCs w:val="20"/>
              </w:rPr>
              <w:t>328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6B0" w14:textId="77777777" w:rsidR="00833634" w:rsidRDefault="00833634">
            <w:pPr>
              <w:jc w:val="right"/>
              <w:rPr>
                <w:rFonts w:ascii="宋体"/>
              </w:rPr>
            </w:pPr>
          </w:p>
        </w:tc>
        <w:tc>
          <w:tcPr>
            <w:tcW w:w="0" w:type="auto"/>
            <w:shd w:val="clear" w:color="auto" w:fill="auto"/>
          </w:tcPr>
          <w:p w14:paraId="4090E6B1" w14:textId="77777777" w:rsidR="00833634" w:rsidRDefault="00833634">
            <w:pPr>
              <w:rPr>
                <w:rFonts w:ascii="宋体"/>
                <w:vanish/>
              </w:rPr>
            </w:pPr>
          </w:p>
        </w:tc>
      </w:tr>
      <w:tr w:rsidR="00833634" w14:paraId="4090E6B7"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E6B3" w14:textId="77777777" w:rsidR="00833634" w:rsidRDefault="00E15D51">
            <w:pPr>
              <w:textAlignment w:val="bottom"/>
            </w:pPr>
            <w:r>
              <w:rPr>
                <w:rFonts w:ascii="Arial" w:eastAsia="宋体" w:hAnsi="Arial" w:cs="Arial"/>
                <w:color w:val="000000"/>
                <w:sz w:val="20"/>
                <w:szCs w:val="20"/>
              </w:rPr>
              <w:t>Ending balance – September 30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6B4" w14:textId="77777777" w:rsidR="00833634" w:rsidRDefault="00E15D51">
            <w:pPr>
              <w:jc w:val="right"/>
              <w:textAlignment w:val="bottom"/>
            </w:pPr>
            <w:r>
              <w:rPr>
                <w:rFonts w:ascii="Arial" w:eastAsia="宋体" w:hAnsi="Arial" w:cs="Arial"/>
                <w:b/>
                <w:bCs/>
                <w:color w:val="000000"/>
                <w:sz w:val="20"/>
                <w:szCs w:val="20"/>
              </w:rPr>
              <w:t>$585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6B5" w14:textId="77777777" w:rsidR="00833634" w:rsidRDefault="00833634">
            <w:pPr>
              <w:jc w:val="right"/>
              <w:rPr>
                <w:rFonts w:ascii="宋体"/>
              </w:rPr>
            </w:pPr>
          </w:p>
        </w:tc>
        <w:tc>
          <w:tcPr>
            <w:tcW w:w="0" w:type="auto"/>
            <w:shd w:val="clear" w:color="auto" w:fill="auto"/>
          </w:tcPr>
          <w:p w14:paraId="4090E6B6" w14:textId="77777777" w:rsidR="00833634" w:rsidRDefault="00833634">
            <w:pPr>
              <w:rPr>
                <w:rFonts w:ascii="宋体"/>
                <w:vanish/>
              </w:rPr>
            </w:pPr>
          </w:p>
        </w:tc>
      </w:tr>
    </w:tbl>
    <w:p w14:paraId="4090E6B8" w14:textId="77777777" w:rsidR="00833634" w:rsidRDefault="00E15D51">
      <w:pPr>
        <w:spacing w:before="180" w:after="300"/>
        <w:jc w:val="both"/>
      </w:pPr>
      <w:r>
        <w:rPr>
          <w:rFonts w:ascii="Arial" w:eastAsia="宋体" w:hAnsi="Arial" w:cs="Arial"/>
          <w:color w:val="000000"/>
          <w:sz w:val="20"/>
          <w:szCs w:val="20"/>
        </w:rPr>
        <w:t>During 2020, the Company recorded severance costs for approximately 26,000 employees expected to leave the Company through a combination of voluntary and involuntary terminations. The severance packages are consistent with the Company’s ongoing compensatio</w:t>
      </w:r>
      <w:r>
        <w:rPr>
          <w:rFonts w:ascii="Arial" w:eastAsia="宋体" w:hAnsi="Arial" w:cs="Arial"/>
          <w:color w:val="000000"/>
          <w:sz w:val="20"/>
          <w:szCs w:val="20"/>
        </w:rPr>
        <w:t xml:space="preserve">n and benefits plans. As of September 30, 2020, approximately half of the 26,000 employees have left the Company, and the remainder are expected to leave in 2020 and 2021. </w:t>
      </w:r>
    </w:p>
    <w:p w14:paraId="4090E6B9" w14:textId="77777777" w:rsidR="00833634" w:rsidRDefault="00E15D51">
      <w:pPr>
        <w:spacing w:after="180"/>
        <w:jc w:val="center"/>
      </w:pPr>
      <w:r>
        <w:rPr>
          <w:rFonts w:ascii="Arial" w:eastAsia="宋体" w:hAnsi="Arial" w:cs="Arial"/>
          <w:color w:val="000000"/>
          <w:sz w:val="18"/>
          <w:szCs w:val="18"/>
        </w:rPr>
        <w:t>22</w:t>
      </w:r>
    </w:p>
    <w:p w14:paraId="4090E6BA" w14:textId="77777777" w:rsidR="00833634" w:rsidRDefault="00E15D51">
      <w:r>
        <w:pict w14:anchorId="4090FE36">
          <v:rect id="_x0000_i1048" style="width:415.3pt;height:1.5pt" o:hralign="center" o:hrstd="t" o:hr="t" fillcolor="#a0a0a0" stroked="f"/>
        </w:pict>
      </w:r>
    </w:p>
    <w:p w14:paraId="4090E6BB" w14:textId="77777777" w:rsidR="00833634" w:rsidRDefault="00E15D51">
      <w:pPr>
        <w:spacing w:after="180"/>
        <w:jc w:val="both"/>
      </w:pPr>
      <w:hyperlink r:id="rId125" w:anchor="i8d805bfb1e1c4815a1dcd5b6d1e0b117_10" w:history="1">
        <w:r>
          <w:rPr>
            <w:rStyle w:val="a5"/>
            <w:rFonts w:ascii="Arial" w:eastAsia="宋体" w:hAnsi="Arial" w:cs="Arial"/>
            <w:sz w:val="18"/>
            <w:szCs w:val="18"/>
          </w:rPr>
          <w:t>Table of Contents</w:t>
        </w:r>
      </w:hyperlink>
    </w:p>
    <w:p w14:paraId="4090E6BC" w14:textId="77777777" w:rsidR="00833634" w:rsidRDefault="00E15D51">
      <w:pPr>
        <w:spacing w:before="300" w:after="180"/>
        <w:jc w:val="both"/>
      </w:pPr>
      <w:r>
        <w:rPr>
          <w:rFonts w:ascii="Arial" w:eastAsia="宋体" w:hAnsi="Arial" w:cs="Arial"/>
          <w:b/>
          <w:bCs/>
          <w:color w:val="000000"/>
          <w:sz w:val="20"/>
          <w:szCs w:val="20"/>
        </w:rPr>
        <w:t>Note 11 – Arrangements with Off-Balance Sheet Risk</w:t>
      </w:r>
    </w:p>
    <w:p w14:paraId="4090E6BD" w14:textId="77777777" w:rsidR="00833634" w:rsidRDefault="00E15D51">
      <w:pPr>
        <w:spacing w:after="180"/>
        <w:jc w:val="both"/>
      </w:pPr>
      <w:r>
        <w:rPr>
          <w:rFonts w:ascii="Arial" w:eastAsia="宋体" w:hAnsi="Arial" w:cs="Arial"/>
          <w:color w:val="000000"/>
          <w:sz w:val="20"/>
          <w:szCs w:val="20"/>
        </w:rPr>
        <w:t>We enter into arrangements with off</w:t>
      </w:r>
      <w:r>
        <w:rPr>
          <w:rFonts w:ascii="Arial" w:eastAsia="宋体" w:hAnsi="Arial" w:cs="Arial"/>
          <w:color w:val="000000"/>
          <w:sz w:val="20"/>
          <w:szCs w:val="20"/>
        </w:rPr>
        <w:t>-balance sheet risk in the normal course of business, primarily in the form of guarantees.</w:t>
      </w:r>
    </w:p>
    <w:p w14:paraId="4090E6BE" w14:textId="77777777" w:rsidR="00833634" w:rsidRDefault="00E15D51">
      <w:pPr>
        <w:jc w:val="both"/>
      </w:pPr>
      <w:r>
        <w:rPr>
          <w:rFonts w:ascii="Arial" w:eastAsia="宋体" w:hAnsi="Arial" w:cs="Arial"/>
          <w:color w:val="000000"/>
          <w:sz w:val="20"/>
          <w:szCs w:val="20"/>
        </w:rPr>
        <w:t>The following table provides quantitative data regarding our third party guarantees. The maximum potential payments represent a “worst-case scenario,” and do not nec</w:t>
      </w:r>
      <w:r>
        <w:rPr>
          <w:rFonts w:ascii="Arial" w:eastAsia="宋体" w:hAnsi="Arial" w:cs="Arial"/>
          <w:color w:val="000000"/>
          <w:sz w:val="20"/>
          <w:szCs w:val="20"/>
        </w:rPr>
        <w:t>essarily reflect amounts that we expect to pay. Estimated proceeds from collateral and recourse represent the anticipated values of assets we could liquidate or receive from other parties to offset our payments under guarantees. The carrying amount of liab</w:t>
      </w:r>
      <w:r>
        <w:rPr>
          <w:rFonts w:ascii="Arial" w:eastAsia="宋体" w:hAnsi="Arial" w:cs="Arial"/>
          <w:color w:val="000000"/>
          <w:sz w:val="20"/>
          <w:szCs w:val="20"/>
        </w:rPr>
        <w:t>ilities represents the amount included in Accrued liabilities.</w:t>
      </w:r>
    </w:p>
    <w:tbl>
      <w:tblPr>
        <w:tblW w:w="4992" w:type="pct"/>
        <w:tblCellMar>
          <w:top w:w="15" w:type="dxa"/>
          <w:left w:w="15" w:type="dxa"/>
          <w:bottom w:w="15" w:type="dxa"/>
          <w:right w:w="15" w:type="dxa"/>
        </w:tblCellMar>
        <w:tblLook w:val="04A0" w:firstRow="1" w:lastRow="0" w:firstColumn="1" w:lastColumn="0" w:noHBand="0" w:noVBand="1"/>
      </w:tblPr>
      <w:tblGrid>
        <w:gridCol w:w="64"/>
        <w:gridCol w:w="1987"/>
        <w:gridCol w:w="37"/>
        <w:gridCol w:w="69"/>
        <w:gridCol w:w="940"/>
        <w:gridCol w:w="37"/>
        <w:gridCol w:w="67"/>
        <w:gridCol w:w="860"/>
        <w:gridCol w:w="36"/>
        <w:gridCol w:w="36"/>
        <w:gridCol w:w="36"/>
        <w:gridCol w:w="36"/>
        <w:gridCol w:w="76"/>
        <w:gridCol w:w="928"/>
        <w:gridCol w:w="37"/>
        <w:gridCol w:w="75"/>
        <w:gridCol w:w="852"/>
        <w:gridCol w:w="36"/>
        <w:gridCol w:w="36"/>
        <w:gridCol w:w="36"/>
        <w:gridCol w:w="36"/>
        <w:gridCol w:w="69"/>
        <w:gridCol w:w="935"/>
        <w:gridCol w:w="37"/>
        <w:gridCol w:w="67"/>
        <w:gridCol w:w="862"/>
        <w:gridCol w:w="36"/>
      </w:tblGrid>
      <w:tr w:rsidR="00833634" w14:paraId="4090E6DA" w14:textId="77777777">
        <w:tc>
          <w:tcPr>
            <w:tcW w:w="50" w:type="pct"/>
            <w:shd w:val="clear" w:color="auto" w:fill="auto"/>
          </w:tcPr>
          <w:p w14:paraId="4090E6BF" w14:textId="77777777" w:rsidR="00833634" w:rsidRDefault="00833634">
            <w:pPr>
              <w:rPr>
                <w:rFonts w:ascii="宋体"/>
              </w:rPr>
            </w:pPr>
          </w:p>
        </w:tc>
        <w:tc>
          <w:tcPr>
            <w:tcW w:w="1205" w:type="pct"/>
            <w:shd w:val="clear" w:color="auto" w:fill="auto"/>
          </w:tcPr>
          <w:p w14:paraId="4090E6C0" w14:textId="77777777" w:rsidR="00833634" w:rsidRDefault="00833634">
            <w:pPr>
              <w:rPr>
                <w:rFonts w:ascii="宋体"/>
              </w:rPr>
            </w:pPr>
          </w:p>
        </w:tc>
        <w:tc>
          <w:tcPr>
            <w:tcW w:w="5" w:type="pct"/>
            <w:shd w:val="clear" w:color="auto" w:fill="auto"/>
          </w:tcPr>
          <w:p w14:paraId="4090E6C1" w14:textId="77777777" w:rsidR="00833634" w:rsidRDefault="00833634">
            <w:pPr>
              <w:rPr>
                <w:rFonts w:ascii="宋体"/>
              </w:rPr>
            </w:pPr>
          </w:p>
        </w:tc>
        <w:tc>
          <w:tcPr>
            <w:tcW w:w="50" w:type="pct"/>
            <w:shd w:val="clear" w:color="auto" w:fill="auto"/>
          </w:tcPr>
          <w:p w14:paraId="4090E6C2" w14:textId="77777777" w:rsidR="00833634" w:rsidRDefault="00833634">
            <w:pPr>
              <w:rPr>
                <w:rFonts w:ascii="宋体"/>
              </w:rPr>
            </w:pPr>
          </w:p>
        </w:tc>
        <w:tc>
          <w:tcPr>
            <w:tcW w:w="579" w:type="pct"/>
            <w:shd w:val="clear" w:color="auto" w:fill="auto"/>
          </w:tcPr>
          <w:p w14:paraId="4090E6C3" w14:textId="77777777" w:rsidR="00833634" w:rsidRDefault="00833634">
            <w:pPr>
              <w:rPr>
                <w:rFonts w:ascii="宋体"/>
              </w:rPr>
            </w:pPr>
          </w:p>
        </w:tc>
        <w:tc>
          <w:tcPr>
            <w:tcW w:w="5" w:type="pct"/>
            <w:shd w:val="clear" w:color="auto" w:fill="auto"/>
          </w:tcPr>
          <w:p w14:paraId="4090E6C4" w14:textId="77777777" w:rsidR="00833634" w:rsidRDefault="00833634">
            <w:pPr>
              <w:rPr>
                <w:rFonts w:ascii="宋体"/>
              </w:rPr>
            </w:pPr>
          </w:p>
        </w:tc>
        <w:tc>
          <w:tcPr>
            <w:tcW w:w="50" w:type="pct"/>
            <w:shd w:val="clear" w:color="auto" w:fill="auto"/>
          </w:tcPr>
          <w:p w14:paraId="4090E6C5" w14:textId="77777777" w:rsidR="00833634" w:rsidRDefault="00833634">
            <w:pPr>
              <w:rPr>
                <w:rFonts w:ascii="宋体"/>
              </w:rPr>
            </w:pPr>
          </w:p>
        </w:tc>
        <w:tc>
          <w:tcPr>
            <w:tcW w:w="530" w:type="pct"/>
            <w:shd w:val="clear" w:color="auto" w:fill="auto"/>
          </w:tcPr>
          <w:p w14:paraId="4090E6C6" w14:textId="77777777" w:rsidR="00833634" w:rsidRDefault="00833634">
            <w:pPr>
              <w:rPr>
                <w:rFonts w:ascii="宋体"/>
              </w:rPr>
            </w:pPr>
          </w:p>
        </w:tc>
        <w:tc>
          <w:tcPr>
            <w:tcW w:w="5" w:type="pct"/>
            <w:shd w:val="clear" w:color="auto" w:fill="auto"/>
          </w:tcPr>
          <w:p w14:paraId="4090E6C7" w14:textId="77777777" w:rsidR="00833634" w:rsidRDefault="00833634">
            <w:pPr>
              <w:rPr>
                <w:rFonts w:ascii="宋体"/>
              </w:rPr>
            </w:pPr>
          </w:p>
        </w:tc>
        <w:tc>
          <w:tcPr>
            <w:tcW w:w="5" w:type="pct"/>
            <w:shd w:val="clear" w:color="auto" w:fill="auto"/>
          </w:tcPr>
          <w:p w14:paraId="4090E6C8" w14:textId="77777777" w:rsidR="00833634" w:rsidRDefault="00833634">
            <w:pPr>
              <w:rPr>
                <w:rFonts w:ascii="宋体"/>
              </w:rPr>
            </w:pPr>
          </w:p>
        </w:tc>
        <w:tc>
          <w:tcPr>
            <w:tcW w:w="30" w:type="pct"/>
            <w:shd w:val="clear" w:color="auto" w:fill="auto"/>
          </w:tcPr>
          <w:p w14:paraId="4090E6C9" w14:textId="77777777" w:rsidR="00833634" w:rsidRDefault="00833634">
            <w:pPr>
              <w:rPr>
                <w:rFonts w:ascii="宋体"/>
              </w:rPr>
            </w:pPr>
          </w:p>
        </w:tc>
        <w:tc>
          <w:tcPr>
            <w:tcW w:w="5" w:type="pct"/>
            <w:shd w:val="clear" w:color="auto" w:fill="auto"/>
          </w:tcPr>
          <w:p w14:paraId="4090E6CA" w14:textId="77777777" w:rsidR="00833634" w:rsidRDefault="00833634">
            <w:pPr>
              <w:rPr>
                <w:rFonts w:ascii="宋体"/>
              </w:rPr>
            </w:pPr>
          </w:p>
        </w:tc>
        <w:tc>
          <w:tcPr>
            <w:tcW w:w="50" w:type="pct"/>
            <w:shd w:val="clear" w:color="auto" w:fill="auto"/>
          </w:tcPr>
          <w:p w14:paraId="4090E6CB" w14:textId="77777777" w:rsidR="00833634" w:rsidRDefault="00833634">
            <w:pPr>
              <w:rPr>
                <w:rFonts w:ascii="宋体"/>
              </w:rPr>
            </w:pPr>
          </w:p>
        </w:tc>
        <w:tc>
          <w:tcPr>
            <w:tcW w:w="579" w:type="pct"/>
            <w:shd w:val="clear" w:color="auto" w:fill="auto"/>
          </w:tcPr>
          <w:p w14:paraId="4090E6CC" w14:textId="77777777" w:rsidR="00833634" w:rsidRDefault="00833634">
            <w:pPr>
              <w:rPr>
                <w:rFonts w:ascii="宋体"/>
              </w:rPr>
            </w:pPr>
          </w:p>
        </w:tc>
        <w:tc>
          <w:tcPr>
            <w:tcW w:w="5" w:type="pct"/>
            <w:shd w:val="clear" w:color="auto" w:fill="auto"/>
          </w:tcPr>
          <w:p w14:paraId="4090E6CD" w14:textId="77777777" w:rsidR="00833634" w:rsidRDefault="00833634">
            <w:pPr>
              <w:rPr>
                <w:rFonts w:ascii="宋体"/>
              </w:rPr>
            </w:pPr>
          </w:p>
        </w:tc>
        <w:tc>
          <w:tcPr>
            <w:tcW w:w="50" w:type="pct"/>
            <w:shd w:val="clear" w:color="auto" w:fill="auto"/>
          </w:tcPr>
          <w:p w14:paraId="4090E6CE" w14:textId="77777777" w:rsidR="00833634" w:rsidRDefault="00833634">
            <w:pPr>
              <w:rPr>
                <w:rFonts w:ascii="宋体"/>
              </w:rPr>
            </w:pPr>
          </w:p>
        </w:tc>
        <w:tc>
          <w:tcPr>
            <w:tcW w:w="530" w:type="pct"/>
            <w:shd w:val="clear" w:color="auto" w:fill="auto"/>
          </w:tcPr>
          <w:p w14:paraId="4090E6CF" w14:textId="77777777" w:rsidR="00833634" w:rsidRDefault="00833634">
            <w:pPr>
              <w:rPr>
                <w:rFonts w:ascii="宋体"/>
              </w:rPr>
            </w:pPr>
          </w:p>
        </w:tc>
        <w:tc>
          <w:tcPr>
            <w:tcW w:w="5" w:type="pct"/>
            <w:shd w:val="clear" w:color="auto" w:fill="auto"/>
          </w:tcPr>
          <w:p w14:paraId="4090E6D0" w14:textId="77777777" w:rsidR="00833634" w:rsidRDefault="00833634">
            <w:pPr>
              <w:rPr>
                <w:rFonts w:ascii="宋体"/>
              </w:rPr>
            </w:pPr>
          </w:p>
        </w:tc>
        <w:tc>
          <w:tcPr>
            <w:tcW w:w="5" w:type="pct"/>
            <w:shd w:val="clear" w:color="auto" w:fill="auto"/>
          </w:tcPr>
          <w:p w14:paraId="4090E6D1" w14:textId="77777777" w:rsidR="00833634" w:rsidRDefault="00833634">
            <w:pPr>
              <w:rPr>
                <w:rFonts w:ascii="宋体"/>
              </w:rPr>
            </w:pPr>
          </w:p>
        </w:tc>
        <w:tc>
          <w:tcPr>
            <w:tcW w:w="30" w:type="pct"/>
            <w:shd w:val="clear" w:color="auto" w:fill="auto"/>
          </w:tcPr>
          <w:p w14:paraId="4090E6D2" w14:textId="77777777" w:rsidR="00833634" w:rsidRDefault="00833634">
            <w:pPr>
              <w:rPr>
                <w:rFonts w:ascii="宋体"/>
              </w:rPr>
            </w:pPr>
          </w:p>
        </w:tc>
        <w:tc>
          <w:tcPr>
            <w:tcW w:w="5" w:type="pct"/>
            <w:shd w:val="clear" w:color="auto" w:fill="auto"/>
          </w:tcPr>
          <w:p w14:paraId="4090E6D3" w14:textId="77777777" w:rsidR="00833634" w:rsidRDefault="00833634">
            <w:pPr>
              <w:rPr>
                <w:rFonts w:ascii="宋体"/>
              </w:rPr>
            </w:pPr>
          </w:p>
        </w:tc>
        <w:tc>
          <w:tcPr>
            <w:tcW w:w="50" w:type="pct"/>
            <w:shd w:val="clear" w:color="auto" w:fill="auto"/>
          </w:tcPr>
          <w:p w14:paraId="4090E6D4" w14:textId="77777777" w:rsidR="00833634" w:rsidRDefault="00833634">
            <w:pPr>
              <w:rPr>
                <w:rFonts w:ascii="宋体"/>
              </w:rPr>
            </w:pPr>
          </w:p>
        </w:tc>
        <w:tc>
          <w:tcPr>
            <w:tcW w:w="579" w:type="pct"/>
            <w:shd w:val="clear" w:color="auto" w:fill="auto"/>
          </w:tcPr>
          <w:p w14:paraId="4090E6D5" w14:textId="77777777" w:rsidR="00833634" w:rsidRDefault="00833634">
            <w:pPr>
              <w:rPr>
                <w:rFonts w:ascii="宋体"/>
              </w:rPr>
            </w:pPr>
          </w:p>
        </w:tc>
        <w:tc>
          <w:tcPr>
            <w:tcW w:w="5" w:type="pct"/>
            <w:shd w:val="clear" w:color="auto" w:fill="auto"/>
          </w:tcPr>
          <w:p w14:paraId="4090E6D6" w14:textId="77777777" w:rsidR="00833634" w:rsidRDefault="00833634">
            <w:pPr>
              <w:rPr>
                <w:rFonts w:ascii="宋体"/>
              </w:rPr>
            </w:pPr>
          </w:p>
        </w:tc>
        <w:tc>
          <w:tcPr>
            <w:tcW w:w="50" w:type="pct"/>
            <w:shd w:val="clear" w:color="auto" w:fill="auto"/>
          </w:tcPr>
          <w:p w14:paraId="4090E6D7" w14:textId="77777777" w:rsidR="00833634" w:rsidRDefault="00833634">
            <w:pPr>
              <w:rPr>
                <w:rFonts w:ascii="宋体"/>
              </w:rPr>
            </w:pPr>
          </w:p>
        </w:tc>
        <w:tc>
          <w:tcPr>
            <w:tcW w:w="531" w:type="pct"/>
            <w:shd w:val="clear" w:color="auto" w:fill="auto"/>
          </w:tcPr>
          <w:p w14:paraId="4090E6D8" w14:textId="77777777" w:rsidR="00833634" w:rsidRDefault="00833634">
            <w:pPr>
              <w:rPr>
                <w:rFonts w:ascii="宋体"/>
              </w:rPr>
            </w:pPr>
          </w:p>
        </w:tc>
        <w:tc>
          <w:tcPr>
            <w:tcW w:w="5" w:type="pct"/>
            <w:shd w:val="clear" w:color="auto" w:fill="auto"/>
          </w:tcPr>
          <w:p w14:paraId="4090E6D9" w14:textId="77777777" w:rsidR="00833634" w:rsidRDefault="00833634">
            <w:pPr>
              <w:rPr>
                <w:rFonts w:ascii="宋体"/>
              </w:rPr>
            </w:pPr>
          </w:p>
        </w:tc>
      </w:tr>
      <w:tr w:rsidR="00833634" w14:paraId="4090E6E1" w14:textId="77777777">
        <w:tc>
          <w:tcPr>
            <w:tcW w:w="0" w:type="auto"/>
            <w:gridSpan w:val="3"/>
            <w:shd w:val="clear" w:color="auto" w:fill="auto"/>
            <w:tcMar>
              <w:top w:w="0" w:type="dxa"/>
              <w:left w:w="360" w:type="dxa"/>
              <w:bottom w:w="0" w:type="dxa"/>
              <w:right w:w="20" w:type="dxa"/>
            </w:tcMar>
          </w:tcPr>
          <w:p w14:paraId="4090E6DB" w14:textId="77777777" w:rsidR="00833634" w:rsidRDefault="00833634">
            <w:pPr>
              <w:rPr>
                <w:rFonts w:ascii="宋体"/>
              </w:rPr>
            </w:pPr>
          </w:p>
        </w:tc>
        <w:tc>
          <w:tcPr>
            <w:tcW w:w="0" w:type="auto"/>
            <w:gridSpan w:val="6"/>
            <w:shd w:val="clear" w:color="auto" w:fill="auto"/>
            <w:tcMar>
              <w:top w:w="40" w:type="dxa"/>
              <w:left w:w="20" w:type="dxa"/>
              <w:bottom w:w="40" w:type="dxa"/>
              <w:right w:w="20" w:type="dxa"/>
            </w:tcMar>
            <w:vAlign w:val="bottom"/>
          </w:tcPr>
          <w:p w14:paraId="4090E6DC" w14:textId="77777777" w:rsidR="00833634" w:rsidRDefault="00E15D51">
            <w:pPr>
              <w:jc w:val="center"/>
              <w:textAlignment w:val="bottom"/>
            </w:pPr>
            <w:r>
              <w:rPr>
                <w:rFonts w:ascii="Arial" w:eastAsia="宋体" w:hAnsi="Arial" w:cs="Arial"/>
                <w:color w:val="000000"/>
                <w:sz w:val="16"/>
                <w:szCs w:val="16"/>
              </w:rPr>
              <w:t>Maximum</w:t>
            </w:r>
            <w:r>
              <w:rPr>
                <w:rFonts w:ascii="Arial" w:eastAsia="宋体" w:hAnsi="Arial" w:cs="Arial"/>
                <w:color w:val="000000"/>
                <w:sz w:val="16"/>
                <w:szCs w:val="16"/>
              </w:rPr>
              <w:br/>
              <w:t>Potential Payments</w:t>
            </w:r>
          </w:p>
        </w:tc>
        <w:tc>
          <w:tcPr>
            <w:tcW w:w="0" w:type="auto"/>
            <w:gridSpan w:val="3"/>
            <w:shd w:val="clear" w:color="auto" w:fill="auto"/>
            <w:tcMar>
              <w:top w:w="0" w:type="dxa"/>
              <w:left w:w="20" w:type="dxa"/>
              <w:bottom w:w="0" w:type="dxa"/>
              <w:right w:w="20" w:type="dxa"/>
            </w:tcMar>
          </w:tcPr>
          <w:p w14:paraId="4090E6DD" w14:textId="77777777" w:rsidR="00833634" w:rsidRDefault="00833634">
            <w:pPr>
              <w:rPr>
                <w:rFonts w:ascii="宋体"/>
              </w:rPr>
            </w:pPr>
          </w:p>
        </w:tc>
        <w:tc>
          <w:tcPr>
            <w:tcW w:w="0" w:type="auto"/>
            <w:gridSpan w:val="6"/>
            <w:shd w:val="clear" w:color="auto" w:fill="auto"/>
            <w:tcMar>
              <w:top w:w="40" w:type="dxa"/>
              <w:left w:w="20" w:type="dxa"/>
              <w:bottom w:w="40" w:type="dxa"/>
              <w:right w:w="20" w:type="dxa"/>
            </w:tcMar>
            <w:vAlign w:val="bottom"/>
          </w:tcPr>
          <w:p w14:paraId="4090E6DE" w14:textId="77777777" w:rsidR="00833634" w:rsidRDefault="00E15D51">
            <w:pPr>
              <w:jc w:val="center"/>
              <w:textAlignment w:val="bottom"/>
            </w:pPr>
            <w:r>
              <w:rPr>
                <w:rFonts w:ascii="Arial" w:eastAsia="宋体" w:hAnsi="Arial" w:cs="Arial"/>
                <w:color w:val="000000"/>
                <w:sz w:val="16"/>
                <w:szCs w:val="16"/>
              </w:rPr>
              <w:t>Estimated Proceeds from</w:t>
            </w:r>
            <w:r>
              <w:rPr>
                <w:rFonts w:ascii="Arial" w:eastAsia="宋体" w:hAnsi="Arial" w:cs="Arial"/>
                <w:color w:val="000000"/>
                <w:sz w:val="16"/>
                <w:szCs w:val="16"/>
              </w:rPr>
              <w:br/>
              <w:t>Collateral/Recourse</w:t>
            </w:r>
          </w:p>
        </w:tc>
        <w:tc>
          <w:tcPr>
            <w:tcW w:w="0" w:type="auto"/>
            <w:gridSpan w:val="3"/>
            <w:shd w:val="clear" w:color="auto" w:fill="auto"/>
            <w:tcMar>
              <w:top w:w="0" w:type="dxa"/>
              <w:left w:w="20" w:type="dxa"/>
              <w:bottom w:w="0" w:type="dxa"/>
              <w:right w:w="20" w:type="dxa"/>
            </w:tcMar>
          </w:tcPr>
          <w:p w14:paraId="4090E6DF" w14:textId="77777777" w:rsidR="00833634" w:rsidRDefault="00833634">
            <w:pPr>
              <w:rPr>
                <w:rFonts w:ascii="宋体"/>
              </w:rPr>
            </w:pPr>
          </w:p>
        </w:tc>
        <w:tc>
          <w:tcPr>
            <w:tcW w:w="0" w:type="auto"/>
            <w:gridSpan w:val="6"/>
            <w:shd w:val="clear" w:color="auto" w:fill="auto"/>
            <w:tcMar>
              <w:top w:w="40" w:type="dxa"/>
              <w:left w:w="20" w:type="dxa"/>
              <w:bottom w:w="40" w:type="dxa"/>
              <w:right w:w="20" w:type="dxa"/>
            </w:tcMar>
            <w:vAlign w:val="bottom"/>
          </w:tcPr>
          <w:p w14:paraId="4090E6E0" w14:textId="77777777" w:rsidR="00833634" w:rsidRDefault="00E15D51">
            <w:pPr>
              <w:jc w:val="center"/>
              <w:textAlignment w:val="bottom"/>
            </w:pPr>
            <w:r>
              <w:rPr>
                <w:rFonts w:ascii="Arial" w:eastAsia="宋体" w:hAnsi="Arial" w:cs="Arial"/>
                <w:color w:val="000000"/>
                <w:sz w:val="16"/>
                <w:szCs w:val="16"/>
              </w:rPr>
              <w:t>Carrying Amount of</w:t>
            </w:r>
            <w:r>
              <w:rPr>
                <w:rFonts w:ascii="Arial" w:eastAsia="宋体" w:hAnsi="Arial" w:cs="Arial"/>
                <w:color w:val="000000"/>
                <w:sz w:val="16"/>
                <w:szCs w:val="16"/>
              </w:rPr>
              <w:br/>
              <w:t> Liabilities</w:t>
            </w:r>
          </w:p>
        </w:tc>
      </w:tr>
      <w:tr w:rsidR="00833634" w14:paraId="4090E6EB"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6E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6E3" w14:textId="77777777" w:rsidR="00833634" w:rsidRDefault="00E15D51">
            <w:pPr>
              <w:jc w:val="right"/>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6E4" w14:textId="77777777" w:rsidR="00833634" w:rsidRDefault="00E15D51">
            <w:pPr>
              <w:jc w:val="right"/>
              <w:textAlignment w:val="bottom"/>
            </w:pPr>
            <w:r>
              <w:rPr>
                <w:rFonts w:ascii="Arial" w:eastAsia="宋体" w:hAnsi="Arial" w:cs="Arial"/>
                <w:color w:val="000000"/>
                <w:sz w:val="16"/>
                <w:szCs w:val="16"/>
              </w:rPr>
              <w:t>December 31</w:t>
            </w:r>
            <w:r>
              <w:rPr>
                <w:rFonts w:ascii="Arial" w:eastAsia="宋体" w:hAnsi="Arial" w:cs="Arial"/>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E6E5"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6E6" w14:textId="77777777" w:rsidR="00833634" w:rsidRDefault="00E15D51">
            <w:pPr>
              <w:jc w:val="right"/>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6E7" w14:textId="77777777" w:rsidR="00833634" w:rsidRDefault="00E15D51">
            <w:pPr>
              <w:jc w:val="right"/>
              <w:textAlignment w:val="bottom"/>
            </w:pPr>
            <w:r>
              <w:rPr>
                <w:rFonts w:ascii="Arial" w:eastAsia="宋体" w:hAnsi="Arial" w:cs="Arial"/>
                <w:color w:val="000000"/>
                <w:sz w:val="16"/>
                <w:szCs w:val="16"/>
              </w:rPr>
              <w:t>December 31</w:t>
            </w:r>
            <w:r>
              <w:rPr>
                <w:rFonts w:ascii="Arial" w:eastAsia="宋体" w:hAnsi="Arial" w:cs="Arial"/>
                <w:color w:val="000000"/>
                <w:sz w:val="16"/>
                <w:szCs w:val="16"/>
              </w:rPr>
              <w:b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E6E8"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6E9" w14:textId="77777777" w:rsidR="00833634" w:rsidRDefault="00E15D51">
            <w:pPr>
              <w:jc w:val="right"/>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6EA" w14:textId="77777777" w:rsidR="00833634" w:rsidRDefault="00E15D51">
            <w:pPr>
              <w:jc w:val="right"/>
              <w:textAlignment w:val="bottom"/>
            </w:pPr>
            <w:r>
              <w:rPr>
                <w:rFonts w:ascii="Arial" w:eastAsia="宋体" w:hAnsi="Arial" w:cs="Arial"/>
                <w:color w:val="000000"/>
                <w:sz w:val="16"/>
                <w:szCs w:val="16"/>
              </w:rPr>
              <w:t>December 31</w:t>
            </w:r>
            <w:r>
              <w:rPr>
                <w:rFonts w:ascii="Arial" w:eastAsia="宋体" w:hAnsi="Arial" w:cs="Arial"/>
                <w:color w:val="000000"/>
                <w:sz w:val="16"/>
                <w:szCs w:val="16"/>
              </w:rPr>
              <w:br/>
              <w:t>2019</w:t>
            </w:r>
          </w:p>
        </w:tc>
      </w:tr>
      <w:tr w:rsidR="00833634" w14:paraId="4090E6F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6EC" w14:textId="77777777" w:rsidR="00833634" w:rsidRDefault="00E15D51">
            <w:pPr>
              <w:ind w:hanging="180"/>
              <w:textAlignment w:val="bottom"/>
            </w:pPr>
            <w:r>
              <w:rPr>
                <w:rFonts w:ascii="Arial" w:eastAsia="宋体" w:hAnsi="Arial" w:cs="Arial"/>
                <w:color w:val="000000"/>
                <w:sz w:val="16"/>
                <w:szCs w:val="16"/>
              </w:rPr>
              <w:t>Contingent repurchase commitments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6ED" w14:textId="77777777" w:rsidR="00833634" w:rsidRDefault="00E15D51">
            <w:pPr>
              <w:jc w:val="right"/>
              <w:textAlignment w:val="bottom"/>
            </w:pPr>
            <w:r>
              <w:rPr>
                <w:rFonts w:ascii="Arial" w:eastAsia="宋体" w:hAnsi="Arial" w:cs="Arial"/>
                <w:b/>
                <w:bCs/>
                <w:color w:val="000000"/>
                <w:sz w:val="16"/>
                <w:szCs w:val="16"/>
              </w:rPr>
              <w:t>$1,480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EE"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6EF" w14:textId="77777777" w:rsidR="00833634" w:rsidRDefault="00E15D51">
            <w:pPr>
              <w:jc w:val="right"/>
              <w:textAlignment w:val="bottom"/>
            </w:pPr>
            <w:r>
              <w:rPr>
                <w:rFonts w:ascii="Arial" w:eastAsia="宋体" w:hAnsi="Arial" w:cs="Arial"/>
                <w:color w:val="000000"/>
                <w:sz w:val="16"/>
                <w:szCs w:val="16"/>
              </w:rPr>
              <w:t>$1,570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F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6F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6F2" w14:textId="77777777" w:rsidR="00833634" w:rsidRDefault="00E15D51">
            <w:pPr>
              <w:jc w:val="right"/>
              <w:textAlignment w:val="bottom"/>
            </w:pPr>
            <w:r>
              <w:rPr>
                <w:rFonts w:ascii="Arial" w:eastAsia="宋体" w:hAnsi="Arial" w:cs="Arial"/>
                <w:b/>
                <w:bCs/>
                <w:color w:val="000000"/>
                <w:sz w:val="16"/>
                <w:szCs w:val="16"/>
              </w:rPr>
              <w:t>$1,480</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F3"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6F4" w14:textId="77777777" w:rsidR="00833634" w:rsidRDefault="00E15D51">
            <w:pPr>
              <w:jc w:val="right"/>
              <w:textAlignment w:val="bottom"/>
            </w:pPr>
            <w:r>
              <w:rPr>
                <w:rFonts w:ascii="Arial" w:eastAsia="宋体" w:hAnsi="Arial" w:cs="Arial"/>
                <w:color w:val="000000"/>
                <w:sz w:val="16"/>
                <w:szCs w:val="16"/>
              </w:rPr>
              <w:t>$1,570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6F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6F6"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6F7"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6F8" w14:textId="77777777" w:rsidR="00833634" w:rsidRDefault="00833634">
            <w:pPr>
              <w:rPr>
                <w:rFonts w:ascii="宋体"/>
              </w:rPr>
            </w:pPr>
          </w:p>
        </w:tc>
      </w:tr>
      <w:tr w:rsidR="00833634" w14:paraId="4090E703" w14:textId="77777777">
        <w:tc>
          <w:tcPr>
            <w:tcW w:w="0" w:type="auto"/>
            <w:gridSpan w:val="3"/>
            <w:shd w:val="clear" w:color="auto" w:fill="FFFFFF"/>
            <w:tcMar>
              <w:top w:w="40" w:type="dxa"/>
              <w:left w:w="20" w:type="dxa"/>
              <w:bottom w:w="40" w:type="dxa"/>
              <w:right w:w="20" w:type="dxa"/>
            </w:tcMar>
            <w:vAlign w:val="bottom"/>
          </w:tcPr>
          <w:p w14:paraId="4090E6FA" w14:textId="77777777" w:rsidR="00833634" w:rsidRDefault="00E15D51">
            <w:pPr>
              <w:textAlignment w:val="bottom"/>
            </w:pPr>
            <w:r>
              <w:rPr>
                <w:rFonts w:ascii="Arial" w:eastAsia="宋体" w:hAnsi="Arial" w:cs="Arial"/>
                <w:color w:val="000000"/>
                <w:sz w:val="16"/>
                <w:szCs w:val="16"/>
              </w:rPr>
              <w:t>Indemnifications to ULA:</w:t>
            </w:r>
          </w:p>
        </w:tc>
        <w:tc>
          <w:tcPr>
            <w:tcW w:w="0" w:type="auto"/>
            <w:gridSpan w:val="3"/>
            <w:shd w:val="clear" w:color="auto" w:fill="FFFFFF"/>
            <w:tcMar>
              <w:top w:w="0" w:type="dxa"/>
              <w:left w:w="20" w:type="dxa"/>
              <w:bottom w:w="0" w:type="dxa"/>
              <w:right w:w="20" w:type="dxa"/>
            </w:tcMar>
          </w:tcPr>
          <w:p w14:paraId="4090E6F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6FC"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6FD"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6F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6F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0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0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02" w14:textId="77777777" w:rsidR="00833634" w:rsidRDefault="00833634">
            <w:pPr>
              <w:rPr>
                <w:rFonts w:ascii="宋体"/>
              </w:rPr>
            </w:pPr>
          </w:p>
        </w:tc>
      </w:tr>
      <w:tr w:rsidR="00833634" w14:paraId="4090E70F" w14:textId="77777777">
        <w:tc>
          <w:tcPr>
            <w:tcW w:w="0" w:type="auto"/>
            <w:gridSpan w:val="3"/>
            <w:shd w:val="clear" w:color="auto" w:fill="CCEEFF"/>
            <w:tcMar>
              <w:top w:w="40" w:type="dxa"/>
              <w:left w:w="20" w:type="dxa"/>
              <w:bottom w:w="40" w:type="dxa"/>
              <w:right w:w="20" w:type="dxa"/>
            </w:tcMar>
            <w:vAlign w:val="bottom"/>
          </w:tcPr>
          <w:p w14:paraId="4090E704" w14:textId="77777777" w:rsidR="00833634" w:rsidRDefault="00E15D51">
            <w:pPr>
              <w:ind w:hanging="180"/>
              <w:textAlignment w:val="bottom"/>
            </w:pPr>
            <w:r>
              <w:rPr>
                <w:rFonts w:ascii="Arial" w:eastAsia="宋体" w:hAnsi="Arial" w:cs="Arial"/>
                <w:color w:val="000000"/>
                <w:sz w:val="16"/>
                <w:szCs w:val="16"/>
              </w:rPr>
              <w:t>Contributed Delta inventory</w:t>
            </w:r>
          </w:p>
        </w:tc>
        <w:tc>
          <w:tcPr>
            <w:tcW w:w="0" w:type="auto"/>
            <w:gridSpan w:val="2"/>
            <w:shd w:val="clear" w:color="auto" w:fill="CCEEFF"/>
            <w:tcMar>
              <w:top w:w="40" w:type="dxa"/>
              <w:left w:w="20" w:type="dxa"/>
              <w:bottom w:w="40" w:type="dxa"/>
              <w:right w:w="0" w:type="dxa"/>
            </w:tcMar>
            <w:vAlign w:val="bottom"/>
          </w:tcPr>
          <w:p w14:paraId="4090E705" w14:textId="77777777" w:rsidR="00833634" w:rsidRDefault="00E15D51">
            <w:pPr>
              <w:jc w:val="right"/>
              <w:textAlignment w:val="bottom"/>
            </w:pPr>
            <w:r>
              <w:rPr>
                <w:rFonts w:ascii="Arial" w:eastAsia="宋体" w:hAnsi="Arial" w:cs="Arial"/>
                <w:b/>
                <w:bCs/>
                <w:color w:val="000000"/>
                <w:sz w:val="16"/>
                <w:szCs w:val="16"/>
              </w:rPr>
              <w:t>30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706"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707" w14:textId="77777777" w:rsidR="00833634" w:rsidRDefault="00E15D51">
            <w:pPr>
              <w:jc w:val="right"/>
              <w:textAlignment w:val="bottom"/>
            </w:pPr>
            <w:r>
              <w:rPr>
                <w:rFonts w:ascii="Arial" w:eastAsia="宋体" w:hAnsi="Arial" w:cs="Arial"/>
                <w:color w:val="000000"/>
                <w:sz w:val="16"/>
                <w:szCs w:val="16"/>
              </w:rPr>
              <w:t>30 </w:t>
            </w:r>
          </w:p>
        </w:tc>
        <w:tc>
          <w:tcPr>
            <w:tcW w:w="0" w:type="auto"/>
            <w:shd w:val="clear" w:color="auto" w:fill="CCEEFF"/>
            <w:tcMar>
              <w:top w:w="40" w:type="dxa"/>
              <w:left w:w="0" w:type="dxa"/>
              <w:bottom w:w="40" w:type="dxa"/>
              <w:right w:w="20" w:type="dxa"/>
            </w:tcMar>
            <w:vAlign w:val="bottom"/>
          </w:tcPr>
          <w:p w14:paraId="4090E70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0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70A"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70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70C"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70D"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70E" w14:textId="77777777" w:rsidR="00833634" w:rsidRDefault="00833634">
            <w:pPr>
              <w:rPr>
                <w:rFonts w:ascii="宋体"/>
              </w:rPr>
            </w:pPr>
          </w:p>
        </w:tc>
      </w:tr>
      <w:tr w:rsidR="00833634" w14:paraId="4090E71B" w14:textId="77777777">
        <w:tc>
          <w:tcPr>
            <w:tcW w:w="0" w:type="auto"/>
            <w:gridSpan w:val="3"/>
            <w:shd w:val="clear" w:color="auto" w:fill="FFFFFF"/>
            <w:tcMar>
              <w:top w:w="40" w:type="dxa"/>
              <w:left w:w="135" w:type="dxa"/>
              <w:bottom w:w="40" w:type="dxa"/>
              <w:right w:w="20" w:type="dxa"/>
            </w:tcMar>
            <w:vAlign w:val="bottom"/>
          </w:tcPr>
          <w:p w14:paraId="4090E710" w14:textId="77777777" w:rsidR="00833634" w:rsidRDefault="00E15D51">
            <w:pPr>
              <w:textAlignment w:val="bottom"/>
            </w:pPr>
            <w:r>
              <w:rPr>
                <w:rFonts w:ascii="Arial" w:eastAsia="宋体" w:hAnsi="Arial" w:cs="Arial"/>
                <w:color w:val="000000"/>
                <w:sz w:val="16"/>
                <w:szCs w:val="16"/>
              </w:rPr>
              <w:t>Inventory supply agreement</w:t>
            </w:r>
          </w:p>
        </w:tc>
        <w:tc>
          <w:tcPr>
            <w:tcW w:w="0" w:type="auto"/>
            <w:gridSpan w:val="2"/>
            <w:shd w:val="clear" w:color="auto" w:fill="FFFFFF"/>
            <w:tcMar>
              <w:top w:w="40" w:type="dxa"/>
              <w:left w:w="20" w:type="dxa"/>
              <w:bottom w:w="40" w:type="dxa"/>
              <w:right w:w="0" w:type="dxa"/>
            </w:tcMar>
            <w:vAlign w:val="bottom"/>
          </w:tcPr>
          <w:p w14:paraId="4090E711" w14:textId="77777777" w:rsidR="00833634" w:rsidRDefault="00E15D51">
            <w:pPr>
              <w:jc w:val="right"/>
              <w:textAlignment w:val="bottom"/>
            </w:pPr>
            <w:r>
              <w:rPr>
                <w:rFonts w:ascii="Arial" w:eastAsia="宋体" w:hAnsi="Arial" w:cs="Arial"/>
                <w:b/>
                <w:bCs/>
                <w:color w:val="000000"/>
                <w:sz w:val="16"/>
                <w:szCs w:val="16"/>
              </w:rPr>
              <w:t>34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E712"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713" w14:textId="77777777" w:rsidR="00833634" w:rsidRDefault="00E15D51">
            <w:pPr>
              <w:jc w:val="right"/>
              <w:textAlignment w:val="bottom"/>
            </w:pPr>
            <w:r>
              <w:rPr>
                <w:rFonts w:ascii="Arial" w:eastAsia="宋体" w:hAnsi="Arial" w:cs="Arial"/>
                <w:color w:val="000000"/>
                <w:sz w:val="16"/>
                <w:szCs w:val="16"/>
              </w:rPr>
              <w:t>34 </w:t>
            </w:r>
          </w:p>
        </w:tc>
        <w:tc>
          <w:tcPr>
            <w:tcW w:w="0" w:type="auto"/>
            <w:shd w:val="clear" w:color="auto" w:fill="FFFFFF"/>
            <w:tcMar>
              <w:top w:w="40" w:type="dxa"/>
              <w:left w:w="0" w:type="dxa"/>
              <w:bottom w:w="40" w:type="dxa"/>
              <w:right w:w="20" w:type="dxa"/>
            </w:tcMar>
            <w:vAlign w:val="bottom"/>
          </w:tcPr>
          <w:p w14:paraId="4090E71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71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1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1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1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19"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1A" w14:textId="77777777" w:rsidR="00833634" w:rsidRDefault="00833634">
            <w:pPr>
              <w:rPr>
                <w:rFonts w:ascii="宋体"/>
              </w:rPr>
            </w:pPr>
          </w:p>
        </w:tc>
      </w:tr>
      <w:tr w:rsidR="00833634" w14:paraId="4090E727" w14:textId="77777777">
        <w:tc>
          <w:tcPr>
            <w:tcW w:w="0" w:type="auto"/>
            <w:gridSpan w:val="3"/>
            <w:shd w:val="clear" w:color="auto" w:fill="CCEEFF"/>
            <w:tcMar>
              <w:top w:w="40" w:type="dxa"/>
              <w:left w:w="135" w:type="dxa"/>
              <w:bottom w:w="40" w:type="dxa"/>
              <w:right w:w="20" w:type="dxa"/>
            </w:tcMar>
            <w:vAlign w:val="bottom"/>
          </w:tcPr>
          <w:p w14:paraId="4090E71C" w14:textId="77777777" w:rsidR="00833634" w:rsidRDefault="00E15D51">
            <w:pPr>
              <w:textAlignment w:val="bottom"/>
            </w:pPr>
            <w:r>
              <w:rPr>
                <w:rFonts w:ascii="Arial" w:eastAsia="宋体" w:hAnsi="Arial" w:cs="Arial"/>
                <w:color w:val="000000"/>
                <w:sz w:val="16"/>
                <w:szCs w:val="16"/>
              </w:rPr>
              <w:t>Questioned costs</w:t>
            </w:r>
          </w:p>
        </w:tc>
        <w:tc>
          <w:tcPr>
            <w:tcW w:w="0" w:type="auto"/>
            <w:gridSpan w:val="3"/>
            <w:shd w:val="clear" w:color="auto" w:fill="CCEEFF"/>
            <w:tcMar>
              <w:top w:w="0" w:type="dxa"/>
              <w:left w:w="20" w:type="dxa"/>
              <w:bottom w:w="0" w:type="dxa"/>
              <w:right w:w="20" w:type="dxa"/>
            </w:tcMar>
          </w:tcPr>
          <w:p w14:paraId="4090E71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1E" w14:textId="77777777" w:rsidR="00833634" w:rsidRDefault="00E15D51">
            <w:pPr>
              <w:jc w:val="right"/>
              <w:textAlignment w:val="bottom"/>
            </w:pPr>
            <w:r>
              <w:rPr>
                <w:rFonts w:ascii="Arial" w:eastAsia="宋体" w:hAnsi="Arial" w:cs="Arial"/>
                <w:color w:val="000000"/>
                <w:sz w:val="16"/>
                <w:szCs w:val="16"/>
              </w:rPr>
              <w:t>317 </w:t>
            </w:r>
          </w:p>
        </w:tc>
        <w:tc>
          <w:tcPr>
            <w:tcW w:w="0" w:type="auto"/>
            <w:shd w:val="clear" w:color="auto" w:fill="CCEEFF"/>
            <w:tcMar>
              <w:top w:w="40" w:type="dxa"/>
              <w:left w:w="0" w:type="dxa"/>
              <w:bottom w:w="40" w:type="dxa"/>
              <w:right w:w="20" w:type="dxa"/>
            </w:tcMar>
            <w:vAlign w:val="bottom"/>
          </w:tcPr>
          <w:p w14:paraId="4090E71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2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72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722"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723"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72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25" w14:textId="77777777" w:rsidR="00833634" w:rsidRDefault="00E15D51">
            <w:pPr>
              <w:jc w:val="right"/>
              <w:textAlignment w:val="bottom"/>
            </w:pPr>
            <w:r>
              <w:rPr>
                <w:rFonts w:ascii="Arial" w:eastAsia="宋体" w:hAnsi="Arial" w:cs="Arial"/>
                <w:color w:val="000000"/>
                <w:sz w:val="16"/>
                <w:szCs w:val="16"/>
              </w:rPr>
              <w:t>$48 </w:t>
            </w:r>
          </w:p>
        </w:tc>
        <w:tc>
          <w:tcPr>
            <w:tcW w:w="0" w:type="auto"/>
            <w:shd w:val="clear" w:color="auto" w:fill="CCEEFF"/>
            <w:tcMar>
              <w:top w:w="40" w:type="dxa"/>
              <w:left w:w="0" w:type="dxa"/>
              <w:bottom w:w="40" w:type="dxa"/>
              <w:right w:w="20" w:type="dxa"/>
            </w:tcMar>
            <w:vAlign w:val="bottom"/>
          </w:tcPr>
          <w:p w14:paraId="4090E726" w14:textId="77777777" w:rsidR="00833634" w:rsidRDefault="00833634">
            <w:pPr>
              <w:jc w:val="right"/>
              <w:rPr>
                <w:rFonts w:ascii="宋体"/>
              </w:rPr>
            </w:pPr>
          </w:p>
        </w:tc>
      </w:tr>
      <w:tr w:rsidR="00833634" w14:paraId="4090E731" w14:textId="77777777">
        <w:trPr>
          <w:hidden/>
        </w:trPr>
        <w:tc>
          <w:tcPr>
            <w:tcW w:w="0" w:type="auto"/>
            <w:gridSpan w:val="3"/>
            <w:shd w:val="clear" w:color="auto" w:fill="auto"/>
          </w:tcPr>
          <w:p w14:paraId="4090E728" w14:textId="77777777" w:rsidR="00833634" w:rsidRDefault="00833634">
            <w:pPr>
              <w:rPr>
                <w:rFonts w:ascii="宋体"/>
                <w:vanish/>
              </w:rPr>
            </w:pPr>
          </w:p>
        </w:tc>
        <w:tc>
          <w:tcPr>
            <w:tcW w:w="0" w:type="auto"/>
            <w:gridSpan w:val="3"/>
            <w:shd w:val="clear" w:color="auto" w:fill="auto"/>
          </w:tcPr>
          <w:p w14:paraId="4090E729" w14:textId="77777777" w:rsidR="00833634" w:rsidRDefault="00833634">
            <w:pPr>
              <w:rPr>
                <w:rFonts w:ascii="宋体"/>
                <w:vanish/>
              </w:rPr>
            </w:pPr>
          </w:p>
        </w:tc>
        <w:tc>
          <w:tcPr>
            <w:tcW w:w="0" w:type="auto"/>
            <w:gridSpan w:val="3"/>
            <w:shd w:val="clear" w:color="auto" w:fill="auto"/>
          </w:tcPr>
          <w:p w14:paraId="4090E72A" w14:textId="77777777" w:rsidR="00833634" w:rsidRDefault="00833634">
            <w:pPr>
              <w:rPr>
                <w:rFonts w:ascii="宋体"/>
                <w:vanish/>
              </w:rPr>
            </w:pPr>
          </w:p>
        </w:tc>
        <w:tc>
          <w:tcPr>
            <w:tcW w:w="0" w:type="auto"/>
            <w:gridSpan w:val="3"/>
            <w:shd w:val="clear" w:color="auto" w:fill="auto"/>
          </w:tcPr>
          <w:p w14:paraId="4090E72B" w14:textId="77777777" w:rsidR="00833634" w:rsidRDefault="00833634">
            <w:pPr>
              <w:rPr>
                <w:rFonts w:ascii="宋体"/>
                <w:vanish/>
              </w:rPr>
            </w:pPr>
          </w:p>
        </w:tc>
        <w:tc>
          <w:tcPr>
            <w:tcW w:w="0" w:type="auto"/>
            <w:gridSpan w:val="3"/>
            <w:shd w:val="clear" w:color="auto" w:fill="auto"/>
          </w:tcPr>
          <w:p w14:paraId="4090E72C" w14:textId="77777777" w:rsidR="00833634" w:rsidRDefault="00833634">
            <w:pPr>
              <w:rPr>
                <w:rFonts w:ascii="宋体"/>
                <w:vanish/>
              </w:rPr>
            </w:pPr>
          </w:p>
        </w:tc>
        <w:tc>
          <w:tcPr>
            <w:tcW w:w="0" w:type="auto"/>
            <w:gridSpan w:val="3"/>
            <w:shd w:val="clear" w:color="auto" w:fill="auto"/>
          </w:tcPr>
          <w:p w14:paraId="4090E72D" w14:textId="77777777" w:rsidR="00833634" w:rsidRDefault="00833634">
            <w:pPr>
              <w:rPr>
                <w:rFonts w:ascii="宋体"/>
                <w:vanish/>
              </w:rPr>
            </w:pPr>
          </w:p>
        </w:tc>
        <w:tc>
          <w:tcPr>
            <w:tcW w:w="0" w:type="auto"/>
            <w:gridSpan w:val="3"/>
            <w:shd w:val="clear" w:color="auto" w:fill="auto"/>
          </w:tcPr>
          <w:p w14:paraId="4090E72E" w14:textId="77777777" w:rsidR="00833634" w:rsidRDefault="00833634">
            <w:pPr>
              <w:rPr>
                <w:rFonts w:ascii="宋体"/>
                <w:vanish/>
              </w:rPr>
            </w:pPr>
          </w:p>
        </w:tc>
        <w:tc>
          <w:tcPr>
            <w:tcW w:w="0" w:type="auto"/>
            <w:gridSpan w:val="3"/>
            <w:shd w:val="clear" w:color="auto" w:fill="auto"/>
          </w:tcPr>
          <w:p w14:paraId="4090E72F" w14:textId="77777777" w:rsidR="00833634" w:rsidRDefault="00833634">
            <w:pPr>
              <w:rPr>
                <w:rFonts w:ascii="宋体"/>
                <w:vanish/>
              </w:rPr>
            </w:pPr>
          </w:p>
        </w:tc>
        <w:tc>
          <w:tcPr>
            <w:tcW w:w="0" w:type="auto"/>
            <w:gridSpan w:val="3"/>
            <w:shd w:val="clear" w:color="auto" w:fill="auto"/>
          </w:tcPr>
          <w:p w14:paraId="4090E730" w14:textId="77777777" w:rsidR="00833634" w:rsidRDefault="00833634">
            <w:pPr>
              <w:rPr>
                <w:rFonts w:ascii="宋体"/>
                <w:vanish/>
              </w:rPr>
            </w:pPr>
          </w:p>
        </w:tc>
      </w:tr>
      <w:tr w:rsidR="00833634" w14:paraId="4090E741" w14:textId="77777777">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090E732" w14:textId="77777777" w:rsidR="00833634" w:rsidRDefault="00E15D51">
            <w:pPr>
              <w:ind w:hanging="180"/>
              <w:textAlignment w:val="bottom"/>
            </w:pPr>
            <w:r>
              <w:rPr>
                <w:rFonts w:ascii="Arial" w:eastAsia="宋体" w:hAnsi="Arial" w:cs="Arial"/>
                <w:color w:val="000000"/>
                <w:sz w:val="16"/>
                <w:szCs w:val="16"/>
              </w:rPr>
              <w:t>Credit guarantees</w:t>
            </w:r>
          </w:p>
        </w:tc>
        <w:tc>
          <w:tcPr>
            <w:tcW w:w="0" w:type="auto"/>
            <w:gridSpan w:val="2"/>
            <w:tcBorders>
              <w:bottom w:val="single" w:sz="8" w:space="0" w:color="000000"/>
            </w:tcBorders>
            <w:shd w:val="clear" w:color="auto" w:fill="auto"/>
            <w:tcMar>
              <w:top w:w="40" w:type="dxa"/>
              <w:left w:w="20" w:type="dxa"/>
              <w:bottom w:w="40" w:type="dxa"/>
              <w:right w:w="0" w:type="dxa"/>
            </w:tcMar>
            <w:vAlign w:val="bottom"/>
          </w:tcPr>
          <w:p w14:paraId="4090E733" w14:textId="77777777" w:rsidR="00833634" w:rsidRDefault="00E15D51">
            <w:pPr>
              <w:jc w:val="right"/>
              <w:textAlignment w:val="bottom"/>
            </w:pPr>
            <w:r>
              <w:rPr>
                <w:rFonts w:ascii="Arial" w:eastAsia="宋体" w:hAnsi="Arial" w:cs="Arial"/>
                <w:b/>
                <w:bCs/>
                <w:color w:val="000000"/>
                <w:sz w:val="16"/>
                <w:szCs w:val="16"/>
              </w:rPr>
              <w:t>90</w:t>
            </w:r>
            <w:r>
              <w:rPr>
                <w:rFonts w:ascii="Arial" w:eastAsia="宋体" w:hAnsi="Arial" w:cs="Arial"/>
                <w:color w:val="000000"/>
                <w:sz w:val="16"/>
                <w:szCs w:val="16"/>
              </w:rPr>
              <w:t> </w:t>
            </w:r>
          </w:p>
        </w:tc>
        <w:tc>
          <w:tcPr>
            <w:tcW w:w="0" w:type="auto"/>
            <w:tcBorders>
              <w:bottom w:val="single" w:sz="8" w:space="0" w:color="000000"/>
            </w:tcBorders>
            <w:shd w:val="clear" w:color="auto" w:fill="auto"/>
            <w:tcMar>
              <w:top w:w="40" w:type="dxa"/>
              <w:left w:w="0" w:type="dxa"/>
              <w:bottom w:w="40" w:type="dxa"/>
              <w:right w:w="20" w:type="dxa"/>
            </w:tcMar>
            <w:vAlign w:val="bottom"/>
          </w:tcPr>
          <w:p w14:paraId="4090E734" w14:textId="77777777" w:rsidR="00833634" w:rsidRDefault="00833634">
            <w:pPr>
              <w:jc w:val="right"/>
              <w:rPr>
                <w:rFonts w:ascii="宋体"/>
              </w:rPr>
            </w:pPr>
          </w:p>
        </w:tc>
        <w:tc>
          <w:tcPr>
            <w:tcW w:w="0" w:type="auto"/>
            <w:gridSpan w:val="2"/>
            <w:tcBorders>
              <w:bottom w:val="single" w:sz="8" w:space="0" w:color="000000"/>
            </w:tcBorders>
            <w:shd w:val="clear" w:color="auto" w:fill="auto"/>
            <w:tcMar>
              <w:top w:w="40" w:type="dxa"/>
              <w:left w:w="20" w:type="dxa"/>
              <w:bottom w:w="40" w:type="dxa"/>
              <w:right w:w="0" w:type="dxa"/>
            </w:tcMar>
            <w:vAlign w:val="bottom"/>
          </w:tcPr>
          <w:p w14:paraId="4090E735" w14:textId="77777777" w:rsidR="00833634" w:rsidRDefault="00E15D51">
            <w:pPr>
              <w:jc w:val="right"/>
              <w:textAlignment w:val="bottom"/>
            </w:pPr>
            <w:r>
              <w:rPr>
                <w:rFonts w:ascii="Arial" w:eastAsia="宋体" w:hAnsi="Arial" w:cs="Arial"/>
                <w:color w:val="000000"/>
                <w:sz w:val="16"/>
                <w:szCs w:val="16"/>
              </w:rPr>
              <w:t>92 </w:t>
            </w:r>
          </w:p>
        </w:tc>
        <w:tc>
          <w:tcPr>
            <w:tcW w:w="0" w:type="auto"/>
            <w:tcBorders>
              <w:bottom w:val="single" w:sz="8" w:space="0" w:color="000000"/>
            </w:tcBorders>
            <w:shd w:val="clear" w:color="auto" w:fill="auto"/>
            <w:tcMar>
              <w:top w:w="40" w:type="dxa"/>
              <w:left w:w="0" w:type="dxa"/>
              <w:bottom w:w="40" w:type="dxa"/>
              <w:right w:w="20" w:type="dxa"/>
            </w:tcMar>
            <w:vAlign w:val="bottom"/>
          </w:tcPr>
          <w:p w14:paraId="4090E736" w14:textId="77777777" w:rsidR="00833634" w:rsidRDefault="00833634">
            <w:pPr>
              <w:jc w:val="right"/>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4090E737" w14:textId="77777777" w:rsidR="00833634" w:rsidRDefault="00833634">
            <w:pPr>
              <w:rPr>
                <w:rFonts w:ascii="宋体"/>
              </w:rPr>
            </w:pPr>
          </w:p>
        </w:tc>
        <w:tc>
          <w:tcPr>
            <w:tcW w:w="0" w:type="auto"/>
            <w:gridSpan w:val="2"/>
            <w:tcBorders>
              <w:bottom w:val="single" w:sz="8" w:space="0" w:color="000000"/>
            </w:tcBorders>
            <w:shd w:val="clear" w:color="auto" w:fill="auto"/>
            <w:tcMar>
              <w:top w:w="40" w:type="dxa"/>
              <w:left w:w="20" w:type="dxa"/>
              <w:bottom w:w="40" w:type="dxa"/>
              <w:right w:w="0" w:type="dxa"/>
            </w:tcMar>
            <w:vAlign w:val="bottom"/>
          </w:tcPr>
          <w:p w14:paraId="4090E738" w14:textId="77777777" w:rsidR="00833634" w:rsidRDefault="00E15D51">
            <w:pPr>
              <w:jc w:val="right"/>
              <w:textAlignment w:val="bottom"/>
            </w:pPr>
            <w:r>
              <w:rPr>
                <w:rFonts w:ascii="Arial" w:eastAsia="宋体" w:hAnsi="Arial" w:cs="Arial"/>
                <w:b/>
                <w:bCs/>
                <w:color w:val="000000"/>
                <w:sz w:val="16"/>
                <w:szCs w:val="16"/>
              </w:rPr>
              <w:t>33</w:t>
            </w:r>
            <w:r>
              <w:rPr>
                <w:rFonts w:ascii="Arial" w:eastAsia="宋体" w:hAnsi="Arial" w:cs="Arial"/>
                <w:color w:val="000000"/>
                <w:sz w:val="16"/>
                <w:szCs w:val="16"/>
              </w:rPr>
              <w:t> </w:t>
            </w:r>
          </w:p>
        </w:tc>
        <w:tc>
          <w:tcPr>
            <w:tcW w:w="0" w:type="auto"/>
            <w:tcBorders>
              <w:bottom w:val="single" w:sz="8" w:space="0" w:color="000000"/>
            </w:tcBorders>
            <w:shd w:val="clear" w:color="auto" w:fill="auto"/>
            <w:tcMar>
              <w:top w:w="40" w:type="dxa"/>
              <w:left w:w="0" w:type="dxa"/>
              <w:bottom w:w="40" w:type="dxa"/>
              <w:right w:w="20" w:type="dxa"/>
            </w:tcMar>
            <w:vAlign w:val="bottom"/>
          </w:tcPr>
          <w:p w14:paraId="4090E739" w14:textId="77777777" w:rsidR="00833634" w:rsidRDefault="00833634">
            <w:pPr>
              <w:jc w:val="right"/>
              <w:rPr>
                <w:rFonts w:ascii="宋体"/>
              </w:rPr>
            </w:pPr>
          </w:p>
        </w:tc>
        <w:tc>
          <w:tcPr>
            <w:tcW w:w="0" w:type="auto"/>
            <w:gridSpan w:val="2"/>
            <w:tcBorders>
              <w:bottom w:val="single" w:sz="8" w:space="0" w:color="000000"/>
            </w:tcBorders>
            <w:shd w:val="clear" w:color="auto" w:fill="auto"/>
            <w:tcMar>
              <w:top w:w="40" w:type="dxa"/>
              <w:left w:w="20" w:type="dxa"/>
              <w:bottom w:w="40" w:type="dxa"/>
              <w:right w:w="0" w:type="dxa"/>
            </w:tcMar>
            <w:vAlign w:val="bottom"/>
          </w:tcPr>
          <w:p w14:paraId="4090E73A" w14:textId="77777777" w:rsidR="00833634" w:rsidRDefault="00E15D51">
            <w:pPr>
              <w:jc w:val="right"/>
              <w:textAlignment w:val="bottom"/>
            </w:pPr>
            <w:r>
              <w:rPr>
                <w:rFonts w:ascii="Arial" w:eastAsia="宋体" w:hAnsi="Arial" w:cs="Arial"/>
                <w:color w:val="000000"/>
                <w:sz w:val="16"/>
                <w:szCs w:val="16"/>
              </w:rPr>
              <w:t>36 </w:t>
            </w:r>
          </w:p>
        </w:tc>
        <w:tc>
          <w:tcPr>
            <w:tcW w:w="0" w:type="auto"/>
            <w:tcBorders>
              <w:bottom w:val="single" w:sz="8" w:space="0" w:color="000000"/>
            </w:tcBorders>
            <w:shd w:val="clear" w:color="auto" w:fill="auto"/>
            <w:tcMar>
              <w:top w:w="40" w:type="dxa"/>
              <w:left w:w="0" w:type="dxa"/>
              <w:bottom w:w="40" w:type="dxa"/>
              <w:right w:w="20" w:type="dxa"/>
            </w:tcMar>
            <w:vAlign w:val="bottom"/>
          </w:tcPr>
          <w:p w14:paraId="4090E73B" w14:textId="77777777" w:rsidR="00833634" w:rsidRDefault="00833634">
            <w:pPr>
              <w:jc w:val="right"/>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4090E73C" w14:textId="77777777" w:rsidR="00833634" w:rsidRDefault="00833634">
            <w:pPr>
              <w:rPr>
                <w:rFonts w:ascii="宋体"/>
              </w:rPr>
            </w:pPr>
          </w:p>
        </w:tc>
        <w:tc>
          <w:tcPr>
            <w:tcW w:w="0" w:type="auto"/>
            <w:gridSpan w:val="2"/>
            <w:tcBorders>
              <w:bottom w:val="single" w:sz="8" w:space="0" w:color="000000"/>
            </w:tcBorders>
            <w:shd w:val="clear" w:color="auto" w:fill="FFFFFF"/>
            <w:tcMar>
              <w:top w:w="40" w:type="dxa"/>
              <w:left w:w="20" w:type="dxa"/>
              <w:bottom w:w="40" w:type="dxa"/>
              <w:right w:w="0" w:type="dxa"/>
            </w:tcMar>
            <w:vAlign w:val="bottom"/>
          </w:tcPr>
          <w:p w14:paraId="4090E73D" w14:textId="77777777" w:rsidR="00833634" w:rsidRDefault="00E15D51">
            <w:pPr>
              <w:jc w:val="right"/>
              <w:textAlignment w:val="bottom"/>
            </w:pPr>
            <w:r>
              <w:rPr>
                <w:rFonts w:ascii="Arial" w:eastAsia="宋体" w:hAnsi="Arial" w:cs="Arial"/>
                <w:b/>
                <w:bCs/>
                <w:color w:val="000000"/>
                <w:sz w:val="16"/>
                <w:szCs w:val="16"/>
              </w:rPr>
              <w:t>$24</w:t>
            </w:r>
            <w:r>
              <w:rPr>
                <w:rFonts w:ascii="Arial" w:eastAsia="宋体" w:hAnsi="Arial" w:cs="Arial"/>
                <w:color w:val="000000"/>
                <w:sz w:val="16"/>
                <w:szCs w:val="16"/>
              </w:rPr>
              <w:t> </w:t>
            </w:r>
          </w:p>
        </w:tc>
        <w:tc>
          <w:tcPr>
            <w:tcW w:w="0" w:type="auto"/>
            <w:tcBorders>
              <w:bottom w:val="single" w:sz="8" w:space="0" w:color="000000"/>
            </w:tcBorders>
            <w:shd w:val="clear" w:color="auto" w:fill="FFFFFF"/>
            <w:tcMar>
              <w:top w:w="40" w:type="dxa"/>
              <w:left w:w="0" w:type="dxa"/>
              <w:bottom w:w="40" w:type="dxa"/>
              <w:right w:w="20" w:type="dxa"/>
            </w:tcMar>
            <w:vAlign w:val="bottom"/>
          </w:tcPr>
          <w:p w14:paraId="4090E73E" w14:textId="77777777" w:rsidR="00833634" w:rsidRDefault="00833634">
            <w:pPr>
              <w:jc w:val="right"/>
              <w:rPr>
                <w:rFonts w:ascii="宋体"/>
              </w:rPr>
            </w:pPr>
          </w:p>
        </w:tc>
        <w:tc>
          <w:tcPr>
            <w:tcW w:w="0" w:type="auto"/>
            <w:gridSpan w:val="2"/>
            <w:tcBorders>
              <w:bottom w:val="single" w:sz="8" w:space="0" w:color="000000"/>
            </w:tcBorders>
            <w:shd w:val="clear" w:color="auto" w:fill="FFFFFF"/>
            <w:tcMar>
              <w:top w:w="40" w:type="dxa"/>
              <w:left w:w="20" w:type="dxa"/>
              <w:bottom w:w="40" w:type="dxa"/>
              <w:right w:w="0" w:type="dxa"/>
            </w:tcMar>
            <w:vAlign w:val="bottom"/>
          </w:tcPr>
          <w:p w14:paraId="4090E73F" w14:textId="77777777" w:rsidR="00833634" w:rsidRDefault="00E15D51">
            <w:pPr>
              <w:jc w:val="right"/>
              <w:textAlignment w:val="bottom"/>
            </w:pPr>
            <w:r>
              <w:rPr>
                <w:rFonts w:ascii="Arial" w:eastAsia="宋体" w:hAnsi="Arial" w:cs="Arial"/>
                <w:color w:val="000000"/>
                <w:sz w:val="16"/>
                <w:szCs w:val="16"/>
              </w:rPr>
              <w:t>16 </w:t>
            </w:r>
          </w:p>
        </w:tc>
        <w:tc>
          <w:tcPr>
            <w:tcW w:w="0" w:type="auto"/>
            <w:tcBorders>
              <w:bottom w:val="single" w:sz="8" w:space="0" w:color="000000"/>
            </w:tcBorders>
            <w:shd w:val="clear" w:color="auto" w:fill="FFFFFF"/>
            <w:tcMar>
              <w:top w:w="40" w:type="dxa"/>
              <w:left w:w="0" w:type="dxa"/>
              <w:bottom w:w="40" w:type="dxa"/>
              <w:right w:w="20" w:type="dxa"/>
            </w:tcMar>
            <w:vAlign w:val="bottom"/>
          </w:tcPr>
          <w:p w14:paraId="4090E740" w14:textId="77777777" w:rsidR="00833634" w:rsidRDefault="00833634">
            <w:pPr>
              <w:jc w:val="right"/>
              <w:rPr>
                <w:rFonts w:ascii="宋体"/>
              </w:rPr>
            </w:pPr>
          </w:p>
        </w:tc>
      </w:tr>
      <w:tr w:rsidR="00833634" w14:paraId="4090E74B" w14:textId="77777777">
        <w:trPr>
          <w:hidden/>
        </w:trPr>
        <w:tc>
          <w:tcPr>
            <w:tcW w:w="0" w:type="auto"/>
            <w:gridSpan w:val="3"/>
            <w:shd w:val="clear" w:color="auto" w:fill="auto"/>
          </w:tcPr>
          <w:p w14:paraId="4090E742" w14:textId="77777777" w:rsidR="00833634" w:rsidRDefault="00833634">
            <w:pPr>
              <w:rPr>
                <w:rFonts w:ascii="宋体"/>
                <w:vanish/>
              </w:rPr>
            </w:pPr>
          </w:p>
        </w:tc>
        <w:tc>
          <w:tcPr>
            <w:tcW w:w="0" w:type="auto"/>
            <w:gridSpan w:val="3"/>
            <w:shd w:val="clear" w:color="auto" w:fill="auto"/>
          </w:tcPr>
          <w:p w14:paraId="4090E743" w14:textId="77777777" w:rsidR="00833634" w:rsidRDefault="00833634">
            <w:pPr>
              <w:rPr>
                <w:rFonts w:ascii="宋体"/>
                <w:vanish/>
              </w:rPr>
            </w:pPr>
          </w:p>
        </w:tc>
        <w:tc>
          <w:tcPr>
            <w:tcW w:w="0" w:type="auto"/>
            <w:gridSpan w:val="3"/>
            <w:shd w:val="clear" w:color="auto" w:fill="auto"/>
          </w:tcPr>
          <w:p w14:paraId="4090E744" w14:textId="77777777" w:rsidR="00833634" w:rsidRDefault="00833634">
            <w:pPr>
              <w:rPr>
                <w:rFonts w:ascii="宋体"/>
                <w:vanish/>
              </w:rPr>
            </w:pPr>
          </w:p>
        </w:tc>
        <w:tc>
          <w:tcPr>
            <w:tcW w:w="0" w:type="auto"/>
            <w:gridSpan w:val="3"/>
            <w:shd w:val="clear" w:color="auto" w:fill="auto"/>
          </w:tcPr>
          <w:p w14:paraId="4090E745" w14:textId="77777777" w:rsidR="00833634" w:rsidRDefault="00833634">
            <w:pPr>
              <w:rPr>
                <w:rFonts w:ascii="宋体"/>
                <w:vanish/>
              </w:rPr>
            </w:pPr>
          </w:p>
        </w:tc>
        <w:tc>
          <w:tcPr>
            <w:tcW w:w="0" w:type="auto"/>
            <w:gridSpan w:val="3"/>
            <w:shd w:val="clear" w:color="auto" w:fill="auto"/>
          </w:tcPr>
          <w:p w14:paraId="4090E746" w14:textId="77777777" w:rsidR="00833634" w:rsidRDefault="00833634">
            <w:pPr>
              <w:rPr>
                <w:rFonts w:ascii="宋体"/>
                <w:vanish/>
              </w:rPr>
            </w:pPr>
          </w:p>
        </w:tc>
        <w:tc>
          <w:tcPr>
            <w:tcW w:w="0" w:type="auto"/>
            <w:gridSpan w:val="3"/>
            <w:shd w:val="clear" w:color="auto" w:fill="auto"/>
          </w:tcPr>
          <w:p w14:paraId="4090E747" w14:textId="77777777" w:rsidR="00833634" w:rsidRDefault="00833634">
            <w:pPr>
              <w:rPr>
                <w:rFonts w:ascii="宋体"/>
                <w:vanish/>
              </w:rPr>
            </w:pPr>
          </w:p>
        </w:tc>
        <w:tc>
          <w:tcPr>
            <w:tcW w:w="0" w:type="auto"/>
            <w:gridSpan w:val="3"/>
            <w:shd w:val="clear" w:color="auto" w:fill="auto"/>
          </w:tcPr>
          <w:p w14:paraId="4090E748" w14:textId="77777777" w:rsidR="00833634" w:rsidRDefault="00833634">
            <w:pPr>
              <w:rPr>
                <w:rFonts w:ascii="宋体"/>
                <w:vanish/>
              </w:rPr>
            </w:pPr>
          </w:p>
        </w:tc>
        <w:tc>
          <w:tcPr>
            <w:tcW w:w="0" w:type="auto"/>
            <w:gridSpan w:val="3"/>
            <w:shd w:val="clear" w:color="auto" w:fill="auto"/>
          </w:tcPr>
          <w:p w14:paraId="4090E749" w14:textId="77777777" w:rsidR="00833634" w:rsidRDefault="00833634">
            <w:pPr>
              <w:rPr>
                <w:rFonts w:ascii="宋体"/>
                <w:vanish/>
              </w:rPr>
            </w:pPr>
          </w:p>
        </w:tc>
        <w:tc>
          <w:tcPr>
            <w:tcW w:w="0" w:type="auto"/>
            <w:gridSpan w:val="3"/>
            <w:shd w:val="clear" w:color="auto" w:fill="auto"/>
          </w:tcPr>
          <w:p w14:paraId="4090E74A" w14:textId="77777777" w:rsidR="00833634" w:rsidRDefault="00833634">
            <w:pPr>
              <w:rPr>
                <w:rFonts w:ascii="宋体"/>
                <w:vanish/>
              </w:rPr>
            </w:pPr>
          </w:p>
        </w:tc>
      </w:tr>
    </w:tbl>
    <w:p w14:paraId="4090E74C" w14:textId="77777777" w:rsidR="00833634" w:rsidRDefault="00E15D51">
      <w:pPr>
        <w:spacing w:after="180"/>
        <w:jc w:val="both"/>
      </w:pPr>
      <w:r>
        <w:rPr>
          <w:rFonts w:ascii="Arial" w:eastAsia="宋体" w:hAnsi="Arial" w:cs="Arial"/>
          <w:b/>
          <w:bCs/>
          <w:color w:val="000000"/>
          <w:sz w:val="20"/>
          <w:szCs w:val="20"/>
        </w:rPr>
        <w:t>Contingent Repurchase Commitments</w:t>
      </w:r>
      <w:r>
        <w:rPr>
          <w:rFonts w:ascii="Arial" w:eastAsia="宋体" w:hAnsi="Arial" w:cs="Arial"/>
          <w:color w:val="000000"/>
          <w:sz w:val="20"/>
          <w:szCs w:val="20"/>
        </w:rPr>
        <w:t xml:space="preserve"> The repurchase price specified in contingent repurchase commitments is generally lower than the expected fair value at the specified repurchase date. Estimated proceeds from collateral/recourse in the table above represent the lower of the contracted repu</w:t>
      </w:r>
      <w:r>
        <w:rPr>
          <w:rFonts w:ascii="Arial" w:eastAsia="宋体" w:hAnsi="Arial" w:cs="Arial"/>
          <w:color w:val="000000"/>
          <w:sz w:val="20"/>
          <w:szCs w:val="20"/>
        </w:rPr>
        <w:t>rchase price or the expected fair value of each aircraft at the specified repurchase date.</w:t>
      </w:r>
    </w:p>
    <w:p w14:paraId="4090E74D" w14:textId="77777777" w:rsidR="00833634" w:rsidRDefault="00E15D51">
      <w:pPr>
        <w:spacing w:after="180"/>
        <w:jc w:val="both"/>
      </w:pPr>
      <w:r>
        <w:rPr>
          <w:rFonts w:ascii="Arial" w:eastAsia="宋体" w:hAnsi="Arial" w:cs="Arial"/>
          <w:b/>
          <w:bCs/>
          <w:color w:val="000000"/>
          <w:sz w:val="20"/>
          <w:szCs w:val="20"/>
        </w:rPr>
        <w:t xml:space="preserve">Indemnifications to ULA </w:t>
      </w:r>
      <w:r>
        <w:rPr>
          <w:rFonts w:ascii="Arial" w:eastAsia="宋体" w:hAnsi="Arial" w:cs="Arial"/>
          <w:color w:val="000000"/>
          <w:sz w:val="20"/>
          <w:szCs w:val="20"/>
        </w:rPr>
        <w:t>During the first quarter of 2020, the USAF and ULA reached a settlement regarding previously questioned deferred support and deferred product</w:t>
      </w:r>
      <w:r>
        <w:rPr>
          <w:rFonts w:ascii="Arial" w:eastAsia="宋体" w:hAnsi="Arial" w:cs="Arial"/>
          <w:color w:val="000000"/>
          <w:sz w:val="20"/>
          <w:szCs w:val="20"/>
        </w:rPr>
        <w:t>ion costs. As part of the settlement the USAF agreed to reimburse ULA for $307 of those costs, which was received by ULA in the second quarter. The settlement substantially retires our indemnification risks to ULA.</w:t>
      </w:r>
    </w:p>
    <w:p w14:paraId="4090E74E" w14:textId="77777777" w:rsidR="00833634" w:rsidRDefault="00E15D51">
      <w:pPr>
        <w:spacing w:after="180"/>
        <w:jc w:val="both"/>
      </w:pPr>
      <w:r>
        <w:rPr>
          <w:rFonts w:ascii="Arial" w:eastAsia="宋体" w:hAnsi="Arial" w:cs="Arial"/>
          <w:b/>
          <w:bCs/>
          <w:color w:val="000000"/>
          <w:sz w:val="20"/>
          <w:szCs w:val="20"/>
        </w:rPr>
        <w:t>Other Indemnifications</w:t>
      </w:r>
      <w:r>
        <w:rPr>
          <w:rFonts w:ascii="Arial" w:eastAsia="宋体" w:hAnsi="Arial" w:cs="Arial"/>
          <w:color w:val="000000"/>
          <w:sz w:val="20"/>
          <w:szCs w:val="20"/>
        </w:rPr>
        <w:t xml:space="preserve"> In conjunction wit</w:t>
      </w:r>
      <w:r>
        <w:rPr>
          <w:rFonts w:ascii="Arial" w:eastAsia="宋体" w:hAnsi="Arial" w:cs="Arial"/>
          <w:color w:val="000000"/>
          <w:sz w:val="20"/>
          <w:szCs w:val="20"/>
        </w:rPr>
        <w:t>h our sales of Electron Dynamic Devices, Inc. and Rocketdyne Propulsion and Power businesses and our BCA facilities in Wichita, Kansas and Tulsa and McAlester, Oklahoma, we agreed to indemnify, for an indefinite period, the buyers for costs relating to pre</w:t>
      </w:r>
      <w:r>
        <w:rPr>
          <w:rFonts w:ascii="Arial" w:eastAsia="宋体" w:hAnsi="Arial" w:cs="Arial"/>
          <w:color w:val="000000"/>
          <w:sz w:val="20"/>
          <w:szCs w:val="20"/>
        </w:rPr>
        <w:t>-closing environmental conditions and certain other items. We are unable to assess the potential number of future claims that may be asserted under these indemnifications, nor the amounts thereof (if any). As a result, we cannot estimate the maximum potent</w:t>
      </w:r>
      <w:r>
        <w:rPr>
          <w:rFonts w:ascii="Arial" w:eastAsia="宋体" w:hAnsi="Arial" w:cs="Arial"/>
          <w:color w:val="000000"/>
          <w:sz w:val="20"/>
          <w:szCs w:val="20"/>
        </w:rPr>
        <w:t>ial amount of future payments under these indemnities and therefore, no liability has been recorded. To the extent that claims have been made under these indemnities and/or are probable and reasonably estimable, liabilities associated with these indemnitie</w:t>
      </w:r>
      <w:r>
        <w:rPr>
          <w:rFonts w:ascii="Arial" w:eastAsia="宋体" w:hAnsi="Arial" w:cs="Arial"/>
          <w:color w:val="000000"/>
          <w:sz w:val="20"/>
          <w:szCs w:val="20"/>
        </w:rPr>
        <w:t>s are included in the environmental liability disclosure in Note 10.</w:t>
      </w:r>
    </w:p>
    <w:p w14:paraId="4090E74F" w14:textId="77777777" w:rsidR="00833634" w:rsidRDefault="00E15D51">
      <w:pPr>
        <w:spacing w:after="300"/>
        <w:jc w:val="both"/>
      </w:pPr>
      <w:r>
        <w:rPr>
          <w:rFonts w:ascii="Arial" w:eastAsia="宋体" w:hAnsi="Arial" w:cs="Arial"/>
          <w:b/>
          <w:bCs/>
          <w:color w:val="000000"/>
          <w:sz w:val="20"/>
          <w:szCs w:val="20"/>
        </w:rPr>
        <w:t>Credit Guarantees</w:t>
      </w:r>
      <w:r>
        <w:rPr>
          <w:rFonts w:ascii="Arial" w:eastAsia="宋体" w:hAnsi="Arial" w:cs="Arial"/>
          <w:color w:val="000000"/>
          <w:sz w:val="20"/>
          <w:szCs w:val="20"/>
        </w:rPr>
        <w:t xml:space="preserve"> We have issued credit guarantees where we are obligated to make payments to a guaranteed party in the event that the original lessee or debtor does not make payments or </w:t>
      </w:r>
      <w:r>
        <w:rPr>
          <w:rFonts w:ascii="Arial" w:eastAsia="宋体" w:hAnsi="Arial" w:cs="Arial"/>
          <w:color w:val="000000"/>
          <w:sz w:val="20"/>
          <w:szCs w:val="20"/>
        </w:rPr>
        <w:t>perform certain specified services. Generally, these guarantees have been extended on behalf of guaranteed parties with less than investment-grade credit and are collateralized by certain assets. We record a liability for the fair value of guarantees and t</w:t>
      </w:r>
      <w:r>
        <w:rPr>
          <w:rFonts w:ascii="Arial" w:eastAsia="宋体" w:hAnsi="Arial" w:cs="Arial"/>
          <w:color w:val="000000"/>
          <w:sz w:val="20"/>
          <w:szCs w:val="20"/>
        </w:rPr>
        <w:t>he expected contingent loss amount, which is reviewed quarterly. Current outstanding credit guarantees expire through 2036.</w:t>
      </w:r>
    </w:p>
    <w:p w14:paraId="4090E750" w14:textId="77777777" w:rsidR="00833634" w:rsidRDefault="00E15D51">
      <w:pPr>
        <w:spacing w:before="300" w:after="180"/>
        <w:jc w:val="both"/>
      </w:pPr>
      <w:r>
        <w:rPr>
          <w:rFonts w:ascii="Arial" w:eastAsia="宋体" w:hAnsi="Arial" w:cs="Arial"/>
          <w:b/>
          <w:bCs/>
          <w:color w:val="000000"/>
          <w:sz w:val="20"/>
          <w:szCs w:val="20"/>
        </w:rPr>
        <w:t>Note 12 – Debt</w:t>
      </w:r>
    </w:p>
    <w:p w14:paraId="4090E751" w14:textId="77777777" w:rsidR="00833634" w:rsidRDefault="00E15D51">
      <w:pPr>
        <w:spacing w:after="180"/>
        <w:jc w:val="both"/>
      </w:pPr>
      <w:r>
        <w:rPr>
          <w:rFonts w:ascii="Arial" w:eastAsia="宋体" w:hAnsi="Arial" w:cs="Arial"/>
          <w:color w:val="000000"/>
          <w:sz w:val="20"/>
          <w:szCs w:val="20"/>
        </w:rPr>
        <w:t>In the first quarter of 2020, we entered into a $13,825, two-year delayed draw term loan facility, which includes add</w:t>
      </w:r>
      <w:r>
        <w:rPr>
          <w:rFonts w:ascii="Arial" w:eastAsia="宋体" w:hAnsi="Arial" w:cs="Arial"/>
          <w:color w:val="000000"/>
          <w:sz w:val="20"/>
          <w:szCs w:val="20"/>
        </w:rPr>
        <w:t>itional commitments made subsequent to the initial closing date. As of September 30, 2020, we have fully drawn on the $13,825 delayed draw term loan facility, with February 6, 2022 as the final maturity date. Borrowings outstanding bear interest at the Eur</w:t>
      </w:r>
      <w:r>
        <w:rPr>
          <w:rFonts w:ascii="Arial" w:eastAsia="宋体" w:hAnsi="Arial" w:cs="Arial"/>
          <w:color w:val="000000"/>
          <w:sz w:val="20"/>
          <w:szCs w:val="20"/>
        </w:rPr>
        <w:t xml:space="preserve">odollar rate (determined in accordance with the delayed draw term loan facility agreement) plus between 0.75% and 1.25%, depending on our credit rating. </w:t>
      </w:r>
    </w:p>
    <w:p w14:paraId="4090E752" w14:textId="77777777" w:rsidR="00833634" w:rsidRDefault="00E15D51">
      <w:pPr>
        <w:spacing w:after="180"/>
        <w:jc w:val="center"/>
      </w:pPr>
      <w:r>
        <w:rPr>
          <w:rFonts w:ascii="Arial" w:eastAsia="宋体" w:hAnsi="Arial" w:cs="Arial"/>
          <w:color w:val="000000"/>
          <w:sz w:val="18"/>
          <w:szCs w:val="18"/>
        </w:rPr>
        <w:t>23</w:t>
      </w:r>
    </w:p>
    <w:p w14:paraId="4090E753" w14:textId="77777777" w:rsidR="00833634" w:rsidRDefault="00E15D51">
      <w:r>
        <w:pict w14:anchorId="4090FE37">
          <v:rect id="_x0000_i1049" style="width:415.3pt;height:1.5pt" o:hralign="center" o:hrstd="t" o:hr="t" fillcolor="#a0a0a0" stroked="f"/>
        </w:pict>
      </w:r>
    </w:p>
    <w:p w14:paraId="4090E754" w14:textId="77777777" w:rsidR="00833634" w:rsidRDefault="00E15D51">
      <w:pPr>
        <w:spacing w:after="180"/>
        <w:jc w:val="both"/>
      </w:pPr>
      <w:hyperlink r:id="rId126" w:anchor="i8d805bfb1e1c4815a1dcd5b6d1e0b117_10" w:history="1">
        <w:r>
          <w:rPr>
            <w:rStyle w:val="a5"/>
            <w:rFonts w:ascii="Arial" w:eastAsia="宋体" w:hAnsi="Arial" w:cs="Arial"/>
            <w:sz w:val="18"/>
            <w:szCs w:val="18"/>
          </w:rPr>
          <w:t>Table of Contents</w:t>
        </w:r>
      </w:hyperlink>
    </w:p>
    <w:p w14:paraId="4090E755" w14:textId="77777777" w:rsidR="00833634" w:rsidRDefault="00E15D51">
      <w:pPr>
        <w:spacing w:after="300"/>
        <w:jc w:val="both"/>
      </w:pPr>
      <w:r>
        <w:rPr>
          <w:rFonts w:ascii="Arial" w:eastAsia="宋体" w:hAnsi="Arial" w:cs="Arial"/>
          <w:color w:val="000000"/>
          <w:sz w:val="20"/>
          <w:szCs w:val="20"/>
        </w:rPr>
        <w:t xml:space="preserve">In the second quarter of 2020, we issued $25,000 of fixed rate senior notes consisting of $3,000 due May 1, 2023 that bear an annual interest rate of 4.508%, $3,500 due May 1, </w:t>
      </w:r>
      <w:r>
        <w:rPr>
          <w:rFonts w:ascii="Arial" w:eastAsia="宋体" w:hAnsi="Arial" w:cs="Arial"/>
          <w:color w:val="000000"/>
          <w:sz w:val="20"/>
          <w:szCs w:val="20"/>
        </w:rPr>
        <w:t>2025 that bear an annual interest rate of 4.875%, $2,000 due May 1, 2027 that bear an annual interest rate of 5.04%, $4,500 due May 1, 2030 that bear an annual interest rate of 5.15%, $3,000 due May 1, 2040 that bear an annual interest rate of 5.705%, $5,5</w:t>
      </w:r>
      <w:r>
        <w:rPr>
          <w:rFonts w:ascii="Arial" w:eastAsia="宋体" w:hAnsi="Arial" w:cs="Arial"/>
          <w:color w:val="000000"/>
          <w:sz w:val="20"/>
          <w:szCs w:val="20"/>
        </w:rPr>
        <w:t>00 due May 1, 2050 that bear an annual interest rate of 5.805%, and $3,500 due May 1, 2060 that bear an annual interest rate of 5.93%. The notes are unsecured senior obligations and rank equally in right of payment with our existing and future unsecured an</w:t>
      </w:r>
      <w:r>
        <w:rPr>
          <w:rFonts w:ascii="Arial" w:eastAsia="宋体" w:hAnsi="Arial" w:cs="Arial"/>
          <w:color w:val="000000"/>
          <w:sz w:val="20"/>
          <w:szCs w:val="20"/>
        </w:rPr>
        <w:t>d unsubordinated indebtedness. The net proceeds of the issuance totaled $24,802, after deducting underwriting discounts, commissions, and offering expenses.</w:t>
      </w:r>
    </w:p>
    <w:p w14:paraId="4090E756" w14:textId="77777777" w:rsidR="00833634" w:rsidRDefault="00E15D51">
      <w:pPr>
        <w:spacing w:before="300" w:after="180"/>
        <w:jc w:val="both"/>
      </w:pPr>
      <w:r>
        <w:rPr>
          <w:rFonts w:ascii="Arial" w:eastAsia="宋体" w:hAnsi="Arial" w:cs="Arial"/>
          <w:b/>
          <w:bCs/>
          <w:color w:val="000000"/>
          <w:sz w:val="20"/>
          <w:szCs w:val="20"/>
        </w:rPr>
        <w:t>Note 13 – Postretirement Plans</w:t>
      </w:r>
    </w:p>
    <w:p w14:paraId="4090E757" w14:textId="77777777" w:rsidR="00833634" w:rsidRDefault="00E15D51">
      <w:pPr>
        <w:jc w:val="both"/>
      </w:pPr>
      <w:r>
        <w:rPr>
          <w:rFonts w:ascii="Arial" w:eastAsia="宋体" w:hAnsi="Arial" w:cs="Arial"/>
          <w:color w:val="000000"/>
          <w:sz w:val="20"/>
          <w:szCs w:val="20"/>
        </w:rPr>
        <w:t xml:space="preserve">The components of net periodic benefit (income)/cost were as </w:t>
      </w:r>
      <w:r>
        <w:rPr>
          <w:rFonts w:ascii="Arial" w:eastAsia="宋体" w:hAnsi="Arial" w:cs="Arial"/>
          <w:color w:val="000000"/>
          <w:sz w:val="20"/>
          <w:szCs w:val="20"/>
        </w:rPr>
        <w:t>follows:</w:t>
      </w:r>
    </w:p>
    <w:tbl>
      <w:tblPr>
        <w:tblW w:w="4984" w:type="pct"/>
        <w:tblCellMar>
          <w:top w:w="15" w:type="dxa"/>
          <w:left w:w="15" w:type="dxa"/>
          <w:bottom w:w="15" w:type="dxa"/>
          <w:right w:w="15" w:type="dxa"/>
        </w:tblCellMar>
        <w:tblLook w:val="04A0" w:firstRow="1" w:lastRow="0" w:firstColumn="1" w:lastColumn="0" w:noHBand="0" w:noVBand="1"/>
      </w:tblPr>
      <w:tblGrid>
        <w:gridCol w:w="59"/>
        <w:gridCol w:w="4308"/>
        <w:gridCol w:w="39"/>
        <w:gridCol w:w="60"/>
        <w:gridCol w:w="804"/>
        <w:gridCol w:w="37"/>
        <w:gridCol w:w="37"/>
        <w:gridCol w:w="37"/>
        <w:gridCol w:w="37"/>
        <w:gridCol w:w="60"/>
        <w:gridCol w:w="793"/>
        <w:gridCol w:w="36"/>
        <w:gridCol w:w="36"/>
        <w:gridCol w:w="36"/>
        <w:gridCol w:w="36"/>
        <w:gridCol w:w="49"/>
        <w:gridCol w:w="805"/>
        <w:gridCol w:w="37"/>
        <w:gridCol w:w="37"/>
        <w:gridCol w:w="37"/>
        <w:gridCol w:w="37"/>
        <w:gridCol w:w="50"/>
        <w:gridCol w:w="806"/>
        <w:gridCol w:w="36"/>
      </w:tblGrid>
      <w:tr w:rsidR="00833634" w14:paraId="4090E770" w14:textId="77777777">
        <w:tc>
          <w:tcPr>
            <w:tcW w:w="50" w:type="pct"/>
            <w:shd w:val="clear" w:color="auto" w:fill="auto"/>
          </w:tcPr>
          <w:p w14:paraId="4090E758" w14:textId="77777777" w:rsidR="00833634" w:rsidRDefault="00833634">
            <w:pPr>
              <w:rPr>
                <w:rFonts w:ascii="宋体"/>
              </w:rPr>
            </w:pPr>
          </w:p>
        </w:tc>
        <w:tc>
          <w:tcPr>
            <w:tcW w:w="2605" w:type="pct"/>
            <w:shd w:val="clear" w:color="auto" w:fill="auto"/>
          </w:tcPr>
          <w:p w14:paraId="4090E759" w14:textId="77777777" w:rsidR="00833634" w:rsidRDefault="00833634">
            <w:pPr>
              <w:rPr>
                <w:rFonts w:ascii="宋体"/>
              </w:rPr>
            </w:pPr>
          </w:p>
        </w:tc>
        <w:tc>
          <w:tcPr>
            <w:tcW w:w="5" w:type="pct"/>
            <w:shd w:val="clear" w:color="auto" w:fill="auto"/>
          </w:tcPr>
          <w:p w14:paraId="4090E75A" w14:textId="77777777" w:rsidR="00833634" w:rsidRDefault="00833634">
            <w:pPr>
              <w:rPr>
                <w:rFonts w:ascii="宋体"/>
              </w:rPr>
            </w:pPr>
          </w:p>
        </w:tc>
        <w:tc>
          <w:tcPr>
            <w:tcW w:w="50" w:type="pct"/>
            <w:shd w:val="clear" w:color="auto" w:fill="auto"/>
          </w:tcPr>
          <w:p w14:paraId="4090E75B" w14:textId="77777777" w:rsidR="00833634" w:rsidRDefault="00833634">
            <w:pPr>
              <w:rPr>
                <w:rFonts w:ascii="宋体"/>
              </w:rPr>
            </w:pPr>
          </w:p>
        </w:tc>
        <w:tc>
          <w:tcPr>
            <w:tcW w:w="499" w:type="pct"/>
            <w:shd w:val="clear" w:color="auto" w:fill="auto"/>
          </w:tcPr>
          <w:p w14:paraId="4090E75C" w14:textId="77777777" w:rsidR="00833634" w:rsidRDefault="00833634">
            <w:pPr>
              <w:rPr>
                <w:rFonts w:ascii="宋体"/>
              </w:rPr>
            </w:pPr>
          </w:p>
        </w:tc>
        <w:tc>
          <w:tcPr>
            <w:tcW w:w="5" w:type="pct"/>
            <w:shd w:val="clear" w:color="auto" w:fill="auto"/>
          </w:tcPr>
          <w:p w14:paraId="4090E75D" w14:textId="77777777" w:rsidR="00833634" w:rsidRDefault="00833634">
            <w:pPr>
              <w:rPr>
                <w:rFonts w:ascii="宋体"/>
              </w:rPr>
            </w:pPr>
          </w:p>
        </w:tc>
        <w:tc>
          <w:tcPr>
            <w:tcW w:w="5" w:type="pct"/>
            <w:shd w:val="clear" w:color="auto" w:fill="auto"/>
          </w:tcPr>
          <w:p w14:paraId="4090E75E" w14:textId="77777777" w:rsidR="00833634" w:rsidRDefault="00833634">
            <w:pPr>
              <w:rPr>
                <w:rFonts w:ascii="宋体"/>
              </w:rPr>
            </w:pPr>
          </w:p>
        </w:tc>
        <w:tc>
          <w:tcPr>
            <w:tcW w:w="30" w:type="pct"/>
            <w:shd w:val="clear" w:color="auto" w:fill="auto"/>
          </w:tcPr>
          <w:p w14:paraId="4090E75F" w14:textId="77777777" w:rsidR="00833634" w:rsidRDefault="00833634">
            <w:pPr>
              <w:rPr>
                <w:rFonts w:ascii="宋体"/>
              </w:rPr>
            </w:pPr>
          </w:p>
        </w:tc>
        <w:tc>
          <w:tcPr>
            <w:tcW w:w="5" w:type="pct"/>
            <w:shd w:val="clear" w:color="auto" w:fill="auto"/>
          </w:tcPr>
          <w:p w14:paraId="4090E760" w14:textId="77777777" w:rsidR="00833634" w:rsidRDefault="00833634">
            <w:pPr>
              <w:rPr>
                <w:rFonts w:ascii="宋体"/>
              </w:rPr>
            </w:pPr>
          </w:p>
        </w:tc>
        <w:tc>
          <w:tcPr>
            <w:tcW w:w="50" w:type="pct"/>
            <w:shd w:val="clear" w:color="auto" w:fill="auto"/>
          </w:tcPr>
          <w:p w14:paraId="4090E761" w14:textId="77777777" w:rsidR="00833634" w:rsidRDefault="00833634">
            <w:pPr>
              <w:rPr>
                <w:rFonts w:ascii="宋体"/>
              </w:rPr>
            </w:pPr>
          </w:p>
        </w:tc>
        <w:tc>
          <w:tcPr>
            <w:tcW w:w="499" w:type="pct"/>
            <w:shd w:val="clear" w:color="auto" w:fill="auto"/>
          </w:tcPr>
          <w:p w14:paraId="4090E762" w14:textId="77777777" w:rsidR="00833634" w:rsidRDefault="00833634">
            <w:pPr>
              <w:rPr>
                <w:rFonts w:ascii="宋体"/>
              </w:rPr>
            </w:pPr>
          </w:p>
        </w:tc>
        <w:tc>
          <w:tcPr>
            <w:tcW w:w="5" w:type="pct"/>
            <w:shd w:val="clear" w:color="auto" w:fill="auto"/>
          </w:tcPr>
          <w:p w14:paraId="4090E763" w14:textId="77777777" w:rsidR="00833634" w:rsidRDefault="00833634">
            <w:pPr>
              <w:rPr>
                <w:rFonts w:ascii="宋体"/>
              </w:rPr>
            </w:pPr>
          </w:p>
        </w:tc>
        <w:tc>
          <w:tcPr>
            <w:tcW w:w="5" w:type="pct"/>
            <w:shd w:val="clear" w:color="auto" w:fill="auto"/>
          </w:tcPr>
          <w:p w14:paraId="4090E764" w14:textId="77777777" w:rsidR="00833634" w:rsidRDefault="00833634">
            <w:pPr>
              <w:rPr>
                <w:rFonts w:ascii="宋体"/>
              </w:rPr>
            </w:pPr>
          </w:p>
        </w:tc>
        <w:tc>
          <w:tcPr>
            <w:tcW w:w="30" w:type="pct"/>
            <w:shd w:val="clear" w:color="auto" w:fill="auto"/>
          </w:tcPr>
          <w:p w14:paraId="4090E765" w14:textId="77777777" w:rsidR="00833634" w:rsidRDefault="00833634">
            <w:pPr>
              <w:rPr>
                <w:rFonts w:ascii="宋体"/>
              </w:rPr>
            </w:pPr>
          </w:p>
        </w:tc>
        <w:tc>
          <w:tcPr>
            <w:tcW w:w="5" w:type="pct"/>
            <w:shd w:val="clear" w:color="auto" w:fill="auto"/>
          </w:tcPr>
          <w:p w14:paraId="4090E766" w14:textId="77777777" w:rsidR="00833634" w:rsidRDefault="00833634">
            <w:pPr>
              <w:rPr>
                <w:rFonts w:ascii="宋体"/>
              </w:rPr>
            </w:pPr>
          </w:p>
        </w:tc>
        <w:tc>
          <w:tcPr>
            <w:tcW w:w="50" w:type="pct"/>
            <w:shd w:val="clear" w:color="auto" w:fill="auto"/>
          </w:tcPr>
          <w:p w14:paraId="4090E767" w14:textId="77777777" w:rsidR="00833634" w:rsidRDefault="00833634">
            <w:pPr>
              <w:rPr>
                <w:rFonts w:ascii="宋体"/>
              </w:rPr>
            </w:pPr>
          </w:p>
        </w:tc>
        <w:tc>
          <w:tcPr>
            <w:tcW w:w="499" w:type="pct"/>
            <w:shd w:val="clear" w:color="auto" w:fill="auto"/>
          </w:tcPr>
          <w:p w14:paraId="4090E768" w14:textId="77777777" w:rsidR="00833634" w:rsidRDefault="00833634">
            <w:pPr>
              <w:rPr>
                <w:rFonts w:ascii="宋体"/>
              </w:rPr>
            </w:pPr>
          </w:p>
        </w:tc>
        <w:tc>
          <w:tcPr>
            <w:tcW w:w="5" w:type="pct"/>
            <w:shd w:val="clear" w:color="auto" w:fill="auto"/>
          </w:tcPr>
          <w:p w14:paraId="4090E769" w14:textId="77777777" w:rsidR="00833634" w:rsidRDefault="00833634">
            <w:pPr>
              <w:rPr>
                <w:rFonts w:ascii="宋体"/>
              </w:rPr>
            </w:pPr>
          </w:p>
        </w:tc>
        <w:tc>
          <w:tcPr>
            <w:tcW w:w="5" w:type="pct"/>
            <w:shd w:val="clear" w:color="auto" w:fill="auto"/>
          </w:tcPr>
          <w:p w14:paraId="4090E76A" w14:textId="77777777" w:rsidR="00833634" w:rsidRDefault="00833634">
            <w:pPr>
              <w:rPr>
                <w:rFonts w:ascii="宋体"/>
              </w:rPr>
            </w:pPr>
          </w:p>
        </w:tc>
        <w:tc>
          <w:tcPr>
            <w:tcW w:w="30" w:type="pct"/>
            <w:shd w:val="clear" w:color="auto" w:fill="auto"/>
          </w:tcPr>
          <w:p w14:paraId="4090E76B" w14:textId="77777777" w:rsidR="00833634" w:rsidRDefault="00833634">
            <w:pPr>
              <w:rPr>
                <w:rFonts w:ascii="宋体"/>
              </w:rPr>
            </w:pPr>
          </w:p>
        </w:tc>
        <w:tc>
          <w:tcPr>
            <w:tcW w:w="5" w:type="pct"/>
            <w:shd w:val="clear" w:color="auto" w:fill="auto"/>
          </w:tcPr>
          <w:p w14:paraId="4090E76C" w14:textId="77777777" w:rsidR="00833634" w:rsidRDefault="00833634">
            <w:pPr>
              <w:rPr>
                <w:rFonts w:ascii="宋体"/>
              </w:rPr>
            </w:pPr>
          </w:p>
        </w:tc>
        <w:tc>
          <w:tcPr>
            <w:tcW w:w="50" w:type="pct"/>
            <w:shd w:val="clear" w:color="auto" w:fill="auto"/>
          </w:tcPr>
          <w:p w14:paraId="4090E76D" w14:textId="77777777" w:rsidR="00833634" w:rsidRDefault="00833634">
            <w:pPr>
              <w:rPr>
                <w:rFonts w:ascii="宋体"/>
              </w:rPr>
            </w:pPr>
          </w:p>
        </w:tc>
        <w:tc>
          <w:tcPr>
            <w:tcW w:w="499" w:type="pct"/>
            <w:shd w:val="clear" w:color="auto" w:fill="auto"/>
          </w:tcPr>
          <w:p w14:paraId="4090E76E" w14:textId="77777777" w:rsidR="00833634" w:rsidRDefault="00833634">
            <w:pPr>
              <w:rPr>
                <w:rFonts w:ascii="宋体"/>
              </w:rPr>
            </w:pPr>
          </w:p>
        </w:tc>
        <w:tc>
          <w:tcPr>
            <w:tcW w:w="5" w:type="pct"/>
            <w:shd w:val="clear" w:color="auto" w:fill="auto"/>
          </w:tcPr>
          <w:p w14:paraId="4090E76F" w14:textId="77777777" w:rsidR="00833634" w:rsidRDefault="00833634">
            <w:pPr>
              <w:rPr>
                <w:rFonts w:ascii="宋体"/>
              </w:rPr>
            </w:pPr>
          </w:p>
        </w:tc>
      </w:tr>
      <w:tr w:rsidR="00833634" w14:paraId="4090E775" w14:textId="77777777">
        <w:tc>
          <w:tcPr>
            <w:tcW w:w="0" w:type="auto"/>
            <w:gridSpan w:val="3"/>
            <w:shd w:val="clear" w:color="auto" w:fill="auto"/>
            <w:tcMar>
              <w:top w:w="0" w:type="dxa"/>
              <w:left w:w="20" w:type="dxa"/>
              <w:bottom w:w="0" w:type="dxa"/>
              <w:right w:w="20" w:type="dxa"/>
            </w:tcMar>
          </w:tcPr>
          <w:p w14:paraId="4090E771"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772"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E773"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774"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786" w14:textId="77777777">
        <w:trPr>
          <w:hidden/>
        </w:trPr>
        <w:tc>
          <w:tcPr>
            <w:tcW w:w="0" w:type="auto"/>
            <w:gridSpan w:val="3"/>
            <w:shd w:val="clear" w:color="auto" w:fill="auto"/>
          </w:tcPr>
          <w:p w14:paraId="4090E776" w14:textId="77777777" w:rsidR="00833634" w:rsidRDefault="00833634">
            <w:pPr>
              <w:rPr>
                <w:rFonts w:ascii="宋体"/>
                <w:vanish/>
              </w:rPr>
            </w:pPr>
          </w:p>
        </w:tc>
        <w:tc>
          <w:tcPr>
            <w:tcW w:w="0" w:type="auto"/>
            <w:gridSpan w:val="3"/>
            <w:shd w:val="clear" w:color="auto" w:fill="auto"/>
          </w:tcPr>
          <w:p w14:paraId="4090E777" w14:textId="77777777" w:rsidR="00833634" w:rsidRDefault="00833634">
            <w:pPr>
              <w:rPr>
                <w:rFonts w:ascii="宋体"/>
                <w:vanish/>
              </w:rPr>
            </w:pPr>
          </w:p>
        </w:tc>
        <w:tc>
          <w:tcPr>
            <w:tcW w:w="0" w:type="auto"/>
            <w:gridSpan w:val="3"/>
            <w:shd w:val="clear" w:color="auto" w:fill="auto"/>
          </w:tcPr>
          <w:p w14:paraId="4090E778" w14:textId="77777777" w:rsidR="00833634" w:rsidRDefault="00833634">
            <w:pPr>
              <w:rPr>
                <w:rFonts w:ascii="宋体"/>
                <w:vanish/>
              </w:rPr>
            </w:pPr>
          </w:p>
        </w:tc>
        <w:tc>
          <w:tcPr>
            <w:tcW w:w="0" w:type="auto"/>
            <w:gridSpan w:val="3"/>
            <w:shd w:val="clear" w:color="auto" w:fill="auto"/>
          </w:tcPr>
          <w:p w14:paraId="4090E779" w14:textId="77777777" w:rsidR="00833634" w:rsidRDefault="00833634">
            <w:pPr>
              <w:rPr>
                <w:rFonts w:ascii="宋体"/>
                <w:vanish/>
              </w:rPr>
            </w:pPr>
          </w:p>
        </w:tc>
        <w:tc>
          <w:tcPr>
            <w:tcW w:w="0" w:type="auto"/>
            <w:shd w:val="clear" w:color="auto" w:fill="auto"/>
          </w:tcPr>
          <w:p w14:paraId="4090E77A" w14:textId="77777777" w:rsidR="00833634" w:rsidRDefault="00833634">
            <w:pPr>
              <w:rPr>
                <w:rFonts w:ascii="宋体"/>
              </w:rPr>
            </w:pPr>
          </w:p>
        </w:tc>
        <w:tc>
          <w:tcPr>
            <w:tcW w:w="0" w:type="auto"/>
            <w:shd w:val="clear" w:color="auto" w:fill="auto"/>
          </w:tcPr>
          <w:p w14:paraId="4090E77B" w14:textId="77777777" w:rsidR="00833634" w:rsidRDefault="00833634">
            <w:pPr>
              <w:rPr>
                <w:rFonts w:ascii="宋体"/>
              </w:rPr>
            </w:pPr>
          </w:p>
        </w:tc>
        <w:tc>
          <w:tcPr>
            <w:tcW w:w="0" w:type="auto"/>
            <w:shd w:val="clear" w:color="auto" w:fill="auto"/>
          </w:tcPr>
          <w:p w14:paraId="4090E77C" w14:textId="77777777" w:rsidR="00833634" w:rsidRDefault="00833634">
            <w:pPr>
              <w:rPr>
                <w:rFonts w:ascii="宋体"/>
              </w:rPr>
            </w:pPr>
          </w:p>
        </w:tc>
        <w:tc>
          <w:tcPr>
            <w:tcW w:w="0" w:type="auto"/>
            <w:shd w:val="clear" w:color="auto" w:fill="auto"/>
          </w:tcPr>
          <w:p w14:paraId="4090E77D" w14:textId="77777777" w:rsidR="00833634" w:rsidRDefault="00833634">
            <w:pPr>
              <w:rPr>
                <w:rFonts w:ascii="宋体"/>
              </w:rPr>
            </w:pPr>
          </w:p>
        </w:tc>
        <w:tc>
          <w:tcPr>
            <w:tcW w:w="0" w:type="auto"/>
            <w:shd w:val="clear" w:color="auto" w:fill="auto"/>
          </w:tcPr>
          <w:p w14:paraId="4090E77E" w14:textId="77777777" w:rsidR="00833634" w:rsidRDefault="00833634">
            <w:pPr>
              <w:rPr>
                <w:rFonts w:ascii="宋体"/>
              </w:rPr>
            </w:pPr>
          </w:p>
        </w:tc>
        <w:tc>
          <w:tcPr>
            <w:tcW w:w="0" w:type="auto"/>
            <w:shd w:val="clear" w:color="auto" w:fill="auto"/>
          </w:tcPr>
          <w:p w14:paraId="4090E77F" w14:textId="77777777" w:rsidR="00833634" w:rsidRDefault="00833634">
            <w:pPr>
              <w:rPr>
                <w:rFonts w:ascii="宋体"/>
              </w:rPr>
            </w:pPr>
          </w:p>
        </w:tc>
        <w:tc>
          <w:tcPr>
            <w:tcW w:w="0" w:type="auto"/>
            <w:shd w:val="clear" w:color="auto" w:fill="auto"/>
          </w:tcPr>
          <w:p w14:paraId="4090E780" w14:textId="77777777" w:rsidR="00833634" w:rsidRDefault="00833634">
            <w:pPr>
              <w:rPr>
                <w:rFonts w:ascii="宋体"/>
              </w:rPr>
            </w:pPr>
          </w:p>
        </w:tc>
        <w:tc>
          <w:tcPr>
            <w:tcW w:w="0" w:type="auto"/>
            <w:shd w:val="clear" w:color="auto" w:fill="auto"/>
          </w:tcPr>
          <w:p w14:paraId="4090E781" w14:textId="77777777" w:rsidR="00833634" w:rsidRDefault="00833634">
            <w:pPr>
              <w:rPr>
                <w:rFonts w:ascii="宋体"/>
              </w:rPr>
            </w:pPr>
          </w:p>
        </w:tc>
        <w:tc>
          <w:tcPr>
            <w:tcW w:w="0" w:type="auto"/>
            <w:shd w:val="clear" w:color="auto" w:fill="auto"/>
          </w:tcPr>
          <w:p w14:paraId="4090E782" w14:textId="77777777" w:rsidR="00833634" w:rsidRDefault="00833634">
            <w:pPr>
              <w:rPr>
                <w:rFonts w:ascii="宋体"/>
              </w:rPr>
            </w:pPr>
          </w:p>
        </w:tc>
        <w:tc>
          <w:tcPr>
            <w:tcW w:w="0" w:type="auto"/>
            <w:shd w:val="clear" w:color="auto" w:fill="auto"/>
          </w:tcPr>
          <w:p w14:paraId="4090E783" w14:textId="77777777" w:rsidR="00833634" w:rsidRDefault="00833634">
            <w:pPr>
              <w:rPr>
                <w:rFonts w:ascii="宋体"/>
              </w:rPr>
            </w:pPr>
          </w:p>
        </w:tc>
        <w:tc>
          <w:tcPr>
            <w:tcW w:w="0" w:type="auto"/>
            <w:shd w:val="clear" w:color="auto" w:fill="auto"/>
          </w:tcPr>
          <w:p w14:paraId="4090E784" w14:textId="77777777" w:rsidR="00833634" w:rsidRDefault="00833634">
            <w:pPr>
              <w:rPr>
                <w:rFonts w:ascii="宋体"/>
              </w:rPr>
            </w:pPr>
          </w:p>
        </w:tc>
        <w:tc>
          <w:tcPr>
            <w:tcW w:w="0" w:type="auto"/>
            <w:shd w:val="clear" w:color="auto" w:fill="auto"/>
          </w:tcPr>
          <w:p w14:paraId="4090E785" w14:textId="77777777" w:rsidR="00833634" w:rsidRDefault="00833634">
            <w:pPr>
              <w:rPr>
                <w:rFonts w:ascii="宋体"/>
              </w:rPr>
            </w:pPr>
          </w:p>
        </w:tc>
      </w:tr>
      <w:tr w:rsidR="00833634" w14:paraId="4090E78F"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787" w14:textId="77777777" w:rsidR="00833634" w:rsidRDefault="00E15D51">
            <w:pPr>
              <w:textAlignment w:val="bottom"/>
            </w:pPr>
            <w:r>
              <w:rPr>
                <w:rFonts w:ascii="Arial" w:eastAsia="宋体" w:hAnsi="Arial" w:cs="Arial"/>
                <w:color w:val="000000"/>
                <w:sz w:val="20"/>
                <w:szCs w:val="20"/>
              </w:rPr>
              <w:t>Pension Plans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788"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4090E789"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78A"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FFFFFF"/>
            <w:tcMar>
              <w:top w:w="0" w:type="dxa"/>
              <w:left w:w="20" w:type="dxa"/>
              <w:bottom w:w="0" w:type="dxa"/>
              <w:right w:w="20" w:type="dxa"/>
            </w:tcMar>
          </w:tcPr>
          <w:p w14:paraId="4090E78B"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78C"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4090E78D"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78E" w14:textId="77777777" w:rsidR="00833634" w:rsidRDefault="00E15D51">
            <w:pPr>
              <w:jc w:val="right"/>
              <w:textAlignment w:val="bottom"/>
            </w:pPr>
            <w:r>
              <w:rPr>
                <w:rFonts w:ascii="Arial" w:eastAsia="宋体" w:hAnsi="Arial" w:cs="Arial"/>
                <w:color w:val="000000"/>
                <w:sz w:val="20"/>
                <w:szCs w:val="20"/>
              </w:rPr>
              <w:t>2019</w:t>
            </w:r>
          </w:p>
        </w:tc>
      </w:tr>
      <w:tr w:rsidR="00833634" w14:paraId="4090E79B"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790" w14:textId="77777777" w:rsidR="00833634" w:rsidRDefault="00E15D51">
            <w:pPr>
              <w:textAlignment w:val="bottom"/>
            </w:pPr>
            <w:r>
              <w:rPr>
                <w:rFonts w:ascii="Arial" w:eastAsia="宋体" w:hAnsi="Arial" w:cs="Arial"/>
                <w:color w:val="000000"/>
                <w:sz w:val="20"/>
                <w:szCs w:val="20"/>
              </w:rPr>
              <w:t>Service cost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791" w14:textId="77777777" w:rsidR="00833634" w:rsidRDefault="00E15D51">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79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79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794" w14:textId="77777777" w:rsidR="00833634" w:rsidRDefault="00E15D51">
            <w:pPr>
              <w:jc w:val="right"/>
              <w:textAlignment w:val="bottom"/>
            </w:pPr>
            <w:r>
              <w:rPr>
                <w:rFonts w:ascii="Arial" w:eastAsia="宋体" w:hAnsi="Arial" w:cs="Arial"/>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79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79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797" w14:textId="77777777" w:rsidR="00833634" w:rsidRDefault="00E15D51">
            <w:pPr>
              <w:jc w:val="right"/>
              <w:textAlignment w:val="bottom"/>
            </w:pPr>
            <w:r>
              <w:rPr>
                <w:rFonts w:ascii="Arial" w:eastAsia="宋体" w:hAnsi="Arial" w:cs="Arial"/>
                <w:b/>
                <w:bCs/>
                <w:color w:val="000000"/>
                <w:sz w:val="20"/>
                <w:szCs w:val="20"/>
              </w:rPr>
              <w:t>$1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79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799"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79A" w14:textId="77777777" w:rsidR="00833634" w:rsidRDefault="00833634">
            <w:pPr>
              <w:rPr>
                <w:rFonts w:ascii="宋体"/>
              </w:rPr>
            </w:pPr>
          </w:p>
        </w:tc>
      </w:tr>
      <w:tr w:rsidR="00833634" w14:paraId="4090E7A8" w14:textId="77777777">
        <w:tc>
          <w:tcPr>
            <w:tcW w:w="0" w:type="auto"/>
            <w:gridSpan w:val="3"/>
            <w:shd w:val="clear" w:color="auto" w:fill="FFFFFF"/>
            <w:tcMar>
              <w:top w:w="40" w:type="dxa"/>
              <w:left w:w="20" w:type="dxa"/>
              <w:bottom w:w="40" w:type="dxa"/>
              <w:right w:w="20" w:type="dxa"/>
            </w:tcMar>
            <w:vAlign w:val="bottom"/>
          </w:tcPr>
          <w:p w14:paraId="4090E79C" w14:textId="77777777" w:rsidR="00833634" w:rsidRDefault="00E15D51">
            <w:pPr>
              <w:textAlignment w:val="bottom"/>
            </w:pPr>
            <w:r>
              <w:rPr>
                <w:rFonts w:ascii="Arial" w:eastAsia="宋体" w:hAnsi="Arial" w:cs="Arial"/>
                <w:color w:val="000000"/>
                <w:sz w:val="20"/>
                <w:szCs w:val="20"/>
              </w:rPr>
              <w:t>I</w:t>
            </w:r>
            <w:r>
              <w:rPr>
                <w:rFonts w:ascii="Arial" w:eastAsia="宋体" w:hAnsi="Arial" w:cs="Arial"/>
                <w:color w:val="000000"/>
                <w:sz w:val="20"/>
                <w:szCs w:val="20"/>
              </w:rPr>
              <w:t>nterest cost</w:t>
            </w:r>
          </w:p>
        </w:tc>
        <w:tc>
          <w:tcPr>
            <w:tcW w:w="0" w:type="auto"/>
            <w:gridSpan w:val="2"/>
            <w:shd w:val="clear" w:color="auto" w:fill="FFFFFF"/>
            <w:tcMar>
              <w:top w:w="40" w:type="dxa"/>
              <w:left w:w="20" w:type="dxa"/>
              <w:bottom w:w="40" w:type="dxa"/>
              <w:right w:w="0" w:type="dxa"/>
            </w:tcMar>
            <w:vAlign w:val="bottom"/>
          </w:tcPr>
          <w:p w14:paraId="4090E79D" w14:textId="77777777" w:rsidR="00833634" w:rsidRDefault="00E15D51">
            <w:pPr>
              <w:jc w:val="right"/>
              <w:textAlignment w:val="bottom"/>
            </w:pPr>
            <w:r>
              <w:rPr>
                <w:rFonts w:ascii="Arial" w:eastAsia="宋体" w:hAnsi="Arial" w:cs="Arial"/>
                <w:b/>
                <w:bCs/>
                <w:color w:val="000000"/>
                <w:sz w:val="20"/>
                <w:szCs w:val="20"/>
              </w:rPr>
              <w:t>1,841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79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79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7A0" w14:textId="77777777" w:rsidR="00833634" w:rsidRDefault="00E15D51">
            <w:pPr>
              <w:jc w:val="right"/>
              <w:textAlignment w:val="bottom"/>
            </w:pPr>
            <w:r>
              <w:rPr>
                <w:rFonts w:ascii="Arial" w:eastAsia="宋体" w:hAnsi="Arial" w:cs="Arial"/>
                <w:color w:val="000000"/>
                <w:sz w:val="20"/>
                <w:szCs w:val="20"/>
              </w:rPr>
              <w:t>2,193 </w:t>
            </w:r>
          </w:p>
        </w:tc>
        <w:tc>
          <w:tcPr>
            <w:tcW w:w="0" w:type="auto"/>
            <w:shd w:val="clear" w:color="auto" w:fill="FFFFFF"/>
            <w:tcMar>
              <w:top w:w="40" w:type="dxa"/>
              <w:left w:w="0" w:type="dxa"/>
              <w:bottom w:w="40" w:type="dxa"/>
              <w:right w:w="20" w:type="dxa"/>
            </w:tcMar>
            <w:vAlign w:val="bottom"/>
          </w:tcPr>
          <w:p w14:paraId="4090E7A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7A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7A3" w14:textId="77777777" w:rsidR="00833634" w:rsidRDefault="00E15D51">
            <w:pPr>
              <w:jc w:val="right"/>
              <w:textAlignment w:val="bottom"/>
            </w:pPr>
            <w:r>
              <w:rPr>
                <w:rFonts w:ascii="Arial" w:eastAsia="宋体" w:hAnsi="Arial" w:cs="Arial"/>
                <w:b/>
                <w:bCs/>
                <w:color w:val="000000"/>
                <w:sz w:val="20"/>
                <w:szCs w:val="20"/>
              </w:rPr>
              <w:t>613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7A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7A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7A6" w14:textId="77777777" w:rsidR="00833634" w:rsidRDefault="00E15D51">
            <w:pPr>
              <w:jc w:val="right"/>
              <w:textAlignment w:val="bottom"/>
            </w:pPr>
            <w:r>
              <w:rPr>
                <w:rFonts w:ascii="Arial" w:eastAsia="宋体" w:hAnsi="Arial" w:cs="Arial"/>
                <w:color w:val="000000"/>
                <w:sz w:val="20"/>
                <w:szCs w:val="20"/>
              </w:rPr>
              <w:t>731 </w:t>
            </w:r>
          </w:p>
        </w:tc>
        <w:tc>
          <w:tcPr>
            <w:tcW w:w="0" w:type="auto"/>
            <w:shd w:val="clear" w:color="auto" w:fill="FFFFFF"/>
            <w:tcMar>
              <w:top w:w="40" w:type="dxa"/>
              <w:left w:w="0" w:type="dxa"/>
              <w:bottom w:w="40" w:type="dxa"/>
              <w:right w:w="20" w:type="dxa"/>
            </w:tcMar>
            <w:vAlign w:val="bottom"/>
          </w:tcPr>
          <w:p w14:paraId="4090E7A7" w14:textId="77777777" w:rsidR="00833634" w:rsidRDefault="00833634">
            <w:pPr>
              <w:jc w:val="right"/>
              <w:rPr>
                <w:rFonts w:ascii="宋体"/>
              </w:rPr>
            </w:pPr>
          </w:p>
        </w:tc>
      </w:tr>
      <w:tr w:rsidR="00833634" w14:paraId="4090E7B5" w14:textId="77777777">
        <w:tc>
          <w:tcPr>
            <w:tcW w:w="0" w:type="auto"/>
            <w:gridSpan w:val="3"/>
            <w:shd w:val="clear" w:color="auto" w:fill="CCEEFF"/>
            <w:tcMar>
              <w:top w:w="40" w:type="dxa"/>
              <w:left w:w="20" w:type="dxa"/>
              <w:bottom w:w="40" w:type="dxa"/>
              <w:right w:w="20" w:type="dxa"/>
            </w:tcMar>
            <w:vAlign w:val="bottom"/>
          </w:tcPr>
          <w:p w14:paraId="4090E7A9" w14:textId="77777777" w:rsidR="00833634" w:rsidRDefault="00E15D51">
            <w:pPr>
              <w:textAlignment w:val="bottom"/>
            </w:pPr>
            <w:r>
              <w:rPr>
                <w:rFonts w:ascii="Arial" w:eastAsia="宋体" w:hAnsi="Arial" w:cs="Arial"/>
                <w:color w:val="000000"/>
                <w:sz w:val="20"/>
                <w:szCs w:val="20"/>
              </w:rPr>
              <w:t>Expected return on plan assets</w:t>
            </w:r>
          </w:p>
        </w:tc>
        <w:tc>
          <w:tcPr>
            <w:tcW w:w="0" w:type="auto"/>
            <w:gridSpan w:val="2"/>
            <w:shd w:val="clear" w:color="auto" w:fill="CCEEFF"/>
            <w:tcMar>
              <w:top w:w="40" w:type="dxa"/>
              <w:left w:w="20" w:type="dxa"/>
              <w:bottom w:w="40" w:type="dxa"/>
              <w:right w:w="0" w:type="dxa"/>
            </w:tcMar>
            <w:vAlign w:val="bottom"/>
          </w:tcPr>
          <w:p w14:paraId="4090E7AA" w14:textId="77777777" w:rsidR="00833634" w:rsidRDefault="00E15D51">
            <w:pPr>
              <w:jc w:val="right"/>
              <w:textAlignment w:val="bottom"/>
            </w:pPr>
            <w:r>
              <w:rPr>
                <w:rFonts w:ascii="Arial" w:eastAsia="宋体" w:hAnsi="Arial" w:cs="Arial"/>
                <w:b/>
                <w:bCs/>
                <w:color w:val="000000"/>
                <w:sz w:val="20"/>
                <w:szCs w:val="20"/>
              </w:rPr>
              <w:t>(2,816)</w:t>
            </w:r>
          </w:p>
        </w:tc>
        <w:tc>
          <w:tcPr>
            <w:tcW w:w="0" w:type="auto"/>
            <w:shd w:val="clear" w:color="auto" w:fill="CCEEFF"/>
            <w:tcMar>
              <w:top w:w="40" w:type="dxa"/>
              <w:left w:w="0" w:type="dxa"/>
              <w:bottom w:w="40" w:type="dxa"/>
              <w:right w:w="20" w:type="dxa"/>
            </w:tcMar>
            <w:vAlign w:val="bottom"/>
          </w:tcPr>
          <w:p w14:paraId="4090E7A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A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AD" w14:textId="77777777" w:rsidR="00833634" w:rsidRDefault="00E15D51">
            <w:pPr>
              <w:jc w:val="right"/>
              <w:textAlignment w:val="bottom"/>
            </w:pPr>
            <w:r>
              <w:rPr>
                <w:rFonts w:ascii="Arial" w:eastAsia="宋体" w:hAnsi="Arial" w:cs="Arial"/>
                <w:color w:val="000000"/>
                <w:sz w:val="20"/>
                <w:szCs w:val="20"/>
              </w:rPr>
              <w:t>(2,896)</w:t>
            </w:r>
          </w:p>
        </w:tc>
        <w:tc>
          <w:tcPr>
            <w:tcW w:w="0" w:type="auto"/>
            <w:shd w:val="clear" w:color="auto" w:fill="CCEEFF"/>
            <w:tcMar>
              <w:top w:w="40" w:type="dxa"/>
              <w:left w:w="0" w:type="dxa"/>
              <w:bottom w:w="40" w:type="dxa"/>
              <w:right w:w="20" w:type="dxa"/>
            </w:tcMar>
            <w:vAlign w:val="bottom"/>
          </w:tcPr>
          <w:p w14:paraId="4090E7A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A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B0" w14:textId="77777777" w:rsidR="00833634" w:rsidRDefault="00E15D51">
            <w:pPr>
              <w:jc w:val="right"/>
              <w:textAlignment w:val="bottom"/>
            </w:pPr>
            <w:r>
              <w:rPr>
                <w:rFonts w:ascii="Arial" w:eastAsia="宋体" w:hAnsi="Arial" w:cs="Arial"/>
                <w:b/>
                <w:bCs/>
                <w:color w:val="000000"/>
                <w:sz w:val="20"/>
                <w:szCs w:val="20"/>
              </w:rPr>
              <w:t>(938)</w:t>
            </w:r>
          </w:p>
        </w:tc>
        <w:tc>
          <w:tcPr>
            <w:tcW w:w="0" w:type="auto"/>
            <w:shd w:val="clear" w:color="auto" w:fill="CCEEFF"/>
            <w:tcMar>
              <w:top w:w="40" w:type="dxa"/>
              <w:left w:w="0" w:type="dxa"/>
              <w:bottom w:w="40" w:type="dxa"/>
              <w:right w:w="20" w:type="dxa"/>
            </w:tcMar>
            <w:vAlign w:val="bottom"/>
          </w:tcPr>
          <w:p w14:paraId="4090E7B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B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B3" w14:textId="77777777" w:rsidR="00833634" w:rsidRDefault="00E15D51">
            <w:pPr>
              <w:jc w:val="right"/>
              <w:textAlignment w:val="bottom"/>
            </w:pPr>
            <w:r>
              <w:rPr>
                <w:rFonts w:ascii="Arial" w:eastAsia="宋体" w:hAnsi="Arial" w:cs="Arial"/>
                <w:color w:val="000000"/>
                <w:sz w:val="20"/>
                <w:szCs w:val="20"/>
              </w:rPr>
              <w:t>(966)</w:t>
            </w:r>
          </w:p>
        </w:tc>
        <w:tc>
          <w:tcPr>
            <w:tcW w:w="0" w:type="auto"/>
            <w:shd w:val="clear" w:color="auto" w:fill="CCEEFF"/>
            <w:tcMar>
              <w:top w:w="40" w:type="dxa"/>
              <w:left w:w="0" w:type="dxa"/>
              <w:bottom w:w="40" w:type="dxa"/>
              <w:right w:w="20" w:type="dxa"/>
            </w:tcMar>
            <w:vAlign w:val="bottom"/>
          </w:tcPr>
          <w:p w14:paraId="4090E7B4" w14:textId="77777777" w:rsidR="00833634" w:rsidRDefault="00833634">
            <w:pPr>
              <w:jc w:val="right"/>
              <w:rPr>
                <w:rFonts w:ascii="宋体"/>
              </w:rPr>
            </w:pPr>
          </w:p>
        </w:tc>
      </w:tr>
      <w:tr w:rsidR="00833634" w14:paraId="4090E7C2" w14:textId="77777777">
        <w:tc>
          <w:tcPr>
            <w:tcW w:w="0" w:type="auto"/>
            <w:gridSpan w:val="3"/>
            <w:shd w:val="clear" w:color="auto" w:fill="FFFFFF"/>
            <w:tcMar>
              <w:top w:w="40" w:type="dxa"/>
              <w:left w:w="20" w:type="dxa"/>
              <w:bottom w:w="40" w:type="dxa"/>
              <w:right w:w="20" w:type="dxa"/>
            </w:tcMar>
            <w:vAlign w:val="bottom"/>
          </w:tcPr>
          <w:p w14:paraId="4090E7B6" w14:textId="77777777" w:rsidR="00833634" w:rsidRDefault="00E15D51">
            <w:pPr>
              <w:textAlignment w:val="bottom"/>
            </w:pPr>
            <w:r>
              <w:rPr>
                <w:rFonts w:ascii="Arial" w:eastAsia="宋体" w:hAnsi="Arial" w:cs="Arial"/>
                <w:color w:val="000000"/>
                <w:sz w:val="20"/>
                <w:szCs w:val="20"/>
              </w:rPr>
              <w:t>Amortization of prior service credits</w:t>
            </w:r>
          </w:p>
        </w:tc>
        <w:tc>
          <w:tcPr>
            <w:tcW w:w="0" w:type="auto"/>
            <w:gridSpan w:val="2"/>
            <w:shd w:val="clear" w:color="auto" w:fill="FFFFFF"/>
            <w:tcMar>
              <w:top w:w="40" w:type="dxa"/>
              <w:left w:w="20" w:type="dxa"/>
              <w:bottom w:w="40" w:type="dxa"/>
              <w:right w:w="0" w:type="dxa"/>
            </w:tcMar>
            <w:vAlign w:val="bottom"/>
          </w:tcPr>
          <w:p w14:paraId="4090E7B7" w14:textId="77777777" w:rsidR="00833634" w:rsidRDefault="00E15D51">
            <w:pPr>
              <w:jc w:val="right"/>
              <w:textAlignment w:val="bottom"/>
            </w:pPr>
            <w:r>
              <w:rPr>
                <w:rFonts w:ascii="Arial" w:eastAsia="宋体" w:hAnsi="Arial" w:cs="Arial"/>
                <w:b/>
                <w:bCs/>
                <w:color w:val="000000"/>
                <w:sz w:val="20"/>
                <w:szCs w:val="20"/>
              </w:rPr>
              <w:t>(60)</w:t>
            </w:r>
          </w:p>
        </w:tc>
        <w:tc>
          <w:tcPr>
            <w:tcW w:w="0" w:type="auto"/>
            <w:shd w:val="clear" w:color="auto" w:fill="FFFFFF"/>
            <w:tcMar>
              <w:top w:w="40" w:type="dxa"/>
              <w:left w:w="0" w:type="dxa"/>
              <w:bottom w:w="40" w:type="dxa"/>
              <w:right w:w="20" w:type="dxa"/>
            </w:tcMar>
            <w:vAlign w:val="bottom"/>
          </w:tcPr>
          <w:p w14:paraId="4090E7B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7B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7BA" w14:textId="77777777" w:rsidR="00833634" w:rsidRDefault="00E15D51">
            <w:pPr>
              <w:jc w:val="right"/>
              <w:textAlignment w:val="bottom"/>
            </w:pPr>
            <w:r>
              <w:rPr>
                <w:rFonts w:ascii="Arial" w:eastAsia="宋体" w:hAnsi="Arial" w:cs="Arial"/>
                <w:color w:val="000000"/>
                <w:sz w:val="20"/>
                <w:szCs w:val="20"/>
              </w:rPr>
              <w:t>(59)</w:t>
            </w:r>
          </w:p>
        </w:tc>
        <w:tc>
          <w:tcPr>
            <w:tcW w:w="0" w:type="auto"/>
            <w:shd w:val="clear" w:color="auto" w:fill="FFFFFF"/>
            <w:tcMar>
              <w:top w:w="40" w:type="dxa"/>
              <w:left w:w="0" w:type="dxa"/>
              <w:bottom w:w="40" w:type="dxa"/>
              <w:right w:w="20" w:type="dxa"/>
            </w:tcMar>
            <w:vAlign w:val="bottom"/>
          </w:tcPr>
          <w:p w14:paraId="4090E7B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7B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7BD" w14:textId="77777777" w:rsidR="00833634" w:rsidRDefault="00E15D51">
            <w:pPr>
              <w:jc w:val="right"/>
              <w:textAlignment w:val="bottom"/>
            </w:pPr>
            <w:r>
              <w:rPr>
                <w:rFonts w:ascii="Arial" w:eastAsia="宋体" w:hAnsi="Arial" w:cs="Arial"/>
                <w:b/>
                <w:bCs/>
                <w:color w:val="000000"/>
                <w:sz w:val="20"/>
                <w:szCs w:val="20"/>
              </w:rPr>
              <w:t>(20)</w:t>
            </w:r>
          </w:p>
        </w:tc>
        <w:tc>
          <w:tcPr>
            <w:tcW w:w="0" w:type="auto"/>
            <w:shd w:val="clear" w:color="auto" w:fill="FFFFFF"/>
            <w:tcMar>
              <w:top w:w="40" w:type="dxa"/>
              <w:left w:w="0" w:type="dxa"/>
              <w:bottom w:w="40" w:type="dxa"/>
              <w:right w:w="20" w:type="dxa"/>
            </w:tcMar>
            <w:vAlign w:val="bottom"/>
          </w:tcPr>
          <w:p w14:paraId="4090E7B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7B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7C0" w14:textId="77777777" w:rsidR="00833634" w:rsidRDefault="00E15D51">
            <w:pPr>
              <w:jc w:val="right"/>
              <w:textAlignment w:val="bottom"/>
            </w:pPr>
            <w:r>
              <w:rPr>
                <w:rFonts w:ascii="Arial" w:eastAsia="宋体" w:hAnsi="Arial" w:cs="Arial"/>
                <w:color w:val="000000"/>
                <w:sz w:val="20"/>
                <w:szCs w:val="20"/>
              </w:rPr>
              <w:t>(19)</w:t>
            </w:r>
          </w:p>
        </w:tc>
        <w:tc>
          <w:tcPr>
            <w:tcW w:w="0" w:type="auto"/>
            <w:shd w:val="clear" w:color="auto" w:fill="FFFFFF"/>
            <w:tcMar>
              <w:top w:w="40" w:type="dxa"/>
              <w:left w:w="0" w:type="dxa"/>
              <w:bottom w:w="40" w:type="dxa"/>
              <w:right w:w="20" w:type="dxa"/>
            </w:tcMar>
            <w:vAlign w:val="bottom"/>
          </w:tcPr>
          <w:p w14:paraId="4090E7C1" w14:textId="77777777" w:rsidR="00833634" w:rsidRDefault="00833634">
            <w:pPr>
              <w:jc w:val="right"/>
              <w:rPr>
                <w:rFonts w:ascii="宋体"/>
              </w:rPr>
            </w:pPr>
          </w:p>
        </w:tc>
      </w:tr>
      <w:tr w:rsidR="00833634" w14:paraId="4090E7CF" w14:textId="77777777">
        <w:tc>
          <w:tcPr>
            <w:tcW w:w="0" w:type="auto"/>
            <w:gridSpan w:val="3"/>
            <w:shd w:val="clear" w:color="auto" w:fill="CCEEFF"/>
            <w:tcMar>
              <w:top w:w="40" w:type="dxa"/>
              <w:left w:w="20" w:type="dxa"/>
              <w:bottom w:w="40" w:type="dxa"/>
              <w:right w:w="20" w:type="dxa"/>
            </w:tcMar>
            <w:vAlign w:val="bottom"/>
          </w:tcPr>
          <w:p w14:paraId="4090E7C3" w14:textId="77777777" w:rsidR="00833634" w:rsidRDefault="00E15D51">
            <w:pPr>
              <w:textAlignment w:val="bottom"/>
            </w:pPr>
            <w:r>
              <w:rPr>
                <w:rFonts w:ascii="Arial" w:eastAsia="宋体" w:hAnsi="Arial" w:cs="Arial"/>
                <w:color w:val="000000"/>
                <w:sz w:val="20"/>
                <w:szCs w:val="20"/>
              </w:rPr>
              <w:t>Recognized net actuarial loss</w:t>
            </w:r>
          </w:p>
        </w:tc>
        <w:tc>
          <w:tcPr>
            <w:tcW w:w="0" w:type="auto"/>
            <w:gridSpan w:val="2"/>
            <w:shd w:val="clear" w:color="auto" w:fill="CCEEFF"/>
            <w:tcMar>
              <w:top w:w="40" w:type="dxa"/>
              <w:left w:w="20" w:type="dxa"/>
              <w:bottom w:w="40" w:type="dxa"/>
              <w:right w:w="0" w:type="dxa"/>
            </w:tcMar>
            <w:vAlign w:val="bottom"/>
          </w:tcPr>
          <w:p w14:paraId="4090E7C4" w14:textId="77777777" w:rsidR="00833634" w:rsidRDefault="00E15D51">
            <w:pPr>
              <w:jc w:val="right"/>
              <w:textAlignment w:val="bottom"/>
            </w:pPr>
            <w:r>
              <w:rPr>
                <w:rFonts w:ascii="Arial" w:eastAsia="宋体" w:hAnsi="Arial" w:cs="Arial"/>
                <w:b/>
                <w:bCs/>
                <w:color w:val="000000"/>
                <w:sz w:val="20"/>
                <w:szCs w:val="20"/>
              </w:rPr>
              <w:t>774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7C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C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C7" w14:textId="77777777" w:rsidR="00833634" w:rsidRDefault="00E15D51">
            <w:pPr>
              <w:jc w:val="right"/>
              <w:textAlignment w:val="bottom"/>
            </w:pPr>
            <w:r>
              <w:rPr>
                <w:rFonts w:ascii="Arial" w:eastAsia="宋体" w:hAnsi="Arial" w:cs="Arial"/>
                <w:color w:val="000000"/>
                <w:sz w:val="20"/>
                <w:szCs w:val="20"/>
              </w:rPr>
              <w:t>482 </w:t>
            </w:r>
          </w:p>
        </w:tc>
        <w:tc>
          <w:tcPr>
            <w:tcW w:w="0" w:type="auto"/>
            <w:shd w:val="clear" w:color="auto" w:fill="CCEEFF"/>
            <w:tcMar>
              <w:top w:w="40" w:type="dxa"/>
              <w:left w:w="0" w:type="dxa"/>
              <w:bottom w:w="40" w:type="dxa"/>
              <w:right w:w="20" w:type="dxa"/>
            </w:tcMar>
            <w:vAlign w:val="bottom"/>
          </w:tcPr>
          <w:p w14:paraId="4090E7C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C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CA" w14:textId="77777777" w:rsidR="00833634" w:rsidRDefault="00E15D51">
            <w:pPr>
              <w:jc w:val="right"/>
              <w:textAlignment w:val="bottom"/>
            </w:pPr>
            <w:r>
              <w:rPr>
                <w:rFonts w:ascii="Arial" w:eastAsia="宋体" w:hAnsi="Arial" w:cs="Arial"/>
                <w:b/>
                <w:bCs/>
                <w:color w:val="000000"/>
                <w:sz w:val="20"/>
                <w:szCs w:val="20"/>
              </w:rPr>
              <w:t>258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7C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C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CD" w14:textId="77777777" w:rsidR="00833634" w:rsidRDefault="00E15D51">
            <w:pPr>
              <w:jc w:val="right"/>
              <w:textAlignment w:val="bottom"/>
            </w:pPr>
            <w:r>
              <w:rPr>
                <w:rFonts w:ascii="Arial" w:eastAsia="宋体" w:hAnsi="Arial" w:cs="Arial"/>
                <w:color w:val="000000"/>
                <w:sz w:val="20"/>
                <w:szCs w:val="20"/>
              </w:rPr>
              <w:t>161 </w:t>
            </w:r>
          </w:p>
        </w:tc>
        <w:tc>
          <w:tcPr>
            <w:tcW w:w="0" w:type="auto"/>
            <w:shd w:val="clear" w:color="auto" w:fill="CCEEFF"/>
            <w:tcMar>
              <w:top w:w="40" w:type="dxa"/>
              <w:left w:w="0" w:type="dxa"/>
              <w:bottom w:w="40" w:type="dxa"/>
              <w:right w:w="20" w:type="dxa"/>
            </w:tcMar>
            <w:vAlign w:val="bottom"/>
          </w:tcPr>
          <w:p w14:paraId="4090E7CE" w14:textId="77777777" w:rsidR="00833634" w:rsidRDefault="00833634">
            <w:pPr>
              <w:jc w:val="right"/>
              <w:rPr>
                <w:rFonts w:ascii="宋体"/>
              </w:rPr>
            </w:pPr>
          </w:p>
        </w:tc>
      </w:tr>
      <w:tr w:rsidR="00833634" w14:paraId="4090E7DA" w14:textId="77777777">
        <w:tc>
          <w:tcPr>
            <w:tcW w:w="0" w:type="auto"/>
            <w:gridSpan w:val="3"/>
            <w:shd w:val="clear" w:color="auto" w:fill="FFFFFF"/>
            <w:tcMar>
              <w:top w:w="40" w:type="dxa"/>
              <w:left w:w="20" w:type="dxa"/>
              <w:bottom w:w="40" w:type="dxa"/>
              <w:right w:w="20" w:type="dxa"/>
            </w:tcMar>
            <w:vAlign w:val="bottom"/>
          </w:tcPr>
          <w:p w14:paraId="4090E7D0" w14:textId="77777777" w:rsidR="00833634" w:rsidRDefault="00E15D51">
            <w:pPr>
              <w:textAlignment w:val="bottom"/>
            </w:pPr>
            <w:r>
              <w:rPr>
                <w:rFonts w:ascii="Arial" w:eastAsia="宋体" w:hAnsi="Arial" w:cs="Arial"/>
                <w:color w:val="000000"/>
                <w:sz w:val="20"/>
                <w:szCs w:val="20"/>
              </w:rPr>
              <w:t>Settlement/curtailment/other losses</w:t>
            </w:r>
          </w:p>
        </w:tc>
        <w:tc>
          <w:tcPr>
            <w:tcW w:w="0" w:type="auto"/>
            <w:gridSpan w:val="2"/>
            <w:shd w:val="clear" w:color="auto" w:fill="FFFFFF"/>
            <w:tcMar>
              <w:top w:w="40" w:type="dxa"/>
              <w:left w:w="20" w:type="dxa"/>
              <w:bottom w:w="40" w:type="dxa"/>
              <w:right w:w="0" w:type="dxa"/>
            </w:tcMar>
            <w:vAlign w:val="bottom"/>
          </w:tcPr>
          <w:p w14:paraId="4090E7D1" w14:textId="77777777" w:rsidR="00833634" w:rsidRDefault="00E15D51">
            <w:pPr>
              <w:jc w:val="right"/>
              <w:textAlignment w:val="bottom"/>
            </w:pPr>
            <w:r>
              <w:rPr>
                <w:rFonts w:ascii="Arial" w:eastAsia="宋体" w:hAnsi="Arial" w:cs="Arial"/>
                <w:b/>
                <w:bCs/>
                <w:color w:val="000000"/>
                <w:sz w:val="20"/>
                <w:szCs w:val="20"/>
              </w:rPr>
              <w:t>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7D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7D3"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D4"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D5"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E7D6" w14:textId="77777777" w:rsidR="00833634" w:rsidRDefault="00E15D51">
            <w:pPr>
              <w:jc w:val="right"/>
              <w:textAlignment w:val="bottom"/>
            </w:pPr>
            <w:r>
              <w:rPr>
                <w:rFonts w:ascii="Arial" w:eastAsia="宋体" w:hAnsi="Arial" w:cs="Arial"/>
                <w:b/>
                <w:bCs/>
                <w:color w:val="000000"/>
                <w:sz w:val="20"/>
                <w:szCs w:val="20"/>
              </w:rPr>
              <w:t>3</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E7D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7D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7D9" w14:textId="77777777" w:rsidR="00833634" w:rsidRDefault="00833634">
            <w:pPr>
              <w:rPr>
                <w:rFonts w:ascii="宋体"/>
              </w:rPr>
            </w:pPr>
          </w:p>
        </w:tc>
      </w:tr>
      <w:tr w:rsidR="00833634" w14:paraId="4090E7E7"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7DB" w14:textId="77777777" w:rsidR="00833634" w:rsidRDefault="00E15D51">
            <w:pPr>
              <w:textAlignment w:val="bottom"/>
            </w:pPr>
            <w:r>
              <w:rPr>
                <w:rFonts w:ascii="Arial" w:eastAsia="宋体" w:hAnsi="Arial" w:cs="Arial"/>
                <w:color w:val="000000"/>
                <w:sz w:val="20"/>
                <w:szCs w:val="20"/>
              </w:rPr>
              <w:t>Net periodic benefit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7DC" w14:textId="77777777" w:rsidR="00833634" w:rsidRDefault="00E15D51">
            <w:pPr>
              <w:jc w:val="right"/>
              <w:textAlignment w:val="bottom"/>
            </w:pPr>
            <w:r>
              <w:rPr>
                <w:rFonts w:ascii="Arial" w:eastAsia="宋体" w:hAnsi="Arial" w:cs="Arial"/>
                <w:b/>
                <w:bCs/>
                <w:color w:val="000000"/>
                <w:sz w:val="20"/>
                <w:szCs w:val="20"/>
              </w:rPr>
              <w:t>($253)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7D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7D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7DF" w14:textId="77777777" w:rsidR="00833634" w:rsidRDefault="00E15D51">
            <w:pPr>
              <w:jc w:val="right"/>
              <w:textAlignment w:val="bottom"/>
            </w:pPr>
            <w:r>
              <w:rPr>
                <w:rFonts w:ascii="Arial" w:eastAsia="宋体" w:hAnsi="Arial" w:cs="Arial"/>
                <w:color w:val="000000"/>
                <w:sz w:val="20"/>
                <w:szCs w:val="20"/>
              </w:rPr>
              <w:t>($278)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7E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7E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7E2" w14:textId="77777777" w:rsidR="00833634" w:rsidRDefault="00E15D51">
            <w:pPr>
              <w:jc w:val="right"/>
              <w:textAlignment w:val="bottom"/>
            </w:pPr>
            <w:r>
              <w:rPr>
                <w:rFonts w:ascii="Arial" w:eastAsia="宋体" w:hAnsi="Arial" w:cs="Arial"/>
                <w:b/>
                <w:bCs/>
                <w:color w:val="000000"/>
                <w:sz w:val="20"/>
                <w:szCs w:val="20"/>
              </w:rPr>
              <w:t>($83)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7E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7E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7E5" w14:textId="77777777" w:rsidR="00833634" w:rsidRDefault="00E15D51">
            <w:pPr>
              <w:jc w:val="right"/>
              <w:textAlignment w:val="bottom"/>
            </w:pPr>
            <w:r>
              <w:rPr>
                <w:rFonts w:ascii="Arial" w:eastAsia="宋体" w:hAnsi="Arial" w:cs="Arial"/>
                <w:color w:val="000000"/>
                <w:sz w:val="20"/>
                <w:szCs w:val="20"/>
              </w:rPr>
              <w:t>($93)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7E6" w14:textId="77777777" w:rsidR="00833634" w:rsidRDefault="00833634">
            <w:pPr>
              <w:jc w:val="right"/>
              <w:rPr>
                <w:rFonts w:ascii="宋体"/>
              </w:rPr>
            </w:pPr>
          </w:p>
        </w:tc>
      </w:tr>
      <w:tr w:rsidR="00833634" w14:paraId="4090E7F0" w14:textId="77777777">
        <w:trPr>
          <w:trHeight w:val="240"/>
        </w:trPr>
        <w:tc>
          <w:tcPr>
            <w:tcW w:w="0" w:type="auto"/>
            <w:gridSpan w:val="3"/>
            <w:tcBorders>
              <w:top w:val="double" w:sz="6" w:space="0" w:color="000000"/>
            </w:tcBorders>
            <w:shd w:val="clear" w:color="auto" w:fill="FFFFFF"/>
            <w:tcMar>
              <w:top w:w="0" w:type="dxa"/>
              <w:left w:w="20" w:type="dxa"/>
              <w:bottom w:w="0" w:type="dxa"/>
              <w:right w:w="20" w:type="dxa"/>
            </w:tcMar>
          </w:tcPr>
          <w:p w14:paraId="4090E7E8"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7E9"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7EA"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7EB"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7EC"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7ED"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7EE"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7EF" w14:textId="77777777" w:rsidR="00833634" w:rsidRDefault="00833634">
            <w:pPr>
              <w:rPr>
                <w:rFonts w:ascii="宋体"/>
              </w:rPr>
            </w:pPr>
          </w:p>
        </w:tc>
      </w:tr>
      <w:tr w:rsidR="00833634" w14:paraId="4090E7FD" w14:textId="77777777">
        <w:tc>
          <w:tcPr>
            <w:tcW w:w="0" w:type="auto"/>
            <w:gridSpan w:val="3"/>
            <w:shd w:val="clear" w:color="auto" w:fill="CCEEFF"/>
            <w:tcMar>
              <w:top w:w="40" w:type="dxa"/>
              <w:left w:w="180" w:type="dxa"/>
              <w:bottom w:w="40" w:type="dxa"/>
              <w:right w:w="20" w:type="dxa"/>
            </w:tcMar>
            <w:vAlign w:val="bottom"/>
          </w:tcPr>
          <w:p w14:paraId="4090E7F1" w14:textId="77777777" w:rsidR="00833634" w:rsidRDefault="00E15D51">
            <w:pPr>
              <w:ind w:hanging="180"/>
              <w:textAlignment w:val="bottom"/>
            </w:pPr>
            <w:r>
              <w:rPr>
                <w:rFonts w:ascii="Arial" w:eastAsia="宋体" w:hAnsi="Arial" w:cs="Arial"/>
                <w:color w:val="000000"/>
                <w:sz w:val="20"/>
                <w:szCs w:val="20"/>
              </w:rPr>
              <w:t>Net periodic benefit cost included in (Loss)/earnings</w:t>
            </w:r>
            <w:r>
              <w:rPr>
                <w:rFonts w:ascii="Arial" w:eastAsia="宋体" w:hAnsi="Arial" w:cs="Arial"/>
                <w:color w:val="000000"/>
                <w:sz w:val="20"/>
                <w:szCs w:val="20"/>
              </w:rPr>
              <w:br/>
              <w:t>from operations</w:t>
            </w:r>
          </w:p>
        </w:tc>
        <w:tc>
          <w:tcPr>
            <w:tcW w:w="0" w:type="auto"/>
            <w:gridSpan w:val="2"/>
            <w:shd w:val="clear" w:color="auto" w:fill="CCEEFF"/>
            <w:tcMar>
              <w:top w:w="40" w:type="dxa"/>
              <w:left w:w="20" w:type="dxa"/>
              <w:bottom w:w="40" w:type="dxa"/>
              <w:right w:w="0" w:type="dxa"/>
            </w:tcMar>
            <w:vAlign w:val="bottom"/>
          </w:tcPr>
          <w:p w14:paraId="4090E7F2" w14:textId="77777777" w:rsidR="00833634" w:rsidRDefault="00E15D51">
            <w:pPr>
              <w:jc w:val="right"/>
              <w:textAlignment w:val="bottom"/>
            </w:pPr>
            <w:r>
              <w:rPr>
                <w:rFonts w:ascii="Arial" w:eastAsia="宋体" w:hAnsi="Arial" w:cs="Arial"/>
                <w:b/>
                <w:bCs/>
                <w:color w:val="000000"/>
                <w:sz w:val="20"/>
                <w:szCs w:val="20"/>
              </w:rPr>
              <w:t>$2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7F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F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F5" w14:textId="77777777" w:rsidR="00833634" w:rsidRDefault="00E15D51">
            <w:pPr>
              <w:jc w:val="right"/>
              <w:textAlignment w:val="bottom"/>
            </w:pPr>
            <w:r>
              <w:rPr>
                <w:rFonts w:ascii="Arial" w:eastAsia="宋体" w:hAnsi="Arial" w:cs="Arial"/>
                <w:color w:val="000000"/>
                <w:sz w:val="20"/>
                <w:szCs w:val="20"/>
              </w:rPr>
              <w:t>$234 </w:t>
            </w:r>
          </w:p>
        </w:tc>
        <w:tc>
          <w:tcPr>
            <w:tcW w:w="0" w:type="auto"/>
            <w:shd w:val="clear" w:color="auto" w:fill="CCEEFF"/>
            <w:tcMar>
              <w:top w:w="40" w:type="dxa"/>
              <w:left w:w="0" w:type="dxa"/>
              <w:bottom w:w="40" w:type="dxa"/>
              <w:right w:w="20" w:type="dxa"/>
            </w:tcMar>
            <w:vAlign w:val="bottom"/>
          </w:tcPr>
          <w:p w14:paraId="4090E7F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F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F8" w14:textId="77777777" w:rsidR="00833634" w:rsidRDefault="00E15D51">
            <w:pPr>
              <w:jc w:val="right"/>
              <w:textAlignment w:val="bottom"/>
            </w:pPr>
            <w:r>
              <w:rPr>
                <w:rFonts w:ascii="Arial" w:eastAsia="宋体" w:hAnsi="Arial" w:cs="Arial"/>
                <w:b/>
                <w:bCs/>
                <w:color w:val="000000"/>
                <w:sz w:val="20"/>
                <w:szCs w:val="20"/>
              </w:rPr>
              <w:t>$1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7F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7F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7FB" w14:textId="77777777" w:rsidR="00833634" w:rsidRDefault="00E15D51">
            <w:pPr>
              <w:jc w:val="right"/>
              <w:textAlignment w:val="bottom"/>
            </w:pPr>
            <w:r>
              <w:rPr>
                <w:rFonts w:ascii="Arial" w:eastAsia="宋体" w:hAnsi="Arial" w:cs="Arial"/>
                <w:color w:val="000000"/>
                <w:sz w:val="20"/>
                <w:szCs w:val="20"/>
              </w:rPr>
              <w:t>$76 </w:t>
            </w:r>
          </w:p>
        </w:tc>
        <w:tc>
          <w:tcPr>
            <w:tcW w:w="0" w:type="auto"/>
            <w:shd w:val="clear" w:color="auto" w:fill="CCEEFF"/>
            <w:tcMar>
              <w:top w:w="40" w:type="dxa"/>
              <w:left w:w="0" w:type="dxa"/>
              <w:bottom w:w="40" w:type="dxa"/>
              <w:right w:w="20" w:type="dxa"/>
            </w:tcMar>
            <w:vAlign w:val="bottom"/>
          </w:tcPr>
          <w:p w14:paraId="4090E7FC" w14:textId="77777777" w:rsidR="00833634" w:rsidRDefault="00833634">
            <w:pPr>
              <w:jc w:val="right"/>
              <w:rPr>
                <w:rFonts w:ascii="宋体"/>
              </w:rPr>
            </w:pPr>
          </w:p>
        </w:tc>
      </w:tr>
      <w:tr w:rsidR="00833634" w14:paraId="4090E80A" w14:textId="77777777">
        <w:tc>
          <w:tcPr>
            <w:tcW w:w="0" w:type="auto"/>
            <w:gridSpan w:val="3"/>
            <w:shd w:val="clear" w:color="auto" w:fill="FFFFFF"/>
            <w:tcMar>
              <w:top w:w="40" w:type="dxa"/>
              <w:left w:w="20" w:type="dxa"/>
              <w:bottom w:w="40" w:type="dxa"/>
              <w:right w:w="20" w:type="dxa"/>
            </w:tcMar>
            <w:vAlign w:val="bottom"/>
          </w:tcPr>
          <w:p w14:paraId="4090E7FE" w14:textId="77777777" w:rsidR="00833634" w:rsidRDefault="00E15D51">
            <w:pPr>
              <w:ind w:hanging="180"/>
              <w:textAlignment w:val="bottom"/>
            </w:pPr>
            <w:r>
              <w:rPr>
                <w:rFonts w:ascii="Arial" w:eastAsia="宋体" w:hAnsi="Arial" w:cs="Arial"/>
                <w:color w:val="000000"/>
                <w:sz w:val="20"/>
                <w:szCs w:val="20"/>
              </w:rPr>
              <w:t>Net periodic benefit income included in Other income, net</w:t>
            </w:r>
          </w:p>
        </w:tc>
        <w:tc>
          <w:tcPr>
            <w:tcW w:w="0" w:type="auto"/>
            <w:gridSpan w:val="2"/>
            <w:shd w:val="clear" w:color="auto" w:fill="FFFFFF"/>
            <w:tcMar>
              <w:top w:w="40" w:type="dxa"/>
              <w:left w:w="20" w:type="dxa"/>
              <w:bottom w:w="40" w:type="dxa"/>
              <w:right w:w="0" w:type="dxa"/>
            </w:tcMar>
            <w:vAlign w:val="bottom"/>
          </w:tcPr>
          <w:p w14:paraId="4090E7FF" w14:textId="77777777" w:rsidR="00833634" w:rsidRDefault="00E15D51">
            <w:pPr>
              <w:jc w:val="right"/>
              <w:textAlignment w:val="bottom"/>
            </w:pPr>
            <w:r>
              <w:rPr>
                <w:rFonts w:ascii="Arial" w:eastAsia="宋体" w:hAnsi="Arial" w:cs="Arial"/>
                <w:b/>
                <w:bCs/>
                <w:color w:val="000000"/>
                <w:sz w:val="20"/>
                <w:szCs w:val="20"/>
              </w:rPr>
              <w:t>(255)</w:t>
            </w:r>
          </w:p>
        </w:tc>
        <w:tc>
          <w:tcPr>
            <w:tcW w:w="0" w:type="auto"/>
            <w:shd w:val="clear" w:color="auto" w:fill="FFFFFF"/>
            <w:tcMar>
              <w:top w:w="40" w:type="dxa"/>
              <w:left w:w="0" w:type="dxa"/>
              <w:bottom w:w="40" w:type="dxa"/>
              <w:right w:w="20" w:type="dxa"/>
            </w:tcMar>
            <w:vAlign w:val="bottom"/>
          </w:tcPr>
          <w:p w14:paraId="4090E80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0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02" w14:textId="77777777" w:rsidR="00833634" w:rsidRDefault="00E15D51">
            <w:pPr>
              <w:jc w:val="right"/>
              <w:textAlignment w:val="bottom"/>
            </w:pPr>
            <w:r>
              <w:rPr>
                <w:rFonts w:ascii="Arial" w:eastAsia="宋体" w:hAnsi="Arial" w:cs="Arial"/>
                <w:color w:val="000000"/>
                <w:sz w:val="20"/>
                <w:szCs w:val="20"/>
              </w:rPr>
              <w:t>(280)</w:t>
            </w:r>
          </w:p>
        </w:tc>
        <w:tc>
          <w:tcPr>
            <w:tcW w:w="0" w:type="auto"/>
            <w:shd w:val="clear" w:color="auto" w:fill="FFFFFF"/>
            <w:tcMar>
              <w:top w:w="40" w:type="dxa"/>
              <w:left w:w="0" w:type="dxa"/>
              <w:bottom w:w="40" w:type="dxa"/>
              <w:right w:w="20" w:type="dxa"/>
            </w:tcMar>
            <w:vAlign w:val="bottom"/>
          </w:tcPr>
          <w:p w14:paraId="4090E80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0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05" w14:textId="77777777" w:rsidR="00833634" w:rsidRDefault="00E15D51">
            <w:pPr>
              <w:jc w:val="right"/>
              <w:textAlignment w:val="bottom"/>
            </w:pPr>
            <w:r>
              <w:rPr>
                <w:rFonts w:ascii="Arial" w:eastAsia="宋体" w:hAnsi="Arial" w:cs="Arial"/>
                <w:b/>
                <w:bCs/>
                <w:color w:val="000000"/>
                <w:sz w:val="20"/>
                <w:szCs w:val="20"/>
              </w:rPr>
              <w:t>(84)</w:t>
            </w:r>
          </w:p>
        </w:tc>
        <w:tc>
          <w:tcPr>
            <w:tcW w:w="0" w:type="auto"/>
            <w:shd w:val="clear" w:color="auto" w:fill="FFFFFF"/>
            <w:tcMar>
              <w:top w:w="40" w:type="dxa"/>
              <w:left w:w="0" w:type="dxa"/>
              <w:bottom w:w="40" w:type="dxa"/>
              <w:right w:w="20" w:type="dxa"/>
            </w:tcMar>
            <w:vAlign w:val="bottom"/>
          </w:tcPr>
          <w:p w14:paraId="4090E80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0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08" w14:textId="77777777" w:rsidR="00833634" w:rsidRDefault="00E15D51">
            <w:pPr>
              <w:jc w:val="right"/>
              <w:textAlignment w:val="bottom"/>
            </w:pPr>
            <w:r>
              <w:rPr>
                <w:rFonts w:ascii="Arial" w:eastAsia="宋体" w:hAnsi="Arial" w:cs="Arial"/>
                <w:color w:val="000000"/>
                <w:sz w:val="20"/>
                <w:szCs w:val="20"/>
              </w:rPr>
              <w:t>(93)</w:t>
            </w:r>
          </w:p>
        </w:tc>
        <w:tc>
          <w:tcPr>
            <w:tcW w:w="0" w:type="auto"/>
            <w:shd w:val="clear" w:color="auto" w:fill="FFFFFF"/>
            <w:tcMar>
              <w:top w:w="40" w:type="dxa"/>
              <w:left w:w="0" w:type="dxa"/>
              <w:bottom w:w="40" w:type="dxa"/>
              <w:right w:w="20" w:type="dxa"/>
            </w:tcMar>
            <w:vAlign w:val="bottom"/>
          </w:tcPr>
          <w:p w14:paraId="4090E809" w14:textId="77777777" w:rsidR="00833634" w:rsidRDefault="00833634">
            <w:pPr>
              <w:jc w:val="right"/>
              <w:rPr>
                <w:rFonts w:ascii="宋体"/>
              </w:rPr>
            </w:pPr>
          </w:p>
        </w:tc>
      </w:tr>
      <w:tr w:rsidR="00833634" w14:paraId="4090E817" w14:textId="77777777">
        <w:tc>
          <w:tcPr>
            <w:tcW w:w="0" w:type="auto"/>
            <w:gridSpan w:val="3"/>
            <w:tcBorders>
              <w:top w:val="single" w:sz="8" w:space="0" w:color="000000"/>
              <w:bottom w:val="double" w:sz="6" w:space="0" w:color="000000"/>
            </w:tcBorders>
            <w:shd w:val="clear" w:color="auto" w:fill="CCEEFF"/>
            <w:tcMar>
              <w:top w:w="40" w:type="dxa"/>
              <w:left w:w="180" w:type="dxa"/>
              <w:bottom w:w="40" w:type="dxa"/>
              <w:right w:w="20" w:type="dxa"/>
            </w:tcMar>
            <w:vAlign w:val="bottom"/>
          </w:tcPr>
          <w:p w14:paraId="4090E80B" w14:textId="77777777" w:rsidR="00833634" w:rsidRDefault="00E15D51">
            <w:pPr>
              <w:ind w:hanging="180"/>
              <w:textAlignment w:val="bottom"/>
            </w:pPr>
            <w:r>
              <w:rPr>
                <w:rFonts w:ascii="Arial" w:eastAsia="宋体" w:hAnsi="Arial" w:cs="Arial"/>
                <w:color w:val="000000"/>
                <w:sz w:val="20"/>
                <w:szCs w:val="20"/>
              </w:rPr>
              <w:t>Net periodic benefit income included in (Loss)/earnings before income taxes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80C" w14:textId="77777777" w:rsidR="00833634" w:rsidRDefault="00E15D51">
            <w:pPr>
              <w:jc w:val="right"/>
              <w:textAlignment w:val="bottom"/>
            </w:pPr>
            <w:r>
              <w:rPr>
                <w:rFonts w:ascii="Arial" w:eastAsia="宋体" w:hAnsi="Arial" w:cs="Arial"/>
                <w:b/>
                <w:bCs/>
                <w:color w:val="000000"/>
                <w:sz w:val="20"/>
                <w:szCs w:val="20"/>
              </w:rPr>
              <w:t>($253)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80D"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80E"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80F" w14:textId="77777777" w:rsidR="00833634" w:rsidRDefault="00E15D51">
            <w:pPr>
              <w:jc w:val="right"/>
              <w:textAlignment w:val="bottom"/>
            </w:pPr>
            <w:r>
              <w:rPr>
                <w:rFonts w:ascii="Arial" w:eastAsia="宋体" w:hAnsi="Arial" w:cs="Arial"/>
                <w:color w:val="000000"/>
                <w:sz w:val="20"/>
                <w:szCs w:val="20"/>
              </w:rPr>
              <w:t>($46)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810"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811"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812" w14:textId="77777777" w:rsidR="00833634" w:rsidRDefault="00E15D51">
            <w:pPr>
              <w:jc w:val="right"/>
              <w:textAlignment w:val="bottom"/>
            </w:pPr>
            <w:r>
              <w:rPr>
                <w:rFonts w:ascii="Arial" w:eastAsia="宋体" w:hAnsi="Arial" w:cs="Arial"/>
                <w:b/>
                <w:bCs/>
                <w:color w:val="000000"/>
                <w:sz w:val="20"/>
                <w:szCs w:val="20"/>
              </w:rPr>
              <w:t>($83)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813"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814"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815" w14:textId="77777777" w:rsidR="00833634" w:rsidRDefault="00E15D51">
            <w:pPr>
              <w:jc w:val="right"/>
              <w:textAlignment w:val="bottom"/>
            </w:pPr>
            <w:r>
              <w:rPr>
                <w:rFonts w:ascii="Arial" w:eastAsia="宋体" w:hAnsi="Arial" w:cs="Arial"/>
                <w:color w:val="000000"/>
                <w:sz w:val="20"/>
                <w:szCs w:val="20"/>
              </w:rPr>
              <w:t>($17)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816" w14:textId="77777777" w:rsidR="00833634" w:rsidRDefault="00833634">
            <w:pPr>
              <w:jc w:val="right"/>
              <w:rPr>
                <w:rFonts w:ascii="宋体"/>
              </w:rPr>
            </w:pPr>
          </w:p>
        </w:tc>
      </w:tr>
    </w:tbl>
    <w:p w14:paraId="4090E818" w14:textId="77777777" w:rsidR="00833634" w:rsidRDefault="00833634">
      <w:pPr>
        <w:rPr>
          <w:vanish/>
        </w:rPr>
      </w:pPr>
    </w:p>
    <w:tbl>
      <w:tblPr>
        <w:tblW w:w="4984" w:type="pct"/>
        <w:jc w:val="center"/>
        <w:tblCellMar>
          <w:top w:w="15" w:type="dxa"/>
          <w:left w:w="15" w:type="dxa"/>
          <w:bottom w:w="15" w:type="dxa"/>
          <w:right w:w="15" w:type="dxa"/>
        </w:tblCellMar>
        <w:tblLook w:val="04A0" w:firstRow="1" w:lastRow="0" w:firstColumn="1" w:lastColumn="0" w:noHBand="0" w:noVBand="1"/>
      </w:tblPr>
      <w:tblGrid>
        <w:gridCol w:w="59"/>
        <w:gridCol w:w="4308"/>
        <w:gridCol w:w="37"/>
        <w:gridCol w:w="59"/>
        <w:gridCol w:w="805"/>
        <w:gridCol w:w="37"/>
        <w:gridCol w:w="37"/>
        <w:gridCol w:w="37"/>
        <w:gridCol w:w="37"/>
        <w:gridCol w:w="48"/>
        <w:gridCol w:w="805"/>
        <w:gridCol w:w="36"/>
        <w:gridCol w:w="36"/>
        <w:gridCol w:w="36"/>
        <w:gridCol w:w="36"/>
        <w:gridCol w:w="50"/>
        <w:gridCol w:w="806"/>
        <w:gridCol w:w="37"/>
        <w:gridCol w:w="37"/>
        <w:gridCol w:w="37"/>
        <w:gridCol w:w="37"/>
        <w:gridCol w:w="50"/>
        <w:gridCol w:w="806"/>
        <w:gridCol w:w="36"/>
      </w:tblGrid>
      <w:tr w:rsidR="00833634" w14:paraId="4090E831" w14:textId="77777777">
        <w:trPr>
          <w:jc w:val="center"/>
        </w:trPr>
        <w:tc>
          <w:tcPr>
            <w:tcW w:w="50" w:type="pct"/>
            <w:shd w:val="clear" w:color="auto" w:fill="auto"/>
          </w:tcPr>
          <w:p w14:paraId="4090E819" w14:textId="77777777" w:rsidR="00833634" w:rsidRDefault="00833634">
            <w:pPr>
              <w:rPr>
                <w:rFonts w:ascii="宋体"/>
              </w:rPr>
            </w:pPr>
          </w:p>
        </w:tc>
        <w:tc>
          <w:tcPr>
            <w:tcW w:w="2605" w:type="pct"/>
            <w:shd w:val="clear" w:color="auto" w:fill="auto"/>
          </w:tcPr>
          <w:p w14:paraId="4090E81A" w14:textId="77777777" w:rsidR="00833634" w:rsidRDefault="00833634">
            <w:pPr>
              <w:rPr>
                <w:rFonts w:ascii="宋体"/>
              </w:rPr>
            </w:pPr>
          </w:p>
        </w:tc>
        <w:tc>
          <w:tcPr>
            <w:tcW w:w="5" w:type="pct"/>
            <w:shd w:val="clear" w:color="auto" w:fill="auto"/>
          </w:tcPr>
          <w:p w14:paraId="4090E81B" w14:textId="77777777" w:rsidR="00833634" w:rsidRDefault="00833634">
            <w:pPr>
              <w:rPr>
                <w:rFonts w:ascii="宋体"/>
              </w:rPr>
            </w:pPr>
          </w:p>
        </w:tc>
        <w:tc>
          <w:tcPr>
            <w:tcW w:w="50" w:type="pct"/>
            <w:shd w:val="clear" w:color="auto" w:fill="auto"/>
          </w:tcPr>
          <w:p w14:paraId="4090E81C" w14:textId="77777777" w:rsidR="00833634" w:rsidRDefault="00833634">
            <w:pPr>
              <w:rPr>
                <w:rFonts w:ascii="宋体"/>
              </w:rPr>
            </w:pPr>
          </w:p>
        </w:tc>
        <w:tc>
          <w:tcPr>
            <w:tcW w:w="499" w:type="pct"/>
            <w:shd w:val="clear" w:color="auto" w:fill="auto"/>
          </w:tcPr>
          <w:p w14:paraId="4090E81D" w14:textId="77777777" w:rsidR="00833634" w:rsidRDefault="00833634">
            <w:pPr>
              <w:rPr>
                <w:rFonts w:ascii="宋体"/>
              </w:rPr>
            </w:pPr>
          </w:p>
        </w:tc>
        <w:tc>
          <w:tcPr>
            <w:tcW w:w="5" w:type="pct"/>
            <w:shd w:val="clear" w:color="auto" w:fill="auto"/>
          </w:tcPr>
          <w:p w14:paraId="4090E81E" w14:textId="77777777" w:rsidR="00833634" w:rsidRDefault="00833634">
            <w:pPr>
              <w:rPr>
                <w:rFonts w:ascii="宋体"/>
              </w:rPr>
            </w:pPr>
          </w:p>
        </w:tc>
        <w:tc>
          <w:tcPr>
            <w:tcW w:w="5" w:type="pct"/>
            <w:shd w:val="clear" w:color="auto" w:fill="auto"/>
          </w:tcPr>
          <w:p w14:paraId="4090E81F" w14:textId="77777777" w:rsidR="00833634" w:rsidRDefault="00833634">
            <w:pPr>
              <w:rPr>
                <w:rFonts w:ascii="宋体"/>
              </w:rPr>
            </w:pPr>
          </w:p>
        </w:tc>
        <w:tc>
          <w:tcPr>
            <w:tcW w:w="30" w:type="pct"/>
            <w:shd w:val="clear" w:color="auto" w:fill="auto"/>
          </w:tcPr>
          <w:p w14:paraId="4090E820" w14:textId="77777777" w:rsidR="00833634" w:rsidRDefault="00833634">
            <w:pPr>
              <w:rPr>
                <w:rFonts w:ascii="宋体"/>
              </w:rPr>
            </w:pPr>
          </w:p>
        </w:tc>
        <w:tc>
          <w:tcPr>
            <w:tcW w:w="5" w:type="pct"/>
            <w:shd w:val="clear" w:color="auto" w:fill="auto"/>
          </w:tcPr>
          <w:p w14:paraId="4090E821" w14:textId="77777777" w:rsidR="00833634" w:rsidRDefault="00833634">
            <w:pPr>
              <w:rPr>
                <w:rFonts w:ascii="宋体"/>
              </w:rPr>
            </w:pPr>
          </w:p>
        </w:tc>
        <w:tc>
          <w:tcPr>
            <w:tcW w:w="50" w:type="pct"/>
            <w:shd w:val="clear" w:color="auto" w:fill="auto"/>
          </w:tcPr>
          <w:p w14:paraId="4090E822" w14:textId="77777777" w:rsidR="00833634" w:rsidRDefault="00833634">
            <w:pPr>
              <w:rPr>
                <w:rFonts w:ascii="宋体"/>
              </w:rPr>
            </w:pPr>
          </w:p>
        </w:tc>
        <w:tc>
          <w:tcPr>
            <w:tcW w:w="499" w:type="pct"/>
            <w:shd w:val="clear" w:color="auto" w:fill="auto"/>
          </w:tcPr>
          <w:p w14:paraId="4090E823" w14:textId="77777777" w:rsidR="00833634" w:rsidRDefault="00833634">
            <w:pPr>
              <w:rPr>
                <w:rFonts w:ascii="宋体"/>
              </w:rPr>
            </w:pPr>
          </w:p>
        </w:tc>
        <w:tc>
          <w:tcPr>
            <w:tcW w:w="5" w:type="pct"/>
            <w:shd w:val="clear" w:color="auto" w:fill="auto"/>
          </w:tcPr>
          <w:p w14:paraId="4090E824" w14:textId="77777777" w:rsidR="00833634" w:rsidRDefault="00833634">
            <w:pPr>
              <w:rPr>
                <w:rFonts w:ascii="宋体"/>
              </w:rPr>
            </w:pPr>
          </w:p>
        </w:tc>
        <w:tc>
          <w:tcPr>
            <w:tcW w:w="5" w:type="pct"/>
            <w:shd w:val="clear" w:color="auto" w:fill="auto"/>
          </w:tcPr>
          <w:p w14:paraId="4090E825" w14:textId="77777777" w:rsidR="00833634" w:rsidRDefault="00833634">
            <w:pPr>
              <w:rPr>
                <w:rFonts w:ascii="宋体"/>
              </w:rPr>
            </w:pPr>
          </w:p>
        </w:tc>
        <w:tc>
          <w:tcPr>
            <w:tcW w:w="30" w:type="pct"/>
            <w:shd w:val="clear" w:color="auto" w:fill="auto"/>
          </w:tcPr>
          <w:p w14:paraId="4090E826" w14:textId="77777777" w:rsidR="00833634" w:rsidRDefault="00833634">
            <w:pPr>
              <w:rPr>
                <w:rFonts w:ascii="宋体"/>
              </w:rPr>
            </w:pPr>
          </w:p>
        </w:tc>
        <w:tc>
          <w:tcPr>
            <w:tcW w:w="5" w:type="pct"/>
            <w:shd w:val="clear" w:color="auto" w:fill="auto"/>
          </w:tcPr>
          <w:p w14:paraId="4090E827" w14:textId="77777777" w:rsidR="00833634" w:rsidRDefault="00833634">
            <w:pPr>
              <w:rPr>
                <w:rFonts w:ascii="宋体"/>
              </w:rPr>
            </w:pPr>
          </w:p>
        </w:tc>
        <w:tc>
          <w:tcPr>
            <w:tcW w:w="50" w:type="pct"/>
            <w:shd w:val="clear" w:color="auto" w:fill="auto"/>
          </w:tcPr>
          <w:p w14:paraId="4090E828" w14:textId="77777777" w:rsidR="00833634" w:rsidRDefault="00833634">
            <w:pPr>
              <w:rPr>
                <w:rFonts w:ascii="宋体"/>
              </w:rPr>
            </w:pPr>
          </w:p>
        </w:tc>
        <w:tc>
          <w:tcPr>
            <w:tcW w:w="499" w:type="pct"/>
            <w:shd w:val="clear" w:color="auto" w:fill="auto"/>
          </w:tcPr>
          <w:p w14:paraId="4090E829" w14:textId="77777777" w:rsidR="00833634" w:rsidRDefault="00833634">
            <w:pPr>
              <w:rPr>
                <w:rFonts w:ascii="宋体"/>
              </w:rPr>
            </w:pPr>
          </w:p>
        </w:tc>
        <w:tc>
          <w:tcPr>
            <w:tcW w:w="5" w:type="pct"/>
            <w:shd w:val="clear" w:color="auto" w:fill="auto"/>
          </w:tcPr>
          <w:p w14:paraId="4090E82A" w14:textId="77777777" w:rsidR="00833634" w:rsidRDefault="00833634">
            <w:pPr>
              <w:rPr>
                <w:rFonts w:ascii="宋体"/>
              </w:rPr>
            </w:pPr>
          </w:p>
        </w:tc>
        <w:tc>
          <w:tcPr>
            <w:tcW w:w="5" w:type="pct"/>
            <w:shd w:val="clear" w:color="auto" w:fill="auto"/>
          </w:tcPr>
          <w:p w14:paraId="4090E82B" w14:textId="77777777" w:rsidR="00833634" w:rsidRDefault="00833634">
            <w:pPr>
              <w:rPr>
                <w:rFonts w:ascii="宋体"/>
              </w:rPr>
            </w:pPr>
          </w:p>
        </w:tc>
        <w:tc>
          <w:tcPr>
            <w:tcW w:w="30" w:type="pct"/>
            <w:shd w:val="clear" w:color="auto" w:fill="auto"/>
          </w:tcPr>
          <w:p w14:paraId="4090E82C" w14:textId="77777777" w:rsidR="00833634" w:rsidRDefault="00833634">
            <w:pPr>
              <w:rPr>
                <w:rFonts w:ascii="宋体"/>
              </w:rPr>
            </w:pPr>
          </w:p>
        </w:tc>
        <w:tc>
          <w:tcPr>
            <w:tcW w:w="5" w:type="pct"/>
            <w:shd w:val="clear" w:color="auto" w:fill="auto"/>
          </w:tcPr>
          <w:p w14:paraId="4090E82D" w14:textId="77777777" w:rsidR="00833634" w:rsidRDefault="00833634">
            <w:pPr>
              <w:rPr>
                <w:rFonts w:ascii="宋体"/>
              </w:rPr>
            </w:pPr>
          </w:p>
        </w:tc>
        <w:tc>
          <w:tcPr>
            <w:tcW w:w="50" w:type="pct"/>
            <w:shd w:val="clear" w:color="auto" w:fill="auto"/>
          </w:tcPr>
          <w:p w14:paraId="4090E82E" w14:textId="77777777" w:rsidR="00833634" w:rsidRDefault="00833634">
            <w:pPr>
              <w:rPr>
                <w:rFonts w:ascii="宋体"/>
              </w:rPr>
            </w:pPr>
          </w:p>
        </w:tc>
        <w:tc>
          <w:tcPr>
            <w:tcW w:w="499" w:type="pct"/>
            <w:shd w:val="clear" w:color="auto" w:fill="auto"/>
          </w:tcPr>
          <w:p w14:paraId="4090E82F" w14:textId="77777777" w:rsidR="00833634" w:rsidRDefault="00833634">
            <w:pPr>
              <w:rPr>
                <w:rFonts w:ascii="宋体"/>
              </w:rPr>
            </w:pPr>
          </w:p>
        </w:tc>
        <w:tc>
          <w:tcPr>
            <w:tcW w:w="5" w:type="pct"/>
            <w:shd w:val="clear" w:color="auto" w:fill="auto"/>
          </w:tcPr>
          <w:p w14:paraId="4090E830" w14:textId="77777777" w:rsidR="00833634" w:rsidRDefault="00833634">
            <w:pPr>
              <w:rPr>
                <w:rFonts w:ascii="宋体"/>
              </w:rPr>
            </w:pPr>
          </w:p>
        </w:tc>
      </w:tr>
      <w:tr w:rsidR="00833634" w14:paraId="4090E836" w14:textId="77777777">
        <w:trPr>
          <w:jc w:val="center"/>
        </w:trPr>
        <w:tc>
          <w:tcPr>
            <w:tcW w:w="0" w:type="auto"/>
            <w:gridSpan w:val="3"/>
            <w:shd w:val="clear" w:color="auto" w:fill="auto"/>
            <w:tcMar>
              <w:top w:w="0" w:type="dxa"/>
              <w:left w:w="20" w:type="dxa"/>
              <w:bottom w:w="0" w:type="dxa"/>
              <w:right w:w="20" w:type="dxa"/>
            </w:tcMar>
          </w:tcPr>
          <w:p w14:paraId="4090E832"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833"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E834"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835"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847" w14:textId="77777777">
        <w:trPr>
          <w:jc w:val="center"/>
          <w:hidden/>
        </w:trPr>
        <w:tc>
          <w:tcPr>
            <w:tcW w:w="0" w:type="auto"/>
            <w:gridSpan w:val="3"/>
            <w:shd w:val="clear" w:color="auto" w:fill="auto"/>
          </w:tcPr>
          <w:p w14:paraId="4090E837" w14:textId="77777777" w:rsidR="00833634" w:rsidRDefault="00833634">
            <w:pPr>
              <w:rPr>
                <w:rFonts w:ascii="宋体"/>
                <w:vanish/>
              </w:rPr>
            </w:pPr>
          </w:p>
        </w:tc>
        <w:tc>
          <w:tcPr>
            <w:tcW w:w="0" w:type="auto"/>
            <w:gridSpan w:val="3"/>
            <w:shd w:val="clear" w:color="auto" w:fill="auto"/>
          </w:tcPr>
          <w:p w14:paraId="4090E838" w14:textId="77777777" w:rsidR="00833634" w:rsidRDefault="00833634">
            <w:pPr>
              <w:rPr>
                <w:rFonts w:ascii="宋体"/>
                <w:vanish/>
              </w:rPr>
            </w:pPr>
          </w:p>
        </w:tc>
        <w:tc>
          <w:tcPr>
            <w:tcW w:w="0" w:type="auto"/>
            <w:gridSpan w:val="3"/>
            <w:shd w:val="clear" w:color="auto" w:fill="auto"/>
          </w:tcPr>
          <w:p w14:paraId="4090E839" w14:textId="77777777" w:rsidR="00833634" w:rsidRDefault="00833634">
            <w:pPr>
              <w:rPr>
                <w:rFonts w:ascii="宋体"/>
                <w:vanish/>
              </w:rPr>
            </w:pPr>
          </w:p>
        </w:tc>
        <w:tc>
          <w:tcPr>
            <w:tcW w:w="0" w:type="auto"/>
            <w:gridSpan w:val="3"/>
            <w:shd w:val="clear" w:color="auto" w:fill="auto"/>
          </w:tcPr>
          <w:p w14:paraId="4090E83A" w14:textId="77777777" w:rsidR="00833634" w:rsidRDefault="00833634">
            <w:pPr>
              <w:rPr>
                <w:rFonts w:ascii="宋体"/>
                <w:vanish/>
              </w:rPr>
            </w:pPr>
          </w:p>
        </w:tc>
        <w:tc>
          <w:tcPr>
            <w:tcW w:w="0" w:type="auto"/>
            <w:shd w:val="clear" w:color="auto" w:fill="auto"/>
          </w:tcPr>
          <w:p w14:paraId="4090E83B" w14:textId="77777777" w:rsidR="00833634" w:rsidRDefault="00833634">
            <w:pPr>
              <w:rPr>
                <w:rFonts w:ascii="宋体"/>
              </w:rPr>
            </w:pPr>
          </w:p>
        </w:tc>
        <w:tc>
          <w:tcPr>
            <w:tcW w:w="0" w:type="auto"/>
            <w:shd w:val="clear" w:color="auto" w:fill="auto"/>
          </w:tcPr>
          <w:p w14:paraId="4090E83C" w14:textId="77777777" w:rsidR="00833634" w:rsidRDefault="00833634">
            <w:pPr>
              <w:rPr>
                <w:rFonts w:ascii="宋体"/>
              </w:rPr>
            </w:pPr>
          </w:p>
        </w:tc>
        <w:tc>
          <w:tcPr>
            <w:tcW w:w="0" w:type="auto"/>
            <w:shd w:val="clear" w:color="auto" w:fill="auto"/>
          </w:tcPr>
          <w:p w14:paraId="4090E83D" w14:textId="77777777" w:rsidR="00833634" w:rsidRDefault="00833634">
            <w:pPr>
              <w:rPr>
                <w:rFonts w:ascii="宋体"/>
              </w:rPr>
            </w:pPr>
          </w:p>
        </w:tc>
        <w:tc>
          <w:tcPr>
            <w:tcW w:w="0" w:type="auto"/>
            <w:shd w:val="clear" w:color="auto" w:fill="auto"/>
          </w:tcPr>
          <w:p w14:paraId="4090E83E" w14:textId="77777777" w:rsidR="00833634" w:rsidRDefault="00833634">
            <w:pPr>
              <w:rPr>
                <w:rFonts w:ascii="宋体"/>
              </w:rPr>
            </w:pPr>
          </w:p>
        </w:tc>
        <w:tc>
          <w:tcPr>
            <w:tcW w:w="0" w:type="auto"/>
            <w:shd w:val="clear" w:color="auto" w:fill="auto"/>
          </w:tcPr>
          <w:p w14:paraId="4090E83F" w14:textId="77777777" w:rsidR="00833634" w:rsidRDefault="00833634">
            <w:pPr>
              <w:rPr>
                <w:rFonts w:ascii="宋体"/>
              </w:rPr>
            </w:pPr>
          </w:p>
        </w:tc>
        <w:tc>
          <w:tcPr>
            <w:tcW w:w="0" w:type="auto"/>
            <w:shd w:val="clear" w:color="auto" w:fill="auto"/>
          </w:tcPr>
          <w:p w14:paraId="4090E840" w14:textId="77777777" w:rsidR="00833634" w:rsidRDefault="00833634">
            <w:pPr>
              <w:rPr>
                <w:rFonts w:ascii="宋体"/>
              </w:rPr>
            </w:pPr>
          </w:p>
        </w:tc>
        <w:tc>
          <w:tcPr>
            <w:tcW w:w="0" w:type="auto"/>
            <w:shd w:val="clear" w:color="auto" w:fill="auto"/>
          </w:tcPr>
          <w:p w14:paraId="4090E841" w14:textId="77777777" w:rsidR="00833634" w:rsidRDefault="00833634">
            <w:pPr>
              <w:rPr>
                <w:rFonts w:ascii="宋体"/>
              </w:rPr>
            </w:pPr>
          </w:p>
        </w:tc>
        <w:tc>
          <w:tcPr>
            <w:tcW w:w="0" w:type="auto"/>
            <w:shd w:val="clear" w:color="auto" w:fill="auto"/>
          </w:tcPr>
          <w:p w14:paraId="4090E842" w14:textId="77777777" w:rsidR="00833634" w:rsidRDefault="00833634">
            <w:pPr>
              <w:rPr>
                <w:rFonts w:ascii="宋体"/>
              </w:rPr>
            </w:pPr>
          </w:p>
        </w:tc>
        <w:tc>
          <w:tcPr>
            <w:tcW w:w="0" w:type="auto"/>
            <w:shd w:val="clear" w:color="auto" w:fill="auto"/>
          </w:tcPr>
          <w:p w14:paraId="4090E843" w14:textId="77777777" w:rsidR="00833634" w:rsidRDefault="00833634">
            <w:pPr>
              <w:rPr>
                <w:rFonts w:ascii="宋体"/>
              </w:rPr>
            </w:pPr>
          </w:p>
        </w:tc>
        <w:tc>
          <w:tcPr>
            <w:tcW w:w="0" w:type="auto"/>
            <w:shd w:val="clear" w:color="auto" w:fill="auto"/>
          </w:tcPr>
          <w:p w14:paraId="4090E844" w14:textId="77777777" w:rsidR="00833634" w:rsidRDefault="00833634">
            <w:pPr>
              <w:rPr>
                <w:rFonts w:ascii="宋体"/>
              </w:rPr>
            </w:pPr>
          </w:p>
        </w:tc>
        <w:tc>
          <w:tcPr>
            <w:tcW w:w="0" w:type="auto"/>
            <w:shd w:val="clear" w:color="auto" w:fill="auto"/>
          </w:tcPr>
          <w:p w14:paraId="4090E845" w14:textId="77777777" w:rsidR="00833634" w:rsidRDefault="00833634">
            <w:pPr>
              <w:rPr>
                <w:rFonts w:ascii="宋体"/>
              </w:rPr>
            </w:pPr>
          </w:p>
        </w:tc>
        <w:tc>
          <w:tcPr>
            <w:tcW w:w="0" w:type="auto"/>
            <w:shd w:val="clear" w:color="auto" w:fill="auto"/>
          </w:tcPr>
          <w:p w14:paraId="4090E846" w14:textId="77777777" w:rsidR="00833634" w:rsidRDefault="00833634">
            <w:pPr>
              <w:rPr>
                <w:rFonts w:ascii="宋体"/>
              </w:rPr>
            </w:pPr>
          </w:p>
        </w:tc>
      </w:tr>
      <w:tr w:rsidR="00833634" w14:paraId="4090E850" w14:textId="77777777">
        <w:trPr>
          <w:jc w:val="center"/>
        </w:trPr>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848" w14:textId="77777777" w:rsidR="00833634" w:rsidRDefault="00E15D51">
            <w:pPr>
              <w:textAlignment w:val="bottom"/>
            </w:pPr>
            <w:r>
              <w:rPr>
                <w:rFonts w:ascii="Arial" w:eastAsia="宋体" w:hAnsi="Arial" w:cs="Arial"/>
                <w:color w:val="000000"/>
                <w:sz w:val="20"/>
                <w:szCs w:val="20"/>
              </w:rPr>
              <w:t>Other Postretirement Plans</w:t>
            </w: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849"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4090E84A"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84B"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FFFFFF"/>
            <w:tcMar>
              <w:top w:w="0" w:type="dxa"/>
              <w:left w:w="20" w:type="dxa"/>
              <w:bottom w:w="0" w:type="dxa"/>
              <w:right w:w="20" w:type="dxa"/>
            </w:tcMar>
          </w:tcPr>
          <w:p w14:paraId="4090E84C"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84D"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FFFFFF"/>
            <w:tcMar>
              <w:top w:w="0" w:type="dxa"/>
              <w:left w:w="20" w:type="dxa"/>
              <w:bottom w:w="0" w:type="dxa"/>
              <w:right w:w="20" w:type="dxa"/>
            </w:tcMar>
          </w:tcPr>
          <w:p w14:paraId="4090E84E" w14:textId="77777777" w:rsidR="00833634" w:rsidRDefault="00833634">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84F" w14:textId="77777777" w:rsidR="00833634" w:rsidRDefault="00E15D51">
            <w:pPr>
              <w:jc w:val="right"/>
              <w:textAlignment w:val="bottom"/>
            </w:pPr>
            <w:r>
              <w:rPr>
                <w:rFonts w:ascii="Arial" w:eastAsia="宋体" w:hAnsi="Arial" w:cs="Arial"/>
                <w:color w:val="000000"/>
                <w:sz w:val="20"/>
                <w:szCs w:val="20"/>
              </w:rPr>
              <w:t>2019</w:t>
            </w:r>
          </w:p>
        </w:tc>
      </w:tr>
      <w:tr w:rsidR="00833634" w14:paraId="4090E85D"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851" w14:textId="77777777" w:rsidR="00833634" w:rsidRDefault="00E15D51">
            <w:pPr>
              <w:textAlignment w:val="bottom"/>
            </w:pPr>
            <w:r>
              <w:rPr>
                <w:rFonts w:ascii="Arial" w:eastAsia="宋体" w:hAnsi="Arial" w:cs="Arial"/>
                <w:color w:val="000000"/>
                <w:sz w:val="20"/>
                <w:szCs w:val="20"/>
              </w:rPr>
              <w:t>Service cost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852" w14:textId="77777777" w:rsidR="00833634" w:rsidRDefault="00E15D51">
            <w:pPr>
              <w:jc w:val="right"/>
              <w:textAlignment w:val="bottom"/>
            </w:pPr>
            <w:r>
              <w:rPr>
                <w:rFonts w:ascii="Arial" w:eastAsia="宋体" w:hAnsi="Arial" w:cs="Arial"/>
                <w:b/>
                <w:bCs/>
                <w:color w:val="000000"/>
                <w:sz w:val="20"/>
                <w:szCs w:val="20"/>
              </w:rPr>
              <w:t>$65</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85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85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855" w14:textId="77777777" w:rsidR="00833634" w:rsidRDefault="00E15D51">
            <w:pPr>
              <w:jc w:val="right"/>
              <w:textAlignment w:val="bottom"/>
            </w:pPr>
            <w:r>
              <w:rPr>
                <w:rFonts w:ascii="Arial" w:eastAsia="宋体" w:hAnsi="Arial" w:cs="Arial"/>
                <w:color w:val="000000"/>
                <w:sz w:val="20"/>
                <w:szCs w:val="20"/>
              </w:rPr>
              <w:t>$58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85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85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858" w14:textId="77777777" w:rsidR="00833634" w:rsidRDefault="00E15D51">
            <w:pPr>
              <w:jc w:val="right"/>
              <w:textAlignment w:val="bottom"/>
            </w:pPr>
            <w:r>
              <w:rPr>
                <w:rFonts w:ascii="Arial" w:eastAsia="宋体" w:hAnsi="Arial" w:cs="Arial"/>
                <w:b/>
                <w:bCs/>
                <w:color w:val="000000"/>
                <w:sz w:val="20"/>
                <w:szCs w:val="20"/>
              </w:rPr>
              <w:t>$22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85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85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85B" w14:textId="77777777" w:rsidR="00833634" w:rsidRDefault="00E15D51">
            <w:pPr>
              <w:jc w:val="right"/>
              <w:textAlignment w:val="bottom"/>
            </w:pPr>
            <w:r>
              <w:rPr>
                <w:rFonts w:ascii="Arial" w:eastAsia="宋体" w:hAnsi="Arial" w:cs="Arial"/>
                <w:color w:val="000000"/>
                <w:sz w:val="20"/>
                <w:szCs w:val="20"/>
              </w:rPr>
              <w:t>$19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85C" w14:textId="77777777" w:rsidR="00833634" w:rsidRDefault="00833634">
            <w:pPr>
              <w:jc w:val="right"/>
              <w:rPr>
                <w:rFonts w:ascii="宋体"/>
              </w:rPr>
            </w:pPr>
          </w:p>
        </w:tc>
      </w:tr>
      <w:tr w:rsidR="00833634" w14:paraId="4090E86A" w14:textId="77777777">
        <w:trPr>
          <w:jc w:val="center"/>
        </w:trPr>
        <w:tc>
          <w:tcPr>
            <w:tcW w:w="0" w:type="auto"/>
            <w:gridSpan w:val="3"/>
            <w:shd w:val="clear" w:color="auto" w:fill="FFFFFF"/>
            <w:tcMar>
              <w:top w:w="40" w:type="dxa"/>
              <w:left w:w="20" w:type="dxa"/>
              <w:bottom w:w="40" w:type="dxa"/>
              <w:right w:w="20" w:type="dxa"/>
            </w:tcMar>
            <w:vAlign w:val="bottom"/>
          </w:tcPr>
          <w:p w14:paraId="4090E85E" w14:textId="77777777" w:rsidR="00833634" w:rsidRDefault="00E15D51">
            <w:pPr>
              <w:textAlignment w:val="bottom"/>
            </w:pPr>
            <w:r>
              <w:rPr>
                <w:rFonts w:ascii="Arial" w:eastAsia="宋体" w:hAnsi="Arial" w:cs="Arial"/>
                <w:color w:val="000000"/>
                <w:sz w:val="20"/>
                <w:szCs w:val="20"/>
              </w:rPr>
              <w:t>Interest cost</w:t>
            </w:r>
          </w:p>
        </w:tc>
        <w:tc>
          <w:tcPr>
            <w:tcW w:w="0" w:type="auto"/>
            <w:gridSpan w:val="2"/>
            <w:shd w:val="clear" w:color="auto" w:fill="FFFFFF"/>
            <w:tcMar>
              <w:top w:w="40" w:type="dxa"/>
              <w:left w:w="20" w:type="dxa"/>
              <w:bottom w:w="40" w:type="dxa"/>
              <w:right w:w="0" w:type="dxa"/>
            </w:tcMar>
            <w:vAlign w:val="bottom"/>
          </w:tcPr>
          <w:p w14:paraId="4090E85F" w14:textId="77777777" w:rsidR="00833634" w:rsidRDefault="00E15D51">
            <w:pPr>
              <w:jc w:val="right"/>
              <w:textAlignment w:val="bottom"/>
            </w:pPr>
            <w:r>
              <w:rPr>
                <w:rFonts w:ascii="Arial" w:eastAsia="宋体" w:hAnsi="Arial" w:cs="Arial"/>
                <w:b/>
                <w:bCs/>
                <w:color w:val="000000"/>
                <w:sz w:val="20"/>
                <w:szCs w:val="20"/>
              </w:rPr>
              <w:t>107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86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6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62" w14:textId="77777777" w:rsidR="00833634" w:rsidRDefault="00E15D51">
            <w:pPr>
              <w:jc w:val="right"/>
              <w:textAlignment w:val="bottom"/>
            </w:pPr>
            <w:r>
              <w:rPr>
                <w:rFonts w:ascii="Arial" w:eastAsia="宋体" w:hAnsi="Arial" w:cs="Arial"/>
                <w:color w:val="000000"/>
                <w:sz w:val="20"/>
                <w:szCs w:val="20"/>
              </w:rPr>
              <w:t>147 </w:t>
            </w:r>
          </w:p>
        </w:tc>
        <w:tc>
          <w:tcPr>
            <w:tcW w:w="0" w:type="auto"/>
            <w:shd w:val="clear" w:color="auto" w:fill="FFFFFF"/>
            <w:tcMar>
              <w:top w:w="40" w:type="dxa"/>
              <w:left w:w="0" w:type="dxa"/>
              <w:bottom w:w="40" w:type="dxa"/>
              <w:right w:w="20" w:type="dxa"/>
            </w:tcMar>
            <w:vAlign w:val="bottom"/>
          </w:tcPr>
          <w:p w14:paraId="4090E86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6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65" w14:textId="77777777" w:rsidR="00833634" w:rsidRDefault="00E15D51">
            <w:pPr>
              <w:jc w:val="right"/>
              <w:textAlignment w:val="bottom"/>
            </w:pPr>
            <w:r>
              <w:rPr>
                <w:rFonts w:ascii="Arial" w:eastAsia="宋体" w:hAnsi="Arial" w:cs="Arial"/>
                <w:b/>
                <w:bCs/>
                <w:color w:val="000000"/>
                <w:sz w:val="20"/>
                <w:szCs w:val="20"/>
              </w:rPr>
              <w:t>35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86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6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68" w14:textId="77777777" w:rsidR="00833634" w:rsidRDefault="00E15D51">
            <w:pPr>
              <w:jc w:val="right"/>
              <w:textAlignment w:val="bottom"/>
            </w:pPr>
            <w:r>
              <w:rPr>
                <w:rFonts w:ascii="Arial" w:eastAsia="宋体" w:hAnsi="Arial" w:cs="Arial"/>
                <w:color w:val="000000"/>
                <w:sz w:val="20"/>
                <w:szCs w:val="20"/>
              </w:rPr>
              <w:t>49 </w:t>
            </w:r>
          </w:p>
        </w:tc>
        <w:tc>
          <w:tcPr>
            <w:tcW w:w="0" w:type="auto"/>
            <w:shd w:val="clear" w:color="auto" w:fill="FFFFFF"/>
            <w:tcMar>
              <w:top w:w="40" w:type="dxa"/>
              <w:left w:w="0" w:type="dxa"/>
              <w:bottom w:w="40" w:type="dxa"/>
              <w:right w:w="20" w:type="dxa"/>
            </w:tcMar>
            <w:vAlign w:val="bottom"/>
          </w:tcPr>
          <w:p w14:paraId="4090E869" w14:textId="77777777" w:rsidR="00833634" w:rsidRDefault="00833634">
            <w:pPr>
              <w:jc w:val="right"/>
              <w:rPr>
                <w:rFonts w:ascii="宋体"/>
              </w:rPr>
            </w:pPr>
          </w:p>
        </w:tc>
      </w:tr>
      <w:tr w:rsidR="00833634" w14:paraId="4090E877" w14:textId="77777777">
        <w:trPr>
          <w:jc w:val="center"/>
        </w:trPr>
        <w:tc>
          <w:tcPr>
            <w:tcW w:w="0" w:type="auto"/>
            <w:gridSpan w:val="3"/>
            <w:shd w:val="clear" w:color="auto" w:fill="CCEEFF"/>
            <w:tcMar>
              <w:top w:w="40" w:type="dxa"/>
              <w:left w:w="20" w:type="dxa"/>
              <w:bottom w:w="40" w:type="dxa"/>
              <w:right w:w="20" w:type="dxa"/>
            </w:tcMar>
            <w:vAlign w:val="bottom"/>
          </w:tcPr>
          <w:p w14:paraId="4090E86B" w14:textId="77777777" w:rsidR="00833634" w:rsidRDefault="00E15D51">
            <w:pPr>
              <w:textAlignment w:val="bottom"/>
            </w:pPr>
            <w:r>
              <w:rPr>
                <w:rFonts w:ascii="Arial" w:eastAsia="宋体" w:hAnsi="Arial" w:cs="Arial"/>
                <w:color w:val="000000"/>
                <w:sz w:val="20"/>
                <w:szCs w:val="20"/>
              </w:rPr>
              <w:t>Expected return on plan assets</w:t>
            </w:r>
          </w:p>
        </w:tc>
        <w:tc>
          <w:tcPr>
            <w:tcW w:w="0" w:type="auto"/>
            <w:gridSpan w:val="2"/>
            <w:shd w:val="clear" w:color="auto" w:fill="CCEEFF"/>
            <w:tcMar>
              <w:top w:w="40" w:type="dxa"/>
              <w:left w:w="20" w:type="dxa"/>
              <w:bottom w:w="40" w:type="dxa"/>
              <w:right w:w="0" w:type="dxa"/>
            </w:tcMar>
            <w:vAlign w:val="bottom"/>
          </w:tcPr>
          <w:p w14:paraId="4090E86C" w14:textId="77777777" w:rsidR="00833634" w:rsidRDefault="00E15D51">
            <w:pPr>
              <w:jc w:val="right"/>
              <w:textAlignment w:val="bottom"/>
            </w:pPr>
            <w:r>
              <w:rPr>
                <w:rFonts w:ascii="Arial" w:eastAsia="宋体" w:hAnsi="Arial" w:cs="Arial"/>
                <w:b/>
                <w:bCs/>
                <w:color w:val="000000"/>
                <w:sz w:val="20"/>
                <w:szCs w:val="20"/>
              </w:rPr>
              <w:t>(6)</w:t>
            </w:r>
          </w:p>
        </w:tc>
        <w:tc>
          <w:tcPr>
            <w:tcW w:w="0" w:type="auto"/>
            <w:shd w:val="clear" w:color="auto" w:fill="CCEEFF"/>
            <w:tcMar>
              <w:top w:w="40" w:type="dxa"/>
              <w:left w:w="0" w:type="dxa"/>
              <w:bottom w:w="40" w:type="dxa"/>
              <w:right w:w="20" w:type="dxa"/>
            </w:tcMar>
            <w:vAlign w:val="bottom"/>
          </w:tcPr>
          <w:p w14:paraId="4090E86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86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86F" w14:textId="77777777" w:rsidR="00833634" w:rsidRDefault="00E15D51">
            <w:pPr>
              <w:jc w:val="right"/>
              <w:textAlignment w:val="bottom"/>
            </w:pPr>
            <w:r>
              <w:rPr>
                <w:rFonts w:ascii="Arial" w:eastAsia="宋体" w:hAnsi="Arial" w:cs="Arial"/>
                <w:color w:val="000000"/>
                <w:sz w:val="20"/>
                <w:szCs w:val="20"/>
              </w:rPr>
              <w:t>(6)</w:t>
            </w:r>
          </w:p>
        </w:tc>
        <w:tc>
          <w:tcPr>
            <w:tcW w:w="0" w:type="auto"/>
            <w:shd w:val="clear" w:color="auto" w:fill="CCEEFF"/>
            <w:tcMar>
              <w:top w:w="40" w:type="dxa"/>
              <w:left w:w="0" w:type="dxa"/>
              <w:bottom w:w="40" w:type="dxa"/>
              <w:right w:w="20" w:type="dxa"/>
            </w:tcMar>
            <w:vAlign w:val="bottom"/>
          </w:tcPr>
          <w:p w14:paraId="4090E870"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87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872" w14:textId="77777777" w:rsidR="00833634" w:rsidRDefault="00E15D51">
            <w:pPr>
              <w:jc w:val="right"/>
              <w:textAlignment w:val="bottom"/>
            </w:pPr>
            <w:r>
              <w:rPr>
                <w:rFonts w:ascii="Arial" w:eastAsia="宋体" w:hAnsi="Arial" w:cs="Arial"/>
                <w:b/>
                <w:bCs/>
                <w:color w:val="000000"/>
                <w:sz w:val="20"/>
                <w:szCs w:val="20"/>
              </w:rPr>
              <w:t>(1)</w:t>
            </w:r>
          </w:p>
        </w:tc>
        <w:tc>
          <w:tcPr>
            <w:tcW w:w="0" w:type="auto"/>
            <w:shd w:val="clear" w:color="auto" w:fill="CCEEFF"/>
            <w:tcMar>
              <w:top w:w="40" w:type="dxa"/>
              <w:left w:w="0" w:type="dxa"/>
              <w:bottom w:w="40" w:type="dxa"/>
              <w:right w:w="20" w:type="dxa"/>
            </w:tcMar>
            <w:vAlign w:val="bottom"/>
          </w:tcPr>
          <w:p w14:paraId="4090E87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87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875" w14:textId="77777777" w:rsidR="00833634" w:rsidRDefault="00E15D51">
            <w:pPr>
              <w:jc w:val="right"/>
              <w:textAlignment w:val="bottom"/>
            </w:pPr>
            <w:r>
              <w:rPr>
                <w:rFonts w:ascii="Arial" w:eastAsia="宋体" w:hAnsi="Arial" w:cs="Arial"/>
                <w:color w:val="000000"/>
                <w:sz w:val="20"/>
                <w:szCs w:val="20"/>
              </w:rPr>
              <w:t>(2)</w:t>
            </w:r>
          </w:p>
        </w:tc>
        <w:tc>
          <w:tcPr>
            <w:tcW w:w="0" w:type="auto"/>
            <w:shd w:val="clear" w:color="auto" w:fill="CCEEFF"/>
            <w:tcMar>
              <w:top w:w="40" w:type="dxa"/>
              <w:left w:w="0" w:type="dxa"/>
              <w:bottom w:w="40" w:type="dxa"/>
              <w:right w:w="20" w:type="dxa"/>
            </w:tcMar>
            <w:vAlign w:val="bottom"/>
          </w:tcPr>
          <w:p w14:paraId="4090E876" w14:textId="77777777" w:rsidR="00833634" w:rsidRDefault="00833634">
            <w:pPr>
              <w:jc w:val="right"/>
              <w:rPr>
                <w:rFonts w:ascii="宋体"/>
              </w:rPr>
            </w:pPr>
          </w:p>
        </w:tc>
      </w:tr>
      <w:tr w:rsidR="00833634" w14:paraId="4090E884" w14:textId="77777777">
        <w:trPr>
          <w:jc w:val="center"/>
        </w:trPr>
        <w:tc>
          <w:tcPr>
            <w:tcW w:w="0" w:type="auto"/>
            <w:gridSpan w:val="3"/>
            <w:shd w:val="clear" w:color="auto" w:fill="FFFFFF"/>
            <w:tcMar>
              <w:top w:w="40" w:type="dxa"/>
              <w:left w:w="20" w:type="dxa"/>
              <w:bottom w:w="40" w:type="dxa"/>
              <w:right w:w="20" w:type="dxa"/>
            </w:tcMar>
            <w:vAlign w:val="bottom"/>
          </w:tcPr>
          <w:p w14:paraId="4090E878" w14:textId="77777777" w:rsidR="00833634" w:rsidRDefault="00E15D51">
            <w:pPr>
              <w:textAlignment w:val="bottom"/>
            </w:pPr>
            <w:r>
              <w:rPr>
                <w:rFonts w:ascii="Arial" w:eastAsia="宋体" w:hAnsi="Arial" w:cs="Arial"/>
                <w:color w:val="000000"/>
                <w:sz w:val="20"/>
                <w:szCs w:val="20"/>
              </w:rPr>
              <w:t>Amortization of prior service credits</w:t>
            </w:r>
          </w:p>
        </w:tc>
        <w:tc>
          <w:tcPr>
            <w:tcW w:w="0" w:type="auto"/>
            <w:gridSpan w:val="2"/>
            <w:shd w:val="clear" w:color="auto" w:fill="FFFFFF"/>
            <w:tcMar>
              <w:top w:w="40" w:type="dxa"/>
              <w:left w:w="20" w:type="dxa"/>
              <w:bottom w:w="40" w:type="dxa"/>
              <w:right w:w="0" w:type="dxa"/>
            </w:tcMar>
            <w:vAlign w:val="bottom"/>
          </w:tcPr>
          <w:p w14:paraId="4090E879" w14:textId="77777777" w:rsidR="00833634" w:rsidRDefault="00E15D51">
            <w:pPr>
              <w:jc w:val="right"/>
              <w:textAlignment w:val="bottom"/>
            </w:pPr>
            <w:r>
              <w:rPr>
                <w:rFonts w:ascii="Arial" w:eastAsia="宋体" w:hAnsi="Arial" w:cs="Arial"/>
                <w:b/>
                <w:bCs/>
                <w:color w:val="000000"/>
                <w:sz w:val="20"/>
                <w:szCs w:val="20"/>
              </w:rPr>
              <w:t>(29)</w:t>
            </w:r>
          </w:p>
        </w:tc>
        <w:tc>
          <w:tcPr>
            <w:tcW w:w="0" w:type="auto"/>
            <w:shd w:val="clear" w:color="auto" w:fill="FFFFFF"/>
            <w:tcMar>
              <w:top w:w="40" w:type="dxa"/>
              <w:left w:w="0" w:type="dxa"/>
              <w:bottom w:w="40" w:type="dxa"/>
              <w:right w:w="20" w:type="dxa"/>
            </w:tcMar>
            <w:vAlign w:val="bottom"/>
          </w:tcPr>
          <w:p w14:paraId="4090E87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7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7C" w14:textId="77777777" w:rsidR="00833634" w:rsidRDefault="00E15D51">
            <w:pPr>
              <w:jc w:val="right"/>
              <w:textAlignment w:val="bottom"/>
            </w:pPr>
            <w:r>
              <w:rPr>
                <w:rFonts w:ascii="Arial" w:eastAsia="宋体" w:hAnsi="Arial" w:cs="Arial"/>
                <w:color w:val="000000"/>
                <w:sz w:val="20"/>
                <w:szCs w:val="20"/>
              </w:rPr>
              <w:t>(26)</w:t>
            </w:r>
          </w:p>
        </w:tc>
        <w:tc>
          <w:tcPr>
            <w:tcW w:w="0" w:type="auto"/>
            <w:shd w:val="clear" w:color="auto" w:fill="FFFFFF"/>
            <w:tcMar>
              <w:top w:w="40" w:type="dxa"/>
              <w:left w:w="0" w:type="dxa"/>
              <w:bottom w:w="40" w:type="dxa"/>
              <w:right w:w="20" w:type="dxa"/>
            </w:tcMar>
            <w:vAlign w:val="bottom"/>
          </w:tcPr>
          <w:p w14:paraId="4090E87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7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7F" w14:textId="77777777" w:rsidR="00833634" w:rsidRDefault="00E15D51">
            <w:pPr>
              <w:jc w:val="right"/>
              <w:textAlignment w:val="bottom"/>
            </w:pPr>
            <w:r>
              <w:rPr>
                <w:rFonts w:ascii="Arial" w:eastAsia="宋体" w:hAnsi="Arial" w:cs="Arial"/>
                <w:b/>
                <w:bCs/>
                <w:color w:val="000000"/>
                <w:sz w:val="20"/>
                <w:szCs w:val="20"/>
              </w:rPr>
              <w:t>(12)</w:t>
            </w:r>
          </w:p>
        </w:tc>
        <w:tc>
          <w:tcPr>
            <w:tcW w:w="0" w:type="auto"/>
            <w:shd w:val="clear" w:color="auto" w:fill="FFFFFF"/>
            <w:tcMar>
              <w:top w:w="40" w:type="dxa"/>
              <w:left w:w="0" w:type="dxa"/>
              <w:bottom w:w="40" w:type="dxa"/>
              <w:right w:w="20" w:type="dxa"/>
            </w:tcMar>
            <w:vAlign w:val="bottom"/>
          </w:tcPr>
          <w:p w14:paraId="4090E88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8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82" w14:textId="77777777" w:rsidR="00833634" w:rsidRDefault="00E15D51">
            <w:pPr>
              <w:jc w:val="right"/>
              <w:textAlignment w:val="bottom"/>
            </w:pPr>
            <w:r>
              <w:rPr>
                <w:rFonts w:ascii="Arial" w:eastAsia="宋体" w:hAnsi="Arial" w:cs="Arial"/>
                <w:color w:val="000000"/>
                <w:sz w:val="20"/>
                <w:szCs w:val="20"/>
              </w:rPr>
              <w:t>(8)</w:t>
            </w:r>
          </w:p>
        </w:tc>
        <w:tc>
          <w:tcPr>
            <w:tcW w:w="0" w:type="auto"/>
            <w:shd w:val="clear" w:color="auto" w:fill="FFFFFF"/>
            <w:tcMar>
              <w:top w:w="40" w:type="dxa"/>
              <w:left w:w="0" w:type="dxa"/>
              <w:bottom w:w="40" w:type="dxa"/>
              <w:right w:w="20" w:type="dxa"/>
            </w:tcMar>
            <w:vAlign w:val="bottom"/>
          </w:tcPr>
          <w:p w14:paraId="4090E883" w14:textId="77777777" w:rsidR="00833634" w:rsidRDefault="00833634">
            <w:pPr>
              <w:jc w:val="right"/>
              <w:rPr>
                <w:rFonts w:ascii="宋体"/>
              </w:rPr>
            </w:pPr>
          </w:p>
        </w:tc>
      </w:tr>
      <w:tr w:rsidR="00833634" w14:paraId="4090E891" w14:textId="77777777">
        <w:trPr>
          <w:jc w:val="center"/>
        </w:trPr>
        <w:tc>
          <w:tcPr>
            <w:tcW w:w="0" w:type="auto"/>
            <w:gridSpan w:val="3"/>
            <w:shd w:val="clear" w:color="auto" w:fill="CCEEFF"/>
            <w:tcMar>
              <w:top w:w="40" w:type="dxa"/>
              <w:left w:w="20" w:type="dxa"/>
              <w:bottom w:w="40" w:type="dxa"/>
              <w:right w:w="20" w:type="dxa"/>
            </w:tcMar>
            <w:vAlign w:val="bottom"/>
          </w:tcPr>
          <w:p w14:paraId="4090E885" w14:textId="77777777" w:rsidR="00833634" w:rsidRDefault="00E15D51">
            <w:pPr>
              <w:textAlignment w:val="bottom"/>
            </w:pPr>
            <w:r>
              <w:rPr>
                <w:rFonts w:ascii="Arial" w:eastAsia="宋体" w:hAnsi="Arial" w:cs="Arial"/>
                <w:color w:val="000000"/>
                <w:sz w:val="20"/>
                <w:szCs w:val="20"/>
              </w:rPr>
              <w:t>Recognized net actuarial gain</w:t>
            </w:r>
          </w:p>
        </w:tc>
        <w:tc>
          <w:tcPr>
            <w:tcW w:w="0" w:type="auto"/>
            <w:gridSpan w:val="2"/>
            <w:shd w:val="clear" w:color="auto" w:fill="CCEEFF"/>
            <w:tcMar>
              <w:top w:w="40" w:type="dxa"/>
              <w:left w:w="20" w:type="dxa"/>
              <w:bottom w:w="40" w:type="dxa"/>
              <w:right w:w="0" w:type="dxa"/>
            </w:tcMar>
            <w:vAlign w:val="bottom"/>
          </w:tcPr>
          <w:p w14:paraId="4090E886" w14:textId="77777777" w:rsidR="00833634" w:rsidRDefault="00E15D51">
            <w:pPr>
              <w:jc w:val="right"/>
              <w:textAlignment w:val="bottom"/>
            </w:pPr>
            <w:r>
              <w:rPr>
                <w:rFonts w:ascii="Arial" w:eastAsia="宋体" w:hAnsi="Arial" w:cs="Arial"/>
                <w:b/>
                <w:bCs/>
                <w:color w:val="000000"/>
                <w:sz w:val="20"/>
                <w:szCs w:val="20"/>
              </w:rPr>
              <w:t>(33)</w:t>
            </w:r>
          </w:p>
        </w:tc>
        <w:tc>
          <w:tcPr>
            <w:tcW w:w="0" w:type="auto"/>
            <w:shd w:val="clear" w:color="auto" w:fill="CCEEFF"/>
            <w:tcMar>
              <w:top w:w="40" w:type="dxa"/>
              <w:left w:w="0" w:type="dxa"/>
              <w:bottom w:w="40" w:type="dxa"/>
              <w:right w:w="20" w:type="dxa"/>
            </w:tcMar>
            <w:vAlign w:val="bottom"/>
          </w:tcPr>
          <w:p w14:paraId="4090E88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88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889" w14:textId="77777777" w:rsidR="00833634" w:rsidRDefault="00E15D51">
            <w:pPr>
              <w:jc w:val="right"/>
              <w:textAlignment w:val="bottom"/>
            </w:pPr>
            <w:r>
              <w:rPr>
                <w:rFonts w:ascii="Arial" w:eastAsia="宋体" w:hAnsi="Arial" w:cs="Arial"/>
                <w:color w:val="000000"/>
                <w:sz w:val="20"/>
                <w:szCs w:val="20"/>
              </w:rPr>
              <w:t>(35)</w:t>
            </w:r>
          </w:p>
        </w:tc>
        <w:tc>
          <w:tcPr>
            <w:tcW w:w="0" w:type="auto"/>
            <w:shd w:val="clear" w:color="auto" w:fill="CCEEFF"/>
            <w:tcMar>
              <w:top w:w="40" w:type="dxa"/>
              <w:left w:w="0" w:type="dxa"/>
              <w:bottom w:w="40" w:type="dxa"/>
              <w:right w:w="20" w:type="dxa"/>
            </w:tcMar>
            <w:vAlign w:val="bottom"/>
          </w:tcPr>
          <w:p w14:paraId="4090E88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88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88C" w14:textId="77777777" w:rsidR="00833634" w:rsidRDefault="00E15D51">
            <w:pPr>
              <w:jc w:val="right"/>
              <w:textAlignment w:val="bottom"/>
            </w:pPr>
            <w:r>
              <w:rPr>
                <w:rFonts w:ascii="Arial" w:eastAsia="宋体" w:hAnsi="Arial" w:cs="Arial"/>
                <w:b/>
                <w:bCs/>
                <w:color w:val="000000"/>
                <w:sz w:val="20"/>
                <w:szCs w:val="20"/>
              </w:rPr>
              <w:t>(10)</w:t>
            </w:r>
          </w:p>
        </w:tc>
        <w:tc>
          <w:tcPr>
            <w:tcW w:w="0" w:type="auto"/>
            <w:shd w:val="clear" w:color="auto" w:fill="CCEEFF"/>
            <w:tcMar>
              <w:top w:w="40" w:type="dxa"/>
              <w:left w:w="0" w:type="dxa"/>
              <w:bottom w:w="40" w:type="dxa"/>
              <w:right w:w="20" w:type="dxa"/>
            </w:tcMar>
            <w:vAlign w:val="bottom"/>
          </w:tcPr>
          <w:p w14:paraId="4090E88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88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88F" w14:textId="77777777" w:rsidR="00833634" w:rsidRDefault="00E15D51">
            <w:pPr>
              <w:jc w:val="right"/>
              <w:textAlignment w:val="bottom"/>
            </w:pPr>
            <w:r>
              <w:rPr>
                <w:rFonts w:ascii="Arial" w:eastAsia="宋体" w:hAnsi="Arial" w:cs="Arial"/>
                <w:color w:val="000000"/>
                <w:sz w:val="20"/>
                <w:szCs w:val="20"/>
              </w:rPr>
              <w:t>(12)</w:t>
            </w:r>
          </w:p>
        </w:tc>
        <w:tc>
          <w:tcPr>
            <w:tcW w:w="0" w:type="auto"/>
            <w:shd w:val="clear" w:color="auto" w:fill="CCEEFF"/>
            <w:tcMar>
              <w:top w:w="40" w:type="dxa"/>
              <w:left w:w="0" w:type="dxa"/>
              <w:bottom w:w="40" w:type="dxa"/>
              <w:right w:w="20" w:type="dxa"/>
            </w:tcMar>
            <w:vAlign w:val="bottom"/>
          </w:tcPr>
          <w:p w14:paraId="4090E890" w14:textId="77777777" w:rsidR="00833634" w:rsidRDefault="00833634">
            <w:pPr>
              <w:jc w:val="right"/>
              <w:rPr>
                <w:rFonts w:ascii="宋体"/>
              </w:rPr>
            </w:pPr>
          </w:p>
        </w:tc>
      </w:tr>
      <w:tr w:rsidR="00833634" w14:paraId="4090E89C" w14:textId="77777777">
        <w:trPr>
          <w:jc w:val="center"/>
        </w:trPr>
        <w:tc>
          <w:tcPr>
            <w:tcW w:w="0" w:type="auto"/>
            <w:gridSpan w:val="3"/>
            <w:shd w:val="clear" w:color="auto" w:fill="FFFFFF"/>
            <w:tcMar>
              <w:top w:w="40" w:type="dxa"/>
              <w:left w:w="20" w:type="dxa"/>
              <w:bottom w:w="40" w:type="dxa"/>
              <w:right w:w="20" w:type="dxa"/>
            </w:tcMar>
            <w:vAlign w:val="bottom"/>
          </w:tcPr>
          <w:p w14:paraId="4090E892" w14:textId="77777777" w:rsidR="00833634" w:rsidRDefault="00E15D51">
            <w:pPr>
              <w:textAlignment w:val="bottom"/>
            </w:pPr>
            <w:r>
              <w:rPr>
                <w:rFonts w:ascii="Arial" w:eastAsia="宋体" w:hAnsi="Arial" w:cs="Arial"/>
                <w:color w:val="000000"/>
                <w:sz w:val="20"/>
                <w:szCs w:val="20"/>
              </w:rPr>
              <w:t>Settlement/curtailment/other losses</w:t>
            </w:r>
          </w:p>
        </w:tc>
        <w:tc>
          <w:tcPr>
            <w:tcW w:w="0" w:type="auto"/>
            <w:gridSpan w:val="2"/>
            <w:shd w:val="clear" w:color="auto" w:fill="FFFFFF"/>
            <w:tcMar>
              <w:top w:w="40" w:type="dxa"/>
              <w:left w:w="20" w:type="dxa"/>
              <w:bottom w:w="40" w:type="dxa"/>
              <w:right w:w="0" w:type="dxa"/>
            </w:tcMar>
            <w:vAlign w:val="bottom"/>
          </w:tcPr>
          <w:p w14:paraId="4090E893" w14:textId="77777777" w:rsidR="00833634" w:rsidRDefault="00E15D51">
            <w:pPr>
              <w:jc w:val="right"/>
              <w:textAlignment w:val="bottom"/>
            </w:pPr>
            <w:r>
              <w:rPr>
                <w:rFonts w:ascii="Arial" w:eastAsia="宋体" w:hAnsi="Arial" w:cs="Arial"/>
                <w:b/>
                <w:bCs/>
                <w:color w:val="000000"/>
                <w:sz w:val="20"/>
                <w:szCs w:val="20"/>
              </w:rPr>
              <w:t>(2)</w:t>
            </w:r>
          </w:p>
        </w:tc>
        <w:tc>
          <w:tcPr>
            <w:tcW w:w="0" w:type="auto"/>
            <w:shd w:val="clear" w:color="auto" w:fill="FFFFFF"/>
            <w:tcMar>
              <w:top w:w="40" w:type="dxa"/>
              <w:left w:w="0" w:type="dxa"/>
              <w:bottom w:w="40" w:type="dxa"/>
              <w:right w:w="20" w:type="dxa"/>
            </w:tcMar>
            <w:vAlign w:val="bottom"/>
          </w:tcPr>
          <w:p w14:paraId="4090E89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9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89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89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98" w14:textId="77777777" w:rsidR="00833634" w:rsidRDefault="00E15D51">
            <w:pPr>
              <w:jc w:val="right"/>
              <w:textAlignment w:val="bottom"/>
            </w:pPr>
            <w:r>
              <w:rPr>
                <w:rFonts w:ascii="Arial" w:eastAsia="宋体" w:hAnsi="Arial" w:cs="Arial"/>
                <w:b/>
                <w:bCs/>
                <w:color w:val="000000"/>
                <w:sz w:val="20"/>
                <w:szCs w:val="20"/>
              </w:rPr>
              <w:t>(2)</w:t>
            </w:r>
          </w:p>
        </w:tc>
        <w:tc>
          <w:tcPr>
            <w:tcW w:w="0" w:type="auto"/>
            <w:shd w:val="clear" w:color="auto" w:fill="FFFFFF"/>
            <w:tcMar>
              <w:top w:w="40" w:type="dxa"/>
              <w:left w:w="0" w:type="dxa"/>
              <w:bottom w:w="40" w:type="dxa"/>
              <w:right w:w="20" w:type="dxa"/>
            </w:tcMar>
            <w:vAlign w:val="bottom"/>
          </w:tcPr>
          <w:p w14:paraId="4090E89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9A"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89B" w14:textId="77777777" w:rsidR="00833634" w:rsidRDefault="00833634">
            <w:pPr>
              <w:rPr>
                <w:rFonts w:ascii="宋体"/>
              </w:rPr>
            </w:pPr>
          </w:p>
        </w:tc>
      </w:tr>
      <w:tr w:rsidR="00833634" w14:paraId="4090E8A9"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89D" w14:textId="77777777" w:rsidR="00833634" w:rsidRDefault="00E15D51">
            <w:pPr>
              <w:textAlignment w:val="bottom"/>
            </w:pPr>
            <w:r>
              <w:rPr>
                <w:rFonts w:ascii="Arial" w:eastAsia="宋体" w:hAnsi="Arial" w:cs="Arial"/>
                <w:color w:val="000000"/>
                <w:sz w:val="20"/>
                <w:szCs w:val="20"/>
              </w:rPr>
              <w:t>Net periodic benefit cost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89E" w14:textId="77777777" w:rsidR="00833634" w:rsidRDefault="00E15D51">
            <w:pPr>
              <w:jc w:val="right"/>
              <w:textAlignment w:val="bottom"/>
            </w:pPr>
            <w:r>
              <w:rPr>
                <w:rFonts w:ascii="Arial" w:eastAsia="宋体" w:hAnsi="Arial" w:cs="Arial"/>
                <w:b/>
                <w:bCs/>
                <w:color w:val="000000"/>
                <w:sz w:val="20"/>
                <w:szCs w:val="20"/>
              </w:rPr>
              <w:t>$102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89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8A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8A1" w14:textId="77777777" w:rsidR="00833634" w:rsidRDefault="00E15D51">
            <w:pPr>
              <w:jc w:val="right"/>
              <w:textAlignment w:val="bottom"/>
            </w:pPr>
            <w:r>
              <w:rPr>
                <w:rFonts w:ascii="Arial" w:eastAsia="宋体" w:hAnsi="Arial" w:cs="Arial"/>
                <w:color w:val="000000"/>
                <w:sz w:val="20"/>
                <w:szCs w:val="20"/>
              </w:rPr>
              <w:t>$138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8A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8A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8A4" w14:textId="77777777" w:rsidR="00833634" w:rsidRDefault="00E15D51">
            <w:pPr>
              <w:jc w:val="right"/>
              <w:textAlignment w:val="bottom"/>
            </w:pPr>
            <w:r>
              <w:rPr>
                <w:rFonts w:ascii="Arial" w:eastAsia="宋体" w:hAnsi="Arial" w:cs="Arial"/>
                <w:b/>
                <w:bCs/>
                <w:color w:val="000000"/>
                <w:sz w:val="20"/>
                <w:szCs w:val="20"/>
              </w:rPr>
              <w:t>$32</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8A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8A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8A7" w14:textId="77777777" w:rsidR="00833634" w:rsidRDefault="00E15D51">
            <w:pPr>
              <w:jc w:val="right"/>
              <w:textAlignment w:val="bottom"/>
            </w:pPr>
            <w:r>
              <w:rPr>
                <w:rFonts w:ascii="Arial" w:eastAsia="宋体" w:hAnsi="Arial" w:cs="Arial"/>
                <w:color w:val="000000"/>
                <w:sz w:val="20"/>
                <w:szCs w:val="20"/>
              </w:rPr>
              <w:t>$46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8A8" w14:textId="77777777" w:rsidR="00833634" w:rsidRDefault="00833634">
            <w:pPr>
              <w:jc w:val="right"/>
              <w:rPr>
                <w:rFonts w:ascii="宋体"/>
              </w:rPr>
            </w:pPr>
          </w:p>
        </w:tc>
      </w:tr>
      <w:tr w:rsidR="00833634" w14:paraId="4090E8B2" w14:textId="77777777">
        <w:trPr>
          <w:trHeight w:val="240"/>
          <w:jc w:val="center"/>
        </w:trPr>
        <w:tc>
          <w:tcPr>
            <w:tcW w:w="0" w:type="auto"/>
            <w:gridSpan w:val="3"/>
            <w:tcBorders>
              <w:top w:val="double" w:sz="6" w:space="0" w:color="000000"/>
            </w:tcBorders>
            <w:shd w:val="clear" w:color="auto" w:fill="FFFFFF"/>
            <w:tcMar>
              <w:top w:w="0" w:type="dxa"/>
              <w:left w:w="20" w:type="dxa"/>
              <w:bottom w:w="0" w:type="dxa"/>
              <w:right w:w="20" w:type="dxa"/>
            </w:tcMar>
          </w:tcPr>
          <w:p w14:paraId="4090E8AA"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8AB"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8AC"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8AD"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8AE"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8AF"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8B0"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8B1" w14:textId="77777777" w:rsidR="00833634" w:rsidRDefault="00833634">
            <w:pPr>
              <w:rPr>
                <w:rFonts w:ascii="宋体"/>
              </w:rPr>
            </w:pPr>
          </w:p>
        </w:tc>
      </w:tr>
      <w:tr w:rsidR="00833634" w14:paraId="4090E8BF" w14:textId="77777777">
        <w:trPr>
          <w:jc w:val="center"/>
        </w:trPr>
        <w:tc>
          <w:tcPr>
            <w:tcW w:w="0" w:type="auto"/>
            <w:gridSpan w:val="3"/>
            <w:shd w:val="clear" w:color="auto" w:fill="CCEEFF"/>
            <w:tcMar>
              <w:top w:w="40" w:type="dxa"/>
              <w:left w:w="180" w:type="dxa"/>
              <w:bottom w:w="40" w:type="dxa"/>
              <w:right w:w="20" w:type="dxa"/>
            </w:tcMar>
            <w:vAlign w:val="bottom"/>
          </w:tcPr>
          <w:p w14:paraId="4090E8B3" w14:textId="77777777" w:rsidR="00833634" w:rsidRDefault="00E15D51">
            <w:pPr>
              <w:ind w:hanging="180"/>
              <w:textAlignment w:val="bottom"/>
            </w:pPr>
            <w:r>
              <w:rPr>
                <w:rFonts w:ascii="Arial" w:eastAsia="宋体" w:hAnsi="Arial" w:cs="Arial"/>
                <w:color w:val="000000"/>
                <w:sz w:val="20"/>
                <w:szCs w:val="20"/>
              </w:rPr>
              <w:t>Net periodic benefit cost included in (Loss)/earnings from operations</w:t>
            </w:r>
          </w:p>
        </w:tc>
        <w:tc>
          <w:tcPr>
            <w:tcW w:w="0" w:type="auto"/>
            <w:gridSpan w:val="2"/>
            <w:shd w:val="clear" w:color="auto" w:fill="CCEEFF"/>
            <w:tcMar>
              <w:top w:w="40" w:type="dxa"/>
              <w:left w:w="20" w:type="dxa"/>
              <w:bottom w:w="40" w:type="dxa"/>
              <w:right w:w="0" w:type="dxa"/>
            </w:tcMar>
            <w:vAlign w:val="bottom"/>
          </w:tcPr>
          <w:p w14:paraId="4090E8B4" w14:textId="77777777" w:rsidR="00833634" w:rsidRDefault="00E15D51">
            <w:pPr>
              <w:jc w:val="right"/>
              <w:textAlignment w:val="bottom"/>
            </w:pPr>
            <w:r>
              <w:rPr>
                <w:rFonts w:ascii="Arial" w:eastAsia="宋体" w:hAnsi="Arial" w:cs="Arial"/>
                <w:b/>
                <w:bCs/>
                <w:color w:val="000000"/>
                <w:sz w:val="20"/>
                <w:szCs w:val="20"/>
              </w:rPr>
              <w:t>$67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8B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8B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8B7" w14:textId="77777777" w:rsidR="00833634" w:rsidRDefault="00E15D51">
            <w:pPr>
              <w:jc w:val="right"/>
              <w:textAlignment w:val="bottom"/>
            </w:pPr>
            <w:r>
              <w:rPr>
                <w:rFonts w:ascii="Arial" w:eastAsia="宋体" w:hAnsi="Arial" w:cs="Arial"/>
                <w:color w:val="000000"/>
                <w:sz w:val="20"/>
                <w:szCs w:val="20"/>
              </w:rPr>
              <w:t>$66 </w:t>
            </w:r>
          </w:p>
        </w:tc>
        <w:tc>
          <w:tcPr>
            <w:tcW w:w="0" w:type="auto"/>
            <w:shd w:val="clear" w:color="auto" w:fill="CCEEFF"/>
            <w:tcMar>
              <w:top w:w="40" w:type="dxa"/>
              <w:left w:w="0" w:type="dxa"/>
              <w:bottom w:w="40" w:type="dxa"/>
              <w:right w:w="20" w:type="dxa"/>
            </w:tcMar>
            <w:vAlign w:val="bottom"/>
          </w:tcPr>
          <w:p w14:paraId="4090E8B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8B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8BA" w14:textId="77777777" w:rsidR="00833634" w:rsidRDefault="00E15D51">
            <w:pPr>
              <w:jc w:val="right"/>
              <w:textAlignment w:val="bottom"/>
            </w:pPr>
            <w:r>
              <w:rPr>
                <w:rFonts w:ascii="Arial" w:eastAsia="宋体" w:hAnsi="Arial" w:cs="Arial"/>
                <w:b/>
                <w:bCs/>
                <w:color w:val="000000"/>
                <w:sz w:val="20"/>
                <w:szCs w:val="20"/>
              </w:rPr>
              <w:t>$23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8B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8B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8BD" w14:textId="77777777" w:rsidR="00833634" w:rsidRDefault="00E15D51">
            <w:pPr>
              <w:jc w:val="right"/>
              <w:textAlignment w:val="bottom"/>
            </w:pPr>
            <w:r>
              <w:rPr>
                <w:rFonts w:ascii="Arial" w:eastAsia="宋体" w:hAnsi="Arial" w:cs="Arial"/>
                <w:color w:val="000000"/>
                <w:sz w:val="20"/>
                <w:szCs w:val="20"/>
              </w:rPr>
              <w:t>$21 </w:t>
            </w:r>
          </w:p>
        </w:tc>
        <w:tc>
          <w:tcPr>
            <w:tcW w:w="0" w:type="auto"/>
            <w:shd w:val="clear" w:color="auto" w:fill="CCEEFF"/>
            <w:tcMar>
              <w:top w:w="40" w:type="dxa"/>
              <w:left w:w="0" w:type="dxa"/>
              <w:bottom w:w="40" w:type="dxa"/>
              <w:right w:w="20" w:type="dxa"/>
            </w:tcMar>
            <w:vAlign w:val="bottom"/>
          </w:tcPr>
          <w:p w14:paraId="4090E8BE" w14:textId="77777777" w:rsidR="00833634" w:rsidRDefault="00833634">
            <w:pPr>
              <w:jc w:val="right"/>
              <w:rPr>
                <w:rFonts w:ascii="宋体"/>
              </w:rPr>
            </w:pPr>
          </w:p>
        </w:tc>
      </w:tr>
      <w:tr w:rsidR="00833634" w14:paraId="4090E8CC" w14:textId="77777777">
        <w:trPr>
          <w:jc w:val="center"/>
        </w:trPr>
        <w:tc>
          <w:tcPr>
            <w:tcW w:w="0" w:type="auto"/>
            <w:gridSpan w:val="3"/>
            <w:shd w:val="clear" w:color="auto" w:fill="FFFFFF"/>
            <w:tcMar>
              <w:top w:w="40" w:type="dxa"/>
              <w:left w:w="20" w:type="dxa"/>
              <w:bottom w:w="40" w:type="dxa"/>
              <w:right w:w="20" w:type="dxa"/>
            </w:tcMar>
            <w:vAlign w:val="bottom"/>
          </w:tcPr>
          <w:p w14:paraId="4090E8C0" w14:textId="77777777" w:rsidR="00833634" w:rsidRDefault="00E15D51">
            <w:pPr>
              <w:ind w:hanging="180"/>
              <w:textAlignment w:val="bottom"/>
            </w:pPr>
            <w:r>
              <w:rPr>
                <w:rFonts w:ascii="Arial" w:eastAsia="宋体" w:hAnsi="Arial" w:cs="Arial"/>
                <w:color w:val="000000"/>
                <w:sz w:val="20"/>
                <w:szCs w:val="20"/>
              </w:rPr>
              <w:t>Net periodic benefit cost included in Other income, net</w:t>
            </w:r>
          </w:p>
        </w:tc>
        <w:tc>
          <w:tcPr>
            <w:tcW w:w="0" w:type="auto"/>
            <w:gridSpan w:val="2"/>
            <w:shd w:val="clear" w:color="auto" w:fill="FFFFFF"/>
            <w:tcMar>
              <w:top w:w="40" w:type="dxa"/>
              <w:left w:w="20" w:type="dxa"/>
              <w:bottom w:w="40" w:type="dxa"/>
              <w:right w:w="0" w:type="dxa"/>
            </w:tcMar>
            <w:vAlign w:val="bottom"/>
          </w:tcPr>
          <w:p w14:paraId="4090E8C1" w14:textId="77777777" w:rsidR="00833634" w:rsidRDefault="00E15D51">
            <w:pPr>
              <w:jc w:val="right"/>
              <w:textAlignment w:val="bottom"/>
            </w:pPr>
            <w:r>
              <w:rPr>
                <w:rFonts w:ascii="Arial" w:eastAsia="宋体" w:hAnsi="Arial" w:cs="Arial"/>
                <w:b/>
                <w:bCs/>
                <w:color w:val="000000"/>
                <w:sz w:val="20"/>
                <w:szCs w:val="20"/>
              </w:rPr>
              <w:t>37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8C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C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C4" w14:textId="77777777" w:rsidR="00833634" w:rsidRDefault="00E15D51">
            <w:pPr>
              <w:jc w:val="right"/>
              <w:textAlignment w:val="bottom"/>
            </w:pPr>
            <w:r>
              <w:rPr>
                <w:rFonts w:ascii="Arial" w:eastAsia="宋体" w:hAnsi="Arial" w:cs="Arial"/>
                <w:color w:val="000000"/>
                <w:sz w:val="20"/>
                <w:szCs w:val="20"/>
              </w:rPr>
              <w:t>80 </w:t>
            </w:r>
          </w:p>
        </w:tc>
        <w:tc>
          <w:tcPr>
            <w:tcW w:w="0" w:type="auto"/>
            <w:shd w:val="clear" w:color="auto" w:fill="FFFFFF"/>
            <w:tcMar>
              <w:top w:w="40" w:type="dxa"/>
              <w:left w:w="0" w:type="dxa"/>
              <w:bottom w:w="40" w:type="dxa"/>
              <w:right w:w="20" w:type="dxa"/>
            </w:tcMar>
            <w:vAlign w:val="bottom"/>
          </w:tcPr>
          <w:p w14:paraId="4090E8C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C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C7" w14:textId="77777777" w:rsidR="00833634" w:rsidRDefault="00E15D51">
            <w:pPr>
              <w:jc w:val="right"/>
              <w:textAlignment w:val="bottom"/>
            </w:pPr>
            <w:r>
              <w:rPr>
                <w:rFonts w:ascii="Arial" w:eastAsia="宋体" w:hAnsi="Arial" w:cs="Arial"/>
                <w:b/>
                <w:bCs/>
                <w:color w:val="000000"/>
                <w:sz w:val="20"/>
                <w:szCs w:val="20"/>
              </w:rPr>
              <w:t>10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8C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8C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8CA" w14:textId="77777777" w:rsidR="00833634" w:rsidRDefault="00E15D51">
            <w:pPr>
              <w:jc w:val="right"/>
              <w:textAlignment w:val="bottom"/>
            </w:pPr>
            <w:r>
              <w:rPr>
                <w:rFonts w:ascii="Arial" w:eastAsia="宋体" w:hAnsi="Arial" w:cs="Arial"/>
                <w:color w:val="000000"/>
                <w:sz w:val="20"/>
                <w:szCs w:val="20"/>
              </w:rPr>
              <w:t>27 </w:t>
            </w:r>
          </w:p>
        </w:tc>
        <w:tc>
          <w:tcPr>
            <w:tcW w:w="0" w:type="auto"/>
            <w:shd w:val="clear" w:color="auto" w:fill="FFFFFF"/>
            <w:tcMar>
              <w:top w:w="40" w:type="dxa"/>
              <w:left w:w="0" w:type="dxa"/>
              <w:bottom w:w="40" w:type="dxa"/>
              <w:right w:w="20" w:type="dxa"/>
            </w:tcMar>
            <w:vAlign w:val="bottom"/>
          </w:tcPr>
          <w:p w14:paraId="4090E8CB" w14:textId="77777777" w:rsidR="00833634" w:rsidRDefault="00833634">
            <w:pPr>
              <w:jc w:val="right"/>
              <w:rPr>
                <w:rFonts w:ascii="宋体"/>
              </w:rPr>
            </w:pPr>
          </w:p>
        </w:tc>
      </w:tr>
      <w:tr w:rsidR="00833634" w14:paraId="4090E8D9" w14:textId="77777777">
        <w:trPr>
          <w:jc w:val="center"/>
        </w:trPr>
        <w:tc>
          <w:tcPr>
            <w:tcW w:w="0" w:type="auto"/>
            <w:gridSpan w:val="3"/>
            <w:tcBorders>
              <w:top w:val="single" w:sz="8" w:space="0" w:color="000000"/>
              <w:bottom w:val="double" w:sz="6" w:space="0" w:color="000000"/>
            </w:tcBorders>
            <w:shd w:val="clear" w:color="auto" w:fill="CCEEFF"/>
            <w:tcMar>
              <w:top w:w="40" w:type="dxa"/>
              <w:left w:w="180" w:type="dxa"/>
              <w:bottom w:w="40" w:type="dxa"/>
              <w:right w:w="20" w:type="dxa"/>
            </w:tcMar>
            <w:vAlign w:val="bottom"/>
          </w:tcPr>
          <w:p w14:paraId="4090E8CD" w14:textId="77777777" w:rsidR="00833634" w:rsidRDefault="00E15D51">
            <w:pPr>
              <w:ind w:hanging="180"/>
              <w:textAlignment w:val="bottom"/>
            </w:pPr>
            <w:r>
              <w:rPr>
                <w:rFonts w:ascii="Arial" w:eastAsia="宋体" w:hAnsi="Arial" w:cs="Arial"/>
                <w:color w:val="000000"/>
                <w:sz w:val="20"/>
                <w:szCs w:val="20"/>
              </w:rPr>
              <w:t>Net periodic benefit cost included in (Loss)/earnings before income taxes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8CE" w14:textId="77777777" w:rsidR="00833634" w:rsidRDefault="00E15D51">
            <w:pPr>
              <w:jc w:val="right"/>
              <w:textAlignment w:val="bottom"/>
            </w:pPr>
            <w:r>
              <w:rPr>
                <w:rFonts w:ascii="Arial" w:eastAsia="宋体" w:hAnsi="Arial" w:cs="Arial"/>
                <w:b/>
                <w:bCs/>
                <w:color w:val="000000"/>
                <w:sz w:val="20"/>
                <w:szCs w:val="20"/>
              </w:rPr>
              <w:t>$104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8CF"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8D0"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8D1" w14:textId="77777777" w:rsidR="00833634" w:rsidRDefault="00E15D51">
            <w:pPr>
              <w:jc w:val="right"/>
              <w:textAlignment w:val="bottom"/>
            </w:pPr>
            <w:r>
              <w:rPr>
                <w:rFonts w:ascii="Arial" w:eastAsia="宋体" w:hAnsi="Arial" w:cs="Arial"/>
                <w:color w:val="000000"/>
                <w:sz w:val="20"/>
                <w:szCs w:val="20"/>
              </w:rPr>
              <w:t>$146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8D2"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8D3"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8D4" w14:textId="77777777" w:rsidR="00833634" w:rsidRDefault="00E15D51">
            <w:pPr>
              <w:jc w:val="right"/>
              <w:textAlignment w:val="bottom"/>
            </w:pPr>
            <w:r>
              <w:rPr>
                <w:rFonts w:ascii="Arial" w:eastAsia="宋体" w:hAnsi="Arial" w:cs="Arial"/>
                <w:b/>
                <w:bCs/>
                <w:color w:val="000000"/>
                <w:sz w:val="20"/>
                <w:szCs w:val="20"/>
              </w:rPr>
              <w:t>$33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8D5"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8D6"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8D7" w14:textId="77777777" w:rsidR="00833634" w:rsidRDefault="00E15D51">
            <w:pPr>
              <w:jc w:val="right"/>
              <w:textAlignment w:val="bottom"/>
            </w:pPr>
            <w:r>
              <w:rPr>
                <w:rFonts w:ascii="Arial" w:eastAsia="宋体" w:hAnsi="Arial" w:cs="Arial"/>
                <w:color w:val="000000"/>
                <w:sz w:val="20"/>
                <w:szCs w:val="20"/>
              </w:rPr>
              <w:t>$48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8D8" w14:textId="77777777" w:rsidR="00833634" w:rsidRDefault="00833634">
            <w:pPr>
              <w:jc w:val="right"/>
              <w:rPr>
                <w:rFonts w:ascii="宋体"/>
              </w:rPr>
            </w:pPr>
          </w:p>
        </w:tc>
      </w:tr>
    </w:tbl>
    <w:p w14:paraId="4090E8DA" w14:textId="77777777" w:rsidR="00833634" w:rsidRDefault="00E15D51">
      <w:pPr>
        <w:spacing w:after="300"/>
      </w:pPr>
      <w:r>
        <w:rPr>
          <w:rFonts w:ascii="Arial" w:eastAsia="宋体" w:hAnsi="Arial" w:cs="Arial"/>
          <w:color w:val="000000"/>
          <w:sz w:val="20"/>
          <w:szCs w:val="20"/>
        </w:rPr>
        <w:t>We plan to make contributions to our pension plans during the fourth quarter of $3,000 in Boeing common stock.</w:t>
      </w:r>
    </w:p>
    <w:p w14:paraId="4090E8DB" w14:textId="77777777" w:rsidR="00833634" w:rsidRDefault="00E15D51">
      <w:pPr>
        <w:spacing w:after="180"/>
        <w:jc w:val="center"/>
      </w:pPr>
      <w:r>
        <w:rPr>
          <w:rFonts w:ascii="Arial" w:eastAsia="宋体" w:hAnsi="Arial" w:cs="Arial"/>
          <w:color w:val="000000"/>
          <w:sz w:val="18"/>
          <w:szCs w:val="18"/>
        </w:rPr>
        <w:t>24</w:t>
      </w:r>
    </w:p>
    <w:p w14:paraId="4090E8DC" w14:textId="77777777" w:rsidR="00833634" w:rsidRDefault="00E15D51">
      <w:r>
        <w:pict w14:anchorId="4090FE38">
          <v:rect id="_x0000_i1050" style="width:415.3pt;height:1.5pt" o:hralign="center" o:hrstd="t" o:hr="t" fillcolor="#a0a0a0" stroked="f"/>
        </w:pict>
      </w:r>
    </w:p>
    <w:p w14:paraId="4090E8DD" w14:textId="77777777" w:rsidR="00833634" w:rsidRDefault="00E15D51">
      <w:pPr>
        <w:spacing w:after="180"/>
        <w:jc w:val="both"/>
      </w:pPr>
      <w:hyperlink r:id="rId127" w:anchor="i8d805bfb1e1c4815a1dcd5b6d1e0b117_10" w:history="1">
        <w:r>
          <w:rPr>
            <w:rStyle w:val="a5"/>
            <w:rFonts w:ascii="Arial" w:eastAsia="宋体" w:hAnsi="Arial" w:cs="Arial"/>
            <w:sz w:val="18"/>
            <w:szCs w:val="18"/>
          </w:rPr>
          <w:t>Table of Contents</w:t>
        </w:r>
      </w:hyperlink>
    </w:p>
    <w:p w14:paraId="4090E8DE" w14:textId="77777777" w:rsidR="00833634" w:rsidRDefault="00E15D51">
      <w:pPr>
        <w:spacing w:before="300" w:after="180"/>
        <w:jc w:val="both"/>
      </w:pPr>
      <w:r>
        <w:rPr>
          <w:rFonts w:ascii="Arial" w:eastAsia="宋体" w:hAnsi="Arial" w:cs="Arial"/>
          <w:b/>
          <w:bCs/>
          <w:color w:val="000000"/>
          <w:sz w:val="20"/>
          <w:szCs w:val="20"/>
        </w:rPr>
        <w:t>Note 14 – Share-Based Compensation and Other Compensation Arrangements</w:t>
      </w:r>
    </w:p>
    <w:p w14:paraId="4090E8DF" w14:textId="77777777" w:rsidR="00833634" w:rsidRDefault="00E15D51">
      <w:pPr>
        <w:spacing w:after="180"/>
        <w:jc w:val="both"/>
      </w:pPr>
      <w:r>
        <w:rPr>
          <w:rFonts w:ascii="Arial" w:eastAsia="宋体" w:hAnsi="Arial" w:cs="Arial"/>
          <w:b/>
          <w:bCs/>
          <w:color w:val="000000"/>
          <w:sz w:val="20"/>
          <w:szCs w:val="20"/>
        </w:rPr>
        <w:t>Restricted Stoc</w:t>
      </w:r>
      <w:r>
        <w:rPr>
          <w:rFonts w:ascii="Arial" w:eastAsia="宋体" w:hAnsi="Arial" w:cs="Arial"/>
          <w:b/>
          <w:bCs/>
          <w:color w:val="000000"/>
          <w:sz w:val="20"/>
          <w:szCs w:val="20"/>
        </w:rPr>
        <w:t>k Units</w:t>
      </w:r>
    </w:p>
    <w:p w14:paraId="4090E8E0" w14:textId="77777777" w:rsidR="00833634" w:rsidRDefault="00E15D51">
      <w:pPr>
        <w:spacing w:after="180"/>
        <w:jc w:val="both"/>
      </w:pPr>
      <w:r>
        <w:rPr>
          <w:rFonts w:ascii="Arial" w:eastAsia="宋体" w:hAnsi="Arial" w:cs="Arial"/>
          <w:color w:val="000000"/>
          <w:sz w:val="20"/>
          <w:szCs w:val="20"/>
        </w:rPr>
        <w:t>On February 24, 2020, we granted to our executives 325,108 restricted stock units (RSUs) as part of our long-term incentive program with a grant date fair value of $319.04 per unit. The RSUs granted under this program will vest and settle in common</w:t>
      </w:r>
      <w:r>
        <w:rPr>
          <w:rFonts w:ascii="Arial" w:eastAsia="宋体" w:hAnsi="Arial" w:cs="Arial"/>
          <w:color w:val="000000"/>
          <w:sz w:val="20"/>
          <w:szCs w:val="20"/>
        </w:rPr>
        <w:t xml:space="preserve"> stock (on a one-for-one basis) on the third anniversary of the grant date.</w:t>
      </w:r>
    </w:p>
    <w:p w14:paraId="4090E8E1" w14:textId="77777777" w:rsidR="00833634" w:rsidRDefault="00E15D51">
      <w:pPr>
        <w:spacing w:after="180"/>
        <w:jc w:val="both"/>
      </w:pPr>
      <w:r>
        <w:rPr>
          <w:rFonts w:ascii="Arial" w:eastAsia="宋体" w:hAnsi="Arial" w:cs="Arial"/>
          <w:b/>
          <w:bCs/>
          <w:color w:val="000000"/>
          <w:sz w:val="20"/>
          <w:szCs w:val="20"/>
        </w:rPr>
        <w:t>Performance-Based Restricted Stock Units</w:t>
      </w:r>
    </w:p>
    <w:p w14:paraId="4090E8E2" w14:textId="77777777" w:rsidR="00833634" w:rsidRDefault="00E15D51">
      <w:pPr>
        <w:spacing w:after="180"/>
        <w:jc w:val="both"/>
      </w:pPr>
      <w:r>
        <w:rPr>
          <w:rFonts w:ascii="Arial" w:eastAsia="宋体" w:hAnsi="Arial" w:cs="Arial"/>
          <w:color w:val="000000"/>
          <w:sz w:val="20"/>
          <w:szCs w:val="20"/>
        </w:rPr>
        <w:t>On February 24, 2020, we granted to our executives 290,202 performance-based restricted stock units (PBRSUs) as part of our long-term incen</w:t>
      </w:r>
      <w:r>
        <w:rPr>
          <w:rFonts w:ascii="Arial" w:eastAsia="宋体" w:hAnsi="Arial" w:cs="Arial"/>
          <w:color w:val="000000"/>
          <w:sz w:val="20"/>
          <w:szCs w:val="20"/>
        </w:rPr>
        <w:t>tive program with a grant date fair value of $357.38 per unit. Compensation expense for the award is recognized over the three-year performance period based upon the grant date fair value estimated using a Monte-Carlo simulation model. The model used the f</w:t>
      </w:r>
      <w:r>
        <w:rPr>
          <w:rFonts w:ascii="Arial" w:eastAsia="宋体" w:hAnsi="Arial" w:cs="Arial"/>
          <w:color w:val="000000"/>
          <w:sz w:val="20"/>
          <w:szCs w:val="20"/>
        </w:rPr>
        <w:t>ollowing assumptions: expected volatility of 27.04% based upon historical stock volatility, a risk-free interest rate of 1.21%, and no expected dividend yield because the units earn dividend equivalents.</w:t>
      </w:r>
    </w:p>
    <w:p w14:paraId="4090E8E3" w14:textId="77777777" w:rsidR="00833634" w:rsidRDefault="00E15D51">
      <w:pPr>
        <w:spacing w:after="180"/>
        <w:jc w:val="both"/>
      </w:pPr>
      <w:r>
        <w:rPr>
          <w:rFonts w:ascii="Arial" w:eastAsia="宋体" w:hAnsi="Arial" w:cs="Arial"/>
          <w:b/>
          <w:bCs/>
          <w:color w:val="000000"/>
          <w:sz w:val="20"/>
          <w:szCs w:val="20"/>
        </w:rPr>
        <w:t>Performance Awards</w:t>
      </w:r>
    </w:p>
    <w:p w14:paraId="4090E8E4" w14:textId="77777777" w:rsidR="00833634" w:rsidRDefault="00E15D51">
      <w:pPr>
        <w:spacing w:after="300"/>
        <w:jc w:val="both"/>
      </w:pPr>
      <w:r>
        <w:rPr>
          <w:rFonts w:ascii="Arial" w:eastAsia="宋体" w:hAnsi="Arial" w:cs="Arial"/>
          <w:color w:val="000000"/>
          <w:sz w:val="20"/>
          <w:szCs w:val="20"/>
        </w:rPr>
        <w:t xml:space="preserve">On February 28, 2020, we </w:t>
      </w:r>
      <w:r>
        <w:rPr>
          <w:rFonts w:ascii="Arial" w:eastAsia="宋体" w:hAnsi="Arial" w:cs="Arial"/>
          <w:color w:val="000000"/>
          <w:sz w:val="20"/>
          <w:szCs w:val="20"/>
        </w:rPr>
        <w:t>granted to our executives performance awards as part of our long-term incentive program with a payout based on the achievement of financial goals for the three-year period ending December 31, 2022. At September 30, 2020, the minimum payout amount is $0 and</w:t>
      </w:r>
      <w:r>
        <w:rPr>
          <w:rFonts w:ascii="Arial" w:eastAsia="宋体" w:hAnsi="Arial" w:cs="Arial"/>
          <w:color w:val="000000"/>
          <w:sz w:val="20"/>
          <w:szCs w:val="20"/>
        </w:rPr>
        <w:t xml:space="preserve"> the maximum amount we could be required to pay out is $297.</w:t>
      </w:r>
    </w:p>
    <w:p w14:paraId="4090E8E5" w14:textId="77777777" w:rsidR="00833634" w:rsidRDefault="00E15D51">
      <w:pPr>
        <w:spacing w:after="180"/>
        <w:jc w:val="center"/>
      </w:pPr>
      <w:r>
        <w:rPr>
          <w:rFonts w:ascii="Arial" w:eastAsia="宋体" w:hAnsi="Arial" w:cs="Arial"/>
          <w:color w:val="000000"/>
          <w:sz w:val="18"/>
          <w:szCs w:val="18"/>
        </w:rPr>
        <w:t>25</w:t>
      </w:r>
    </w:p>
    <w:p w14:paraId="4090E8E6" w14:textId="77777777" w:rsidR="00833634" w:rsidRDefault="00E15D51">
      <w:r>
        <w:pict w14:anchorId="4090FE39">
          <v:rect id="_x0000_i1051" style="width:415.3pt;height:1.5pt" o:hralign="center" o:hrstd="t" o:hr="t" fillcolor="#a0a0a0" stroked="f"/>
        </w:pict>
      </w:r>
    </w:p>
    <w:p w14:paraId="4090E8E7" w14:textId="77777777" w:rsidR="00833634" w:rsidRDefault="00E15D51">
      <w:pPr>
        <w:spacing w:after="180"/>
        <w:jc w:val="both"/>
      </w:pPr>
      <w:hyperlink r:id="rId128" w:anchor="i8d805bfb1e1c4815a1dcd5b6d1e0b117_10" w:history="1">
        <w:r>
          <w:rPr>
            <w:rStyle w:val="a5"/>
            <w:rFonts w:ascii="Arial" w:eastAsia="宋体" w:hAnsi="Arial" w:cs="Arial"/>
            <w:sz w:val="18"/>
            <w:szCs w:val="18"/>
          </w:rPr>
          <w:t>Table of Contents</w:t>
        </w:r>
      </w:hyperlink>
    </w:p>
    <w:p w14:paraId="4090E8E8" w14:textId="77777777" w:rsidR="00833634" w:rsidRDefault="00E15D51">
      <w:pPr>
        <w:spacing w:before="300" w:after="180"/>
        <w:jc w:val="both"/>
      </w:pPr>
      <w:r>
        <w:rPr>
          <w:rFonts w:ascii="Arial" w:eastAsia="宋体" w:hAnsi="Arial" w:cs="Arial"/>
          <w:b/>
          <w:bCs/>
          <w:color w:val="000000"/>
          <w:sz w:val="20"/>
          <w:szCs w:val="20"/>
        </w:rPr>
        <w:t>Note 15 – Shareholde</w:t>
      </w:r>
      <w:r>
        <w:rPr>
          <w:rFonts w:ascii="Arial" w:eastAsia="宋体" w:hAnsi="Arial" w:cs="Arial"/>
          <w:b/>
          <w:bCs/>
          <w:color w:val="000000"/>
          <w:sz w:val="20"/>
          <w:szCs w:val="20"/>
        </w:rPr>
        <w:t>rs' Equity</w:t>
      </w:r>
    </w:p>
    <w:p w14:paraId="4090E8E9" w14:textId="77777777" w:rsidR="00833634" w:rsidRDefault="00E15D51">
      <w:pPr>
        <w:spacing w:after="180"/>
        <w:jc w:val="both"/>
      </w:pPr>
      <w:r>
        <w:rPr>
          <w:rFonts w:ascii="Arial" w:eastAsia="宋体" w:hAnsi="Arial" w:cs="Arial"/>
          <w:b/>
          <w:bCs/>
          <w:color w:val="000000"/>
          <w:sz w:val="20"/>
          <w:szCs w:val="20"/>
        </w:rPr>
        <w:t>Accumulated Other Comprehensive Loss</w:t>
      </w:r>
    </w:p>
    <w:p w14:paraId="4090E8EA" w14:textId="77777777" w:rsidR="00833634" w:rsidRDefault="00E15D51">
      <w:pPr>
        <w:jc w:val="both"/>
      </w:pPr>
      <w:r>
        <w:rPr>
          <w:rFonts w:ascii="Arial" w:eastAsia="宋体" w:hAnsi="Arial" w:cs="Arial"/>
          <w:color w:val="000000"/>
          <w:sz w:val="20"/>
          <w:szCs w:val="20"/>
        </w:rPr>
        <w:t>Changes in Accumulated other comprehensive loss (AOCI) by component for the nine and three months ended September 30, 2020 and 2019 were as follows:</w:t>
      </w:r>
    </w:p>
    <w:tbl>
      <w:tblPr>
        <w:tblW w:w="5000" w:type="pct"/>
        <w:tblCellMar>
          <w:top w:w="15" w:type="dxa"/>
          <w:left w:w="15" w:type="dxa"/>
          <w:bottom w:w="15" w:type="dxa"/>
          <w:right w:w="15" w:type="dxa"/>
        </w:tblCellMar>
        <w:tblLook w:val="04A0" w:firstRow="1" w:lastRow="0" w:firstColumn="1" w:lastColumn="0" w:noHBand="0" w:noVBand="1"/>
      </w:tblPr>
      <w:tblGrid>
        <w:gridCol w:w="41"/>
        <w:gridCol w:w="3074"/>
        <w:gridCol w:w="40"/>
        <w:gridCol w:w="89"/>
        <w:gridCol w:w="824"/>
        <w:gridCol w:w="36"/>
        <w:gridCol w:w="36"/>
        <w:gridCol w:w="36"/>
        <w:gridCol w:w="36"/>
        <w:gridCol w:w="89"/>
        <w:gridCol w:w="806"/>
        <w:gridCol w:w="36"/>
        <w:gridCol w:w="36"/>
        <w:gridCol w:w="36"/>
        <w:gridCol w:w="36"/>
        <w:gridCol w:w="89"/>
        <w:gridCol w:w="779"/>
        <w:gridCol w:w="36"/>
        <w:gridCol w:w="36"/>
        <w:gridCol w:w="36"/>
        <w:gridCol w:w="36"/>
        <w:gridCol w:w="86"/>
        <w:gridCol w:w="987"/>
        <w:gridCol w:w="36"/>
        <w:gridCol w:w="37"/>
        <w:gridCol w:w="150"/>
        <w:gridCol w:w="36"/>
        <w:gridCol w:w="90"/>
        <w:gridCol w:w="615"/>
        <w:gridCol w:w="36"/>
      </w:tblGrid>
      <w:tr w:rsidR="00833634" w14:paraId="4090E909" w14:textId="77777777">
        <w:tc>
          <w:tcPr>
            <w:tcW w:w="50" w:type="pct"/>
            <w:shd w:val="clear" w:color="auto" w:fill="auto"/>
          </w:tcPr>
          <w:p w14:paraId="4090E8EB" w14:textId="77777777" w:rsidR="00833634" w:rsidRDefault="00833634">
            <w:pPr>
              <w:rPr>
                <w:rFonts w:ascii="宋体"/>
              </w:rPr>
            </w:pPr>
          </w:p>
        </w:tc>
        <w:tc>
          <w:tcPr>
            <w:tcW w:w="2123" w:type="pct"/>
            <w:shd w:val="clear" w:color="auto" w:fill="auto"/>
          </w:tcPr>
          <w:p w14:paraId="4090E8EC" w14:textId="77777777" w:rsidR="00833634" w:rsidRDefault="00833634">
            <w:pPr>
              <w:rPr>
                <w:rFonts w:ascii="宋体"/>
              </w:rPr>
            </w:pPr>
          </w:p>
        </w:tc>
        <w:tc>
          <w:tcPr>
            <w:tcW w:w="5" w:type="pct"/>
            <w:shd w:val="clear" w:color="auto" w:fill="auto"/>
          </w:tcPr>
          <w:p w14:paraId="4090E8ED" w14:textId="77777777" w:rsidR="00833634" w:rsidRDefault="00833634">
            <w:pPr>
              <w:rPr>
                <w:rFonts w:ascii="宋体"/>
              </w:rPr>
            </w:pPr>
          </w:p>
        </w:tc>
        <w:tc>
          <w:tcPr>
            <w:tcW w:w="50" w:type="pct"/>
            <w:shd w:val="clear" w:color="auto" w:fill="auto"/>
          </w:tcPr>
          <w:p w14:paraId="4090E8EE" w14:textId="77777777" w:rsidR="00833634" w:rsidRDefault="00833634">
            <w:pPr>
              <w:rPr>
                <w:rFonts w:ascii="宋体"/>
              </w:rPr>
            </w:pPr>
          </w:p>
        </w:tc>
        <w:tc>
          <w:tcPr>
            <w:tcW w:w="464" w:type="pct"/>
            <w:shd w:val="clear" w:color="auto" w:fill="auto"/>
          </w:tcPr>
          <w:p w14:paraId="4090E8EF" w14:textId="77777777" w:rsidR="00833634" w:rsidRDefault="00833634">
            <w:pPr>
              <w:rPr>
                <w:rFonts w:ascii="宋体"/>
              </w:rPr>
            </w:pPr>
          </w:p>
        </w:tc>
        <w:tc>
          <w:tcPr>
            <w:tcW w:w="5" w:type="pct"/>
            <w:shd w:val="clear" w:color="auto" w:fill="auto"/>
          </w:tcPr>
          <w:p w14:paraId="4090E8F0" w14:textId="77777777" w:rsidR="00833634" w:rsidRDefault="00833634">
            <w:pPr>
              <w:rPr>
                <w:rFonts w:ascii="宋体"/>
              </w:rPr>
            </w:pPr>
          </w:p>
        </w:tc>
        <w:tc>
          <w:tcPr>
            <w:tcW w:w="5" w:type="pct"/>
            <w:shd w:val="clear" w:color="auto" w:fill="auto"/>
          </w:tcPr>
          <w:p w14:paraId="4090E8F1" w14:textId="77777777" w:rsidR="00833634" w:rsidRDefault="00833634">
            <w:pPr>
              <w:rPr>
                <w:rFonts w:ascii="宋体"/>
              </w:rPr>
            </w:pPr>
          </w:p>
        </w:tc>
        <w:tc>
          <w:tcPr>
            <w:tcW w:w="43" w:type="pct"/>
            <w:shd w:val="clear" w:color="auto" w:fill="auto"/>
          </w:tcPr>
          <w:p w14:paraId="4090E8F2" w14:textId="77777777" w:rsidR="00833634" w:rsidRDefault="00833634">
            <w:pPr>
              <w:rPr>
                <w:rFonts w:ascii="宋体"/>
              </w:rPr>
            </w:pPr>
          </w:p>
        </w:tc>
        <w:tc>
          <w:tcPr>
            <w:tcW w:w="5" w:type="pct"/>
            <w:shd w:val="clear" w:color="auto" w:fill="auto"/>
          </w:tcPr>
          <w:p w14:paraId="4090E8F3" w14:textId="77777777" w:rsidR="00833634" w:rsidRDefault="00833634">
            <w:pPr>
              <w:rPr>
                <w:rFonts w:ascii="宋体"/>
              </w:rPr>
            </w:pPr>
          </w:p>
        </w:tc>
        <w:tc>
          <w:tcPr>
            <w:tcW w:w="50" w:type="pct"/>
            <w:shd w:val="clear" w:color="auto" w:fill="auto"/>
          </w:tcPr>
          <w:p w14:paraId="4090E8F4" w14:textId="77777777" w:rsidR="00833634" w:rsidRDefault="00833634">
            <w:pPr>
              <w:rPr>
                <w:rFonts w:ascii="宋体"/>
              </w:rPr>
            </w:pPr>
          </w:p>
        </w:tc>
        <w:tc>
          <w:tcPr>
            <w:tcW w:w="457" w:type="pct"/>
            <w:shd w:val="clear" w:color="auto" w:fill="auto"/>
          </w:tcPr>
          <w:p w14:paraId="4090E8F5" w14:textId="77777777" w:rsidR="00833634" w:rsidRDefault="00833634">
            <w:pPr>
              <w:rPr>
                <w:rFonts w:ascii="宋体"/>
              </w:rPr>
            </w:pPr>
          </w:p>
        </w:tc>
        <w:tc>
          <w:tcPr>
            <w:tcW w:w="5" w:type="pct"/>
            <w:shd w:val="clear" w:color="auto" w:fill="auto"/>
          </w:tcPr>
          <w:p w14:paraId="4090E8F6" w14:textId="77777777" w:rsidR="00833634" w:rsidRDefault="00833634">
            <w:pPr>
              <w:rPr>
                <w:rFonts w:ascii="宋体"/>
              </w:rPr>
            </w:pPr>
          </w:p>
        </w:tc>
        <w:tc>
          <w:tcPr>
            <w:tcW w:w="5" w:type="pct"/>
            <w:shd w:val="clear" w:color="auto" w:fill="auto"/>
          </w:tcPr>
          <w:p w14:paraId="4090E8F7" w14:textId="77777777" w:rsidR="00833634" w:rsidRDefault="00833634">
            <w:pPr>
              <w:rPr>
                <w:rFonts w:ascii="宋体"/>
              </w:rPr>
            </w:pPr>
          </w:p>
        </w:tc>
        <w:tc>
          <w:tcPr>
            <w:tcW w:w="28" w:type="pct"/>
            <w:shd w:val="clear" w:color="auto" w:fill="auto"/>
          </w:tcPr>
          <w:p w14:paraId="4090E8F8" w14:textId="77777777" w:rsidR="00833634" w:rsidRDefault="00833634">
            <w:pPr>
              <w:rPr>
                <w:rFonts w:ascii="宋体"/>
              </w:rPr>
            </w:pPr>
          </w:p>
        </w:tc>
        <w:tc>
          <w:tcPr>
            <w:tcW w:w="5" w:type="pct"/>
            <w:shd w:val="clear" w:color="auto" w:fill="auto"/>
          </w:tcPr>
          <w:p w14:paraId="4090E8F9" w14:textId="77777777" w:rsidR="00833634" w:rsidRDefault="00833634">
            <w:pPr>
              <w:rPr>
                <w:rFonts w:ascii="宋体"/>
              </w:rPr>
            </w:pPr>
          </w:p>
        </w:tc>
        <w:tc>
          <w:tcPr>
            <w:tcW w:w="50" w:type="pct"/>
            <w:shd w:val="clear" w:color="auto" w:fill="auto"/>
          </w:tcPr>
          <w:p w14:paraId="4090E8FA" w14:textId="77777777" w:rsidR="00833634" w:rsidRDefault="00833634">
            <w:pPr>
              <w:rPr>
                <w:rFonts w:ascii="宋体"/>
              </w:rPr>
            </w:pPr>
          </w:p>
        </w:tc>
        <w:tc>
          <w:tcPr>
            <w:tcW w:w="441" w:type="pct"/>
            <w:shd w:val="clear" w:color="auto" w:fill="auto"/>
          </w:tcPr>
          <w:p w14:paraId="4090E8FB" w14:textId="77777777" w:rsidR="00833634" w:rsidRDefault="00833634">
            <w:pPr>
              <w:rPr>
                <w:rFonts w:ascii="宋体"/>
              </w:rPr>
            </w:pPr>
          </w:p>
        </w:tc>
        <w:tc>
          <w:tcPr>
            <w:tcW w:w="5" w:type="pct"/>
            <w:shd w:val="clear" w:color="auto" w:fill="auto"/>
          </w:tcPr>
          <w:p w14:paraId="4090E8FC" w14:textId="77777777" w:rsidR="00833634" w:rsidRDefault="00833634">
            <w:pPr>
              <w:rPr>
                <w:rFonts w:ascii="宋体"/>
              </w:rPr>
            </w:pPr>
          </w:p>
        </w:tc>
        <w:tc>
          <w:tcPr>
            <w:tcW w:w="5" w:type="pct"/>
            <w:shd w:val="clear" w:color="auto" w:fill="auto"/>
          </w:tcPr>
          <w:p w14:paraId="4090E8FD" w14:textId="77777777" w:rsidR="00833634" w:rsidRDefault="00833634">
            <w:pPr>
              <w:rPr>
                <w:rFonts w:ascii="宋体"/>
              </w:rPr>
            </w:pPr>
          </w:p>
        </w:tc>
        <w:tc>
          <w:tcPr>
            <w:tcW w:w="28" w:type="pct"/>
            <w:shd w:val="clear" w:color="auto" w:fill="auto"/>
          </w:tcPr>
          <w:p w14:paraId="4090E8FE" w14:textId="77777777" w:rsidR="00833634" w:rsidRDefault="00833634">
            <w:pPr>
              <w:rPr>
                <w:rFonts w:ascii="宋体"/>
              </w:rPr>
            </w:pPr>
          </w:p>
        </w:tc>
        <w:tc>
          <w:tcPr>
            <w:tcW w:w="5" w:type="pct"/>
            <w:shd w:val="clear" w:color="auto" w:fill="auto"/>
          </w:tcPr>
          <w:p w14:paraId="4090E8FF" w14:textId="77777777" w:rsidR="00833634" w:rsidRDefault="00833634">
            <w:pPr>
              <w:rPr>
                <w:rFonts w:ascii="宋体"/>
              </w:rPr>
            </w:pPr>
          </w:p>
        </w:tc>
        <w:tc>
          <w:tcPr>
            <w:tcW w:w="50" w:type="pct"/>
            <w:shd w:val="clear" w:color="auto" w:fill="auto"/>
          </w:tcPr>
          <w:p w14:paraId="4090E900" w14:textId="77777777" w:rsidR="00833634" w:rsidRDefault="00833634">
            <w:pPr>
              <w:rPr>
                <w:rFonts w:ascii="宋体"/>
              </w:rPr>
            </w:pPr>
          </w:p>
        </w:tc>
        <w:tc>
          <w:tcPr>
            <w:tcW w:w="579" w:type="pct"/>
            <w:shd w:val="clear" w:color="auto" w:fill="auto"/>
          </w:tcPr>
          <w:p w14:paraId="4090E901" w14:textId="77777777" w:rsidR="00833634" w:rsidRDefault="00833634">
            <w:pPr>
              <w:rPr>
                <w:rFonts w:ascii="宋体"/>
              </w:rPr>
            </w:pPr>
          </w:p>
        </w:tc>
        <w:tc>
          <w:tcPr>
            <w:tcW w:w="5" w:type="pct"/>
            <w:shd w:val="clear" w:color="auto" w:fill="auto"/>
          </w:tcPr>
          <w:p w14:paraId="4090E902" w14:textId="77777777" w:rsidR="00833634" w:rsidRDefault="00833634">
            <w:pPr>
              <w:rPr>
                <w:rFonts w:ascii="宋体"/>
              </w:rPr>
            </w:pPr>
          </w:p>
        </w:tc>
        <w:tc>
          <w:tcPr>
            <w:tcW w:w="5" w:type="pct"/>
            <w:shd w:val="clear" w:color="auto" w:fill="auto"/>
          </w:tcPr>
          <w:p w14:paraId="4090E903" w14:textId="77777777" w:rsidR="00833634" w:rsidRDefault="00833634">
            <w:pPr>
              <w:rPr>
                <w:rFonts w:ascii="宋体"/>
              </w:rPr>
            </w:pPr>
          </w:p>
        </w:tc>
        <w:tc>
          <w:tcPr>
            <w:tcW w:w="119" w:type="pct"/>
            <w:shd w:val="clear" w:color="auto" w:fill="auto"/>
          </w:tcPr>
          <w:p w14:paraId="4090E904" w14:textId="77777777" w:rsidR="00833634" w:rsidRDefault="00833634">
            <w:pPr>
              <w:rPr>
                <w:rFonts w:ascii="宋体"/>
              </w:rPr>
            </w:pPr>
          </w:p>
        </w:tc>
        <w:tc>
          <w:tcPr>
            <w:tcW w:w="5" w:type="pct"/>
            <w:shd w:val="clear" w:color="auto" w:fill="auto"/>
          </w:tcPr>
          <w:p w14:paraId="4090E905" w14:textId="77777777" w:rsidR="00833634" w:rsidRDefault="00833634">
            <w:pPr>
              <w:rPr>
                <w:rFonts w:ascii="宋体"/>
              </w:rPr>
            </w:pPr>
          </w:p>
        </w:tc>
        <w:tc>
          <w:tcPr>
            <w:tcW w:w="50" w:type="pct"/>
            <w:shd w:val="clear" w:color="auto" w:fill="auto"/>
          </w:tcPr>
          <w:p w14:paraId="4090E906" w14:textId="77777777" w:rsidR="00833634" w:rsidRDefault="00833634">
            <w:pPr>
              <w:rPr>
                <w:rFonts w:ascii="宋体"/>
              </w:rPr>
            </w:pPr>
          </w:p>
        </w:tc>
        <w:tc>
          <w:tcPr>
            <w:tcW w:w="342" w:type="pct"/>
            <w:shd w:val="clear" w:color="auto" w:fill="auto"/>
          </w:tcPr>
          <w:p w14:paraId="4090E907" w14:textId="77777777" w:rsidR="00833634" w:rsidRDefault="00833634">
            <w:pPr>
              <w:rPr>
                <w:rFonts w:ascii="宋体"/>
              </w:rPr>
            </w:pPr>
          </w:p>
        </w:tc>
        <w:tc>
          <w:tcPr>
            <w:tcW w:w="5" w:type="pct"/>
            <w:shd w:val="clear" w:color="auto" w:fill="auto"/>
          </w:tcPr>
          <w:p w14:paraId="4090E908" w14:textId="77777777" w:rsidR="00833634" w:rsidRDefault="00833634">
            <w:pPr>
              <w:rPr>
                <w:rFonts w:ascii="宋体"/>
              </w:rPr>
            </w:pPr>
          </w:p>
        </w:tc>
      </w:tr>
      <w:tr w:rsidR="00833634" w14:paraId="4090E914" w14:textId="77777777">
        <w:tc>
          <w:tcPr>
            <w:tcW w:w="0" w:type="auto"/>
            <w:gridSpan w:val="3"/>
            <w:shd w:val="clear" w:color="auto" w:fill="auto"/>
            <w:tcMar>
              <w:top w:w="0" w:type="dxa"/>
              <w:left w:w="20" w:type="dxa"/>
              <w:bottom w:w="0" w:type="dxa"/>
              <w:right w:w="20" w:type="dxa"/>
            </w:tcMar>
          </w:tcPr>
          <w:p w14:paraId="4090E90A"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90B" w14:textId="77777777" w:rsidR="00833634" w:rsidRDefault="00E15D51">
            <w:pPr>
              <w:jc w:val="right"/>
              <w:textAlignment w:val="bottom"/>
            </w:pPr>
            <w:r>
              <w:rPr>
                <w:rFonts w:ascii="Arial" w:eastAsia="宋体" w:hAnsi="Arial" w:cs="Arial"/>
                <w:color w:val="000000"/>
                <w:sz w:val="16"/>
                <w:szCs w:val="16"/>
              </w:rPr>
              <w:t>Currency Translation Adjustments</w:t>
            </w:r>
          </w:p>
        </w:tc>
        <w:tc>
          <w:tcPr>
            <w:tcW w:w="0" w:type="auto"/>
            <w:gridSpan w:val="3"/>
            <w:shd w:val="clear" w:color="auto" w:fill="auto"/>
            <w:tcMar>
              <w:top w:w="0" w:type="dxa"/>
              <w:left w:w="20" w:type="dxa"/>
              <w:bottom w:w="0" w:type="dxa"/>
              <w:right w:w="20" w:type="dxa"/>
            </w:tcMar>
          </w:tcPr>
          <w:p w14:paraId="4090E90C"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90D" w14:textId="77777777" w:rsidR="00833634" w:rsidRDefault="00E15D51">
            <w:pPr>
              <w:jc w:val="right"/>
              <w:textAlignment w:val="bottom"/>
            </w:pPr>
            <w:r>
              <w:rPr>
                <w:rFonts w:ascii="Arial" w:eastAsia="宋体" w:hAnsi="Arial" w:cs="Arial"/>
                <w:color w:val="000000"/>
                <w:sz w:val="16"/>
                <w:szCs w:val="16"/>
              </w:rPr>
              <w:t>Unrealized Gains and Losses on Certain Investments</w:t>
            </w:r>
          </w:p>
        </w:tc>
        <w:tc>
          <w:tcPr>
            <w:tcW w:w="0" w:type="auto"/>
            <w:gridSpan w:val="3"/>
            <w:shd w:val="clear" w:color="auto" w:fill="auto"/>
            <w:tcMar>
              <w:top w:w="0" w:type="dxa"/>
              <w:left w:w="20" w:type="dxa"/>
              <w:bottom w:w="0" w:type="dxa"/>
              <w:right w:w="20" w:type="dxa"/>
            </w:tcMar>
          </w:tcPr>
          <w:p w14:paraId="4090E90E"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90F" w14:textId="77777777" w:rsidR="00833634" w:rsidRDefault="00E15D51">
            <w:pPr>
              <w:jc w:val="right"/>
              <w:textAlignment w:val="bottom"/>
            </w:pPr>
            <w:r>
              <w:rPr>
                <w:rFonts w:ascii="Arial" w:eastAsia="宋体" w:hAnsi="Arial" w:cs="Arial"/>
                <w:color w:val="000000"/>
                <w:sz w:val="16"/>
                <w:szCs w:val="16"/>
              </w:rPr>
              <w:t>Unrealized Gains and Losses on Derivative Instruments</w:t>
            </w:r>
          </w:p>
        </w:tc>
        <w:tc>
          <w:tcPr>
            <w:tcW w:w="0" w:type="auto"/>
            <w:gridSpan w:val="3"/>
            <w:shd w:val="clear" w:color="auto" w:fill="auto"/>
            <w:tcMar>
              <w:top w:w="0" w:type="dxa"/>
              <w:left w:w="20" w:type="dxa"/>
              <w:bottom w:w="0" w:type="dxa"/>
              <w:right w:w="20" w:type="dxa"/>
            </w:tcMar>
          </w:tcPr>
          <w:p w14:paraId="4090E910"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911" w14:textId="77777777" w:rsidR="00833634" w:rsidRDefault="00E15D51">
            <w:pPr>
              <w:jc w:val="right"/>
              <w:textAlignment w:val="bottom"/>
            </w:pPr>
            <w:r>
              <w:rPr>
                <w:rFonts w:ascii="Arial" w:eastAsia="宋体" w:hAnsi="Arial" w:cs="Arial"/>
                <w:color w:val="000000"/>
                <w:sz w:val="16"/>
                <w:szCs w:val="16"/>
              </w:rPr>
              <w:t xml:space="preserve">Defined Benefit </w:t>
            </w:r>
            <w:r>
              <w:rPr>
                <w:rFonts w:ascii="Arial" w:eastAsia="宋体" w:hAnsi="Arial" w:cs="Arial"/>
                <w:color w:val="000000"/>
                <w:sz w:val="16"/>
                <w:szCs w:val="16"/>
              </w:rPr>
              <w:t>Pension Plans &amp; Other Postretirement Benefits</w:t>
            </w:r>
          </w:p>
        </w:tc>
        <w:tc>
          <w:tcPr>
            <w:tcW w:w="0" w:type="auto"/>
            <w:gridSpan w:val="3"/>
            <w:shd w:val="clear" w:color="auto" w:fill="auto"/>
            <w:tcMar>
              <w:top w:w="0" w:type="dxa"/>
              <w:left w:w="20" w:type="dxa"/>
              <w:bottom w:w="0" w:type="dxa"/>
              <w:right w:w="20" w:type="dxa"/>
            </w:tcMar>
          </w:tcPr>
          <w:p w14:paraId="4090E91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913" w14:textId="77777777" w:rsidR="00833634" w:rsidRDefault="00E15D51">
            <w:pPr>
              <w:jc w:val="right"/>
              <w:textAlignment w:val="bottom"/>
            </w:pPr>
            <w:r>
              <w:rPr>
                <w:rFonts w:ascii="Arial" w:eastAsia="宋体" w:hAnsi="Arial" w:cs="Arial"/>
                <w:color w:val="000000"/>
                <w:sz w:val="16"/>
                <w:szCs w:val="16"/>
              </w:rPr>
              <w:t>Total</w:t>
            </w:r>
            <w:r>
              <w:rPr>
                <w:rFonts w:ascii="Arial" w:eastAsia="宋体" w:hAnsi="Arial" w:cs="Arial"/>
                <w:color w:val="000000"/>
                <w:sz w:val="10"/>
                <w:szCs w:val="10"/>
              </w:rPr>
              <w:t xml:space="preserve"> (1)</w:t>
            </w:r>
          </w:p>
        </w:tc>
      </w:tr>
      <w:tr w:rsidR="00833634" w14:paraId="4090E92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915" w14:textId="77777777" w:rsidR="00833634" w:rsidRDefault="00E15D51">
            <w:pPr>
              <w:textAlignment w:val="bottom"/>
            </w:pPr>
            <w:r>
              <w:rPr>
                <w:rFonts w:ascii="Arial" w:eastAsia="宋体" w:hAnsi="Arial" w:cs="Arial"/>
                <w:color w:val="000000"/>
                <w:sz w:val="16"/>
                <w:szCs w:val="16"/>
              </w:rPr>
              <w:t>Balance at January 1,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16" w14:textId="77777777" w:rsidR="00833634" w:rsidRDefault="00E15D51">
            <w:pPr>
              <w:jc w:val="right"/>
              <w:textAlignment w:val="bottom"/>
            </w:pPr>
            <w:r>
              <w:rPr>
                <w:rFonts w:ascii="Arial" w:eastAsia="宋体" w:hAnsi="Arial" w:cs="Arial"/>
                <w:color w:val="000000"/>
                <w:sz w:val="16"/>
                <w:szCs w:val="16"/>
              </w:rPr>
              <w:t>($101)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1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18"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19"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1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1B" w14:textId="77777777" w:rsidR="00833634" w:rsidRDefault="00E15D51">
            <w:pPr>
              <w:jc w:val="right"/>
              <w:textAlignment w:val="bottom"/>
            </w:pPr>
            <w:r>
              <w:rPr>
                <w:rFonts w:ascii="Arial" w:eastAsia="宋体" w:hAnsi="Arial" w:cs="Arial"/>
                <w:color w:val="000000"/>
                <w:sz w:val="16"/>
                <w:szCs w:val="16"/>
              </w:rPr>
              <w:t>($62)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1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1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1E" w14:textId="77777777" w:rsidR="00833634" w:rsidRDefault="00E15D51">
            <w:pPr>
              <w:jc w:val="right"/>
              <w:textAlignment w:val="bottom"/>
            </w:pPr>
            <w:r>
              <w:rPr>
                <w:rFonts w:ascii="Arial" w:eastAsia="宋体" w:hAnsi="Arial" w:cs="Arial"/>
                <w:color w:val="000000"/>
                <w:sz w:val="16"/>
                <w:szCs w:val="16"/>
              </w:rPr>
              <w:t>($14,920)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1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2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21" w14:textId="77777777" w:rsidR="00833634" w:rsidRDefault="00E15D51">
            <w:pPr>
              <w:jc w:val="right"/>
              <w:textAlignment w:val="bottom"/>
            </w:pPr>
            <w:r>
              <w:rPr>
                <w:rFonts w:ascii="Arial" w:eastAsia="宋体" w:hAnsi="Arial" w:cs="Arial"/>
                <w:color w:val="000000"/>
                <w:sz w:val="16"/>
                <w:szCs w:val="16"/>
              </w:rPr>
              <w:t>($15,083)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22" w14:textId="77777777" w:rsidR="00833634" w:rsidRDefault="00833634">
            <w:pPr>
              <w:jc w:val="right"/>
              <w:rPr>
                <w:rFonts w:ascii="宋体"/>
              </w:rPr>
            </w:pPr>
          </w:p>
        </w:tc>
      </w:tr>
      <w:tr w:rsidR="00833634" w14:paraId="4090E933"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924" w14:textId="77777777" w:rsidR="00833634" w:rsidRDefault="00E15D51">
            <w:pPr>
              <w:ind w:hanging="180"/>
              <w:textAlignment w:val="bottom"/>
            </w:pPr>
            <w:r>
              <w:rPr>
                <w:rFonts w:ascii="Arial" w:eastAsia="宋体" w:hAnsi="Arial" w:cs="Arial"/>
                <w:color w:val="000000"/>
                <w:sz w:val="16"/>
                <w:szCs w:val="16"/>
              </w:rPr>
              <w:t>Other comprehensive (loss)/income before reclassifications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25" w14:textId="77777777" w:rsidR="00833634" w:rsidRDefault="00E15D51">
            <w:pPr>
              <w:jc w:val="right"/>
              <w:textAlignment w:val="bottom"/>
            </w:pPr>
            <w:r>
              <w:rPr>
                <w:rFonts w:ascii="Arial" w:eastAsia="宋体" w:hAnsi="Arial" w:cs="Arial"/>
                <w:color w:val="000000"/>
                <w:sz w:val="16"/>
                <w:szCs w:val="16"/>
              </w:rPr>
              <w:t>(61)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26"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27"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28" w14:textId="77777777" w:rsidR="00833634" w:rsidRDefault="00E15D51">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29"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2A"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2B" w14:textId="77777777" w:rsidR="00833634" w:rsidRDefault="00E15D51">
            <w:pPr>
              <w:jc w:val="right"/>
              <w:textAlignment w:val="bottom"/>
            </w:pPr>
            <w:r>
              <w:rPr>
                <w:rFonts w:ascii="Arial" w:eastAsia="宋体" w:hAnsi="Arial" w:cs="Arial"/>
                <w:color w:val="000000"/>
                <w:sz w:val="16"/>
                <w:szCs w:val="16"/>
              </w:rPr>
              <w:t>(106)</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2C"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2D"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2E" w14:textId="77777777" w:rsidR="00833634" w:rsidRDefault="00E15D51">
            <w:pPr>
              <w:jc w:val="right"/>
              <w:textAlignment w:val="bottom"/>
            </w:pPr>
            <w:r>
              <w:rPr>
                <w:rFonts w:ascii="Arial" w:eastAsia="宋体" w:hAnsi="Arial" w:cs="Arial"/>
                <w:color w:val="000000"/>
                <w:sz w:val="16"/>
                <w:szCs w:val="16"/>
              </w:rPr>
              <w:t>17 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2F"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30"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31" w14:textId="77777777" w:rsidR="00833634" w:rsidRDefault="00E15D51">
            <w:pPr>
              <w:jc w:val="right"/>
              <w:textAlignment w:val="bottom"/>
            </w:pPr>
            <w:r>
              <w:rPr>
                <w:rFonts w:ascii="Arial" w:eastAsia="宋体" w:hAnsi="Arial" w:cs="Arial"/>
                <w:color w:val="000000"/>
                <w:sz w:val="16"/>
                <w:szCs w:val="16"/>
              </w:rPr>
              <w:t>(149)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32" w14:textId="77777777" w:rsidR="00833634" w:rsidRDefault="00833634">
            <w:pPr>
              <w:jc w:val="right"/>
              <w:rPr>
                <w:rFonts w:ascii="宋体"/>
              </w:rPr>
            </w:pPr>
          </w:p>
        </w:tc>
      </w:tr>
      <w:tr w:rsidR="00833634" w14:paraId="4090E941" w14:textId="77777777">
        <w:tc>
          <w:tcPr>
            <w:tcW w:w="0" w:type="auto"/>
            <w:gridSpan w:val="3"/>
            <w:shd w:val="clear" w:color="auto" w:fill="CCEEFF"/>
            <w:tcMar>
              <w:top w:w="40" w:type="dxa"/>
              <w:left w:w="20" w:type="dxa"/>
              <w:bottom w:w="40" w:type="dxa"/>
              <w:right w:w="20" w:type="dxa"/>
            </w:tcMar>
            <w:vAlign w:val="bottom"/>
          </w:tcPr>
          <w:p w14:paraId="4090E934" w14:textId="77777777" w:rsidR="00833634" w:rsidRDefault="00E15D51">
            <w:pPr>
              <w:textAlignment w:val="bottom"/>
            </w:pPr>
            <w:r>
              <w:rPr>
                <w:rFonts w:ascii="Arial" w:eastAsia="宋体" w:hAnsi="Arial" w:cs="Arial"/>
                <w:color w:val="000000"/>
                <w:sz w:val="16"/>
                <w:szCs w:val="16"/>
              </w:rPr>
              <w:t>Amounts reclassified from AOCI</w:t>
            </w:r>
          </w:p>
        </w:tc>
        <w:tc>
          <w:tcPr>
            <w:tcW w:w="0" w:type="auto"/>
            <w:gridSpan w:val="3"/>
            <w:shd w:val="clear" w:color="auto" w:fill="CCEEFF"/>
            <w:tcMar>
              <w:top w:w="0" w:type="dxa"/>
              <w:left w:w="20" w:type="dxa"/>
              <w:bottom w:w="0" w:type="dxa"/>
              <w:right w:w="20" w:type="dxa"/>
            </w:tcMar>
          </w:tcPr>
          <w:p w14:paraId="4090E93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93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93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93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939" w14:textId="77777777" w:rsidR="00833634" w:rsidRDefault="00E15D51">
            <w:pPr>
              <w:jc w:val="right"/>
              <w:textAlignment w:val="bottom"/>
            </w:pPr>
            <w:r>
              <w:rPr>
                <w:rFonts w:ascii="Arial" w:eastAsia="宋体" w:hAnsi="Arial" w:cs="Arial"/>
                <w:color w:val="000000"/>
                <w:sz w:val="16"/>
                <w:szCs w:val="16"/>
              </w:rPr>
              <w:t>22 </w:t>
            </w:r>
          </w:p>
        </w:tc>
        <w:tc>
          <w:tcPr>
            <w:tcW w:w="0" w:type="auto"/>
            <w:shd w:val="clear" w:color="auto" w:fill="CCEEFF"/>
            <w:tcMar>
              <w:top w:w="40" w:type="dxa"/>
              <w:left w:w="0" w:type="dxa"/>
              <w:bottom w:w="40" w:type="dxa"/>
              <w:right w:w="20" w:type="dxa"/>
            </w:tcMar>
            <w:vAlign w:val="bottom"/>
          </w:tcPr>
          <w:p w14:paraId="4090E93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93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93C" w14:textId="77777777" w:rsidR="00833634" w:rsidRDefault="00E15D51">
            <w:pPr>
              <w:jc w:val="right"/>
              <w:textAlignment w:val="bottom"/>
            </w:pPr>
            <w:r>
              <w:rPr>
                <w:rFonts w:ascii="Arial" w:eastAsia="宋体" w:hAnsi="Arial" w:cs="Arial"/>
                <w:color w:val="000000"/>
                <w:sz w:val="16"/>
                <w:szCs w:val="16"/>
              </w:rPr>
              <w:t>283 </w:t>
            </w:r>
          </w:p>
        </w:tc>
        <w:tc>
          <w:tcPr>
            <w:tcW w:w="0" w:type="auto"/>
            <w:shd w:val="clear" w:color="auto" w:fill="CCEEFF"/>
            <w:tcMar>
              <w:top w:w="40" w:type="dxa"/>
              <w:left w:w="0" w:type="dxa"/>
              <w:bottom w:w="40" w:type="dxa"/>
              <w:right w:w="20" w:type="dxa"/>
            </w:tcMar>
            <w:vAlign w:val="bottom"/>
          </w:tcPr>
          <w:p w14:paraId="4090E93D" w14:textId="77777777" w:rsidR="00833634" w:rsidRDefault="00833634">
            <w:pPr>
              <w:jc w:val="right"/>
              <w:rPr>
                <w:rFonts w:ascii="宋体"/>
              </w:rPr>
            </w:pPr>
          </w:p>
        </w:tc>
        <w:tc>
          <w:tcPr>
            <w:tcW w:w="0" w:type="auto"/>
            <w:gridSpan w:val="3"/>
            <w:shd w:val="clear" w:color="auto" w:fill="CCEEFF"/>
            <w:tcMar>
              <w:top w:w="40" w:type="dxa"/>
              <w:left w:w="20" w:type="dxa"/>
              <w:bottom w:w="40" w:type="dxa"/>
              <w:right w:w="20" w:type="dxa"/>
            </w:tcMar>
            <w:vAlign w:val="bottom"/>
          </w:tcPr>
          <w:p w14:paraId="4090E93E" w14:textId="77777777" w:rsidR="00833634" w:rsidRDefault="00E15D51">
            <w:pPr>
              <w:textAlignment w:val="bottom"/>
            </w:pPr>
            <w:r>
              <w:rPr>
                <w:rFonts w:ascii="Arial" w:eastAsia="宋体" w:hAnsi="Arial" w:cs="Arial"/>
                <w:color w:val="000000"/>
                <w:sz w:val="10"/>
                <w:szCs w:val="10"/>
              </w:rPr>
              <w:t>(2)</w:t>
            </w:r>
          </w:p>
        </w:tc>
        <w:tc>
          <w:tcPr>
            <w:tcW w:w="0" w:type="auto"/>
            <w:gridSpan w:val="2"/>
            <w:shd w:val="clear" w:color="auto" w:fill="CCEEFF"/>
            <w:tcMar>
              <w:top w:w="40" w:type="dxa"/>
              <w:left w:w="20" w:type="dxa"/>
              <w:bottom w:w="40" w:type="dxa"/>
              <w:right w:w="0" w:type="dxa"/>
            </w:tcMar>
            <w:vAlign w:val="bottom"/>
          </w:tcPr>
          <w:p w14:paraId="4090E93F" w14:textId="77777777" w:rsidR="00833634" w:rsidRDefault="00E15D51">
            <w:pPr>
              <w:jc w:val="right"/>
              <w:textAlignment w:val="bottom"/>
            </w:pPr>
            <w:r>
              <w:rPr>
                <w:rFonts w:ascii="Arial" w:eastAsia="宋体" w:hAnsi="Arial" w:cs="Arial"/>
                <w:color w:val="000000"/>
                <w:sz w:val="16"/>
                <w:szCs w:val="16"/>
              </w:rPr>
              <w:t>305 </w:t>
            </w:r>
          </w:p>
        </w:tc>
        <w:tc>
          <w:tcPr>
            <w:tcW w:w="0" w:type="auto"/>
            <w:shd w:val="clear" w:color="auto" w:fill="CCEEFF"/>
            <w:tcMar>
              <w:top w:w="40" w:type="dxa"/>
              <w:left w:w="0" w:type="dxa"/>
              <w:bottom w:w="40" w:type="dxa"/>
              <w:right w:w="20" w:type="dxa"/>
            </w:tcMar>
            <w:vAlign w:val="bottom"/>
          </w:tcPr>
          <w:p w14:paraId="4090E940" w14:textId="77777777" w:rsidR="00833634" w:rsidRDefault="00833634">
            <w:pPr>
              <w:jc w:val="right"/>
              <w:rPr>
                <w:rFonts w:ascii="宋体"/>
              </w:rPr>
            </w:pPr>
          </w:p>
        </w:tc>
      </w:tr>
      <w:tr w:rsidR="00833634" w14:paraId="4090E951"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942" w14:textId="77777777" w:rsidR="00833634" w:rsidRDefault="00E15D51">
            <w:pPr>
              <w:textAlignment w:val="bottom"/>
            </w:pPr>
            <w:r>
              <w:rPr>
                <w:rFonts w:ascii="Arial" w:eastAsia="宋体" w:hAnsi="Arial" w:cs="Arial"/>
                <w:color w:val="000000"/>
                <w:sz w:val="16"/>
                <w:szCs w:val="16"/>
              </w:rPr>
              <w:t>Net current period Other comprehensive (loss)/income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43" w14:textId="77777777" w:rsidR="00833634" w:rsidRDefault="00E15D51">
            <w:pPr>
              <w:jc w:val="right"/>
              <w:textAlignment w:val="bottom"/>
            </w:pPr>
            <w:r>
              <w:rPr>
                <w:rFonts w:ascii="Arial" w:eastAsia="宋体" w:hAnsi="Arial" w:cs="Arial"/>
                <w:color w:val="000000"/>
                <w:sz w:val="16"/>
                <w:szCs w:val="16"/>
              </w:rPr>
              <w:t>(61)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44"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45"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46" w14:textId="77777777" w:rsidR="00833634" w:rsidRDefault="00E15D51">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47"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48"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49" w14:textId="77777777" w:rsidR="00833634" w:rsidRDefault="00E15D51">
            <w:pPr>
              <w:jc w:val="right"/>
              <w:textAlignment w:val="bottom"/>
            </w:pPr>
            <w:r>
              <w:rPr>
                <w:rFonts w:ascii="Arial" w:eastAsia="宋体" w:hAnsi="Arial" w:cs="Arial"/>
                <w:color w:val="000000"/>
                <w:sz w:val="16"/>
                <w:szCs w:val="16"/>
              </w:rPr>
              <w:t>(84)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4A"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4B"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4C" w14:textId="77777777" w:rsidR="00833634" w:rsidRDefault="00E15D51">
            <w:pPr>
              <w:jc w:val="right"/>
              <w:textAlignment w:val="bottom"/>
            </w:pPr>
            <w:r>
              <w:rPr>
                <w:rFonts w:ascii="Arial" w:eastAsia="宋体" w:hAnsi="Arial" w:cs="Arial"/>
                <w:color w:val="000000"/>
                <w:sz w:val="16"/>
                <w:szCs w:val="16"/>
              </w:rPr>
              <w:t>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4D"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4E"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4F" w14:textId="77777777" w:rsidR="00833634" w:rsidRDefault="00E15D51">
            <w:pPr>
              <w:jc w:val="right"/>
              <w:textAlignment w:val="bottom"/>
            </w:pPr>
            <w:r>
              <w:rPr>
                <w:rFonts w:ascii="Arial" w:eastAsia="宋体" w:hAnsi="Arial" w:cs="Arial"/>
                <w:color w:val="000000"/>
                <w:sz w:val="16"/>
                <w:szCs w:val="16"/>
              </w:rPr>
              <w:t>156 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50" w14:textId="77777777" w:rsidR="00833634" w:rsidRDefault="00833634">
            <w:pPr>
              <w:jc w:val="right"/>
              <w:rPr>
                <w:rFonts w:ascii="宋体"/>
              </w:rPr>
            </w:pPr>
          </w:p>
        </w:tc>
      </w:tr>
      <w:tr w:rsidR="00833634" w14:paraId="4090E96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952" w14:textId="77777777" w:rsidR="00833634" w:rsidRDefault="00E15D51">
            <w:pPr>
              <w:textAlignment w:val="bottom"/>
            </w:pPr>
            <w:r>
              <w:rPr>
                <w:rFonts w:ascii="Arial" w:eastAsia="宋体" w:hAnsi="Arial" w:cs="Arial"/>
                <w:color w:val="000000"/>
                <w:sz w:val="16"/>
                <w:szCs w:val="16"/>
              </w:rPr>
              <w:t>Balance at September 30,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53" w14:textId="77777777" w:rsidR="00833634" w:rsidRDefault="00E15D51">
            <w:pPr>
              <w:jc w:val="right"/>
              <w:textAlignment w:val="bottom"/>
            </w:pPr>
            <w:r>
              <w:rPr>
                <w:rFonts w:ascii="Arial" w:eastAsia="宋体" w:hAnsi="Arial" w:cs="Arial"/>
                <w:color w:val="000000"/>
                <w:sz w:val="16"/>
                <w:szCs w:val="16"/>
              </w:rPr>
              <w:t>($162)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5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5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56" w14:textId="77777777" w:rsidR="00833634" w:rsidRDefault="00E15D51">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5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5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59" w14:textId="77777777" w:rsidR="00833634" w:rsidRDefault="00E15D51">
            <w:pPr>
              <w:jc w:val="right"/>
              <w:textAlignment w:val="bottom"/>
            </w:pPr>
            <w:r>
              <w:rPr>
                <w:rFonts w:ascii="Arial" w:eastAsia="宋体" w:hAnsi="Arial" w:cs="Arial"/>
                <w:color w:val="000000"/>
                <w:sz w:val="16"/>
                <w:szCs w:val="16"/>
              </w:rPr>
              <w:t>($146)</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5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5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5C" w14:textId="77777777" w:rsidR="00833634" w:rsidRDefault="00E15D51">
            <w:pPr>
              <w:jc w:val="right"/>
              <w:textAlignment w:val="bottom"/>
            </w:pPr>
            <w:r>
              <w:rPr>
                <w:rFonts w:ascii="Arial" w:eastAsia="宋体" w:hAnsi="Arial" w:cs="Arial"/>
                <w:color w:val="000000"/>
                <w:sz w:val="16"/>
                <w:szCs w:val="16"/>
              </w:rPr>
              <w:t>($14,620)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5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5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5F" w14:textId="77777777" w:rsidR="00833634" w:rsidRDefault="00E15D51">
            <w:pPr>
              <w:jc w:val="right"/>
              <w:textAlignment w:val="bottom"/>
            </w:pPr>
            <w:r>
              <w:rPr>
                <w:rFonts w:ascii="Arial" w:eastAsia="宋体" w:hAnsi="Arial" w:cs="Arial"/>
                <w:color w:val="000000"/>
                <w:sz w:val="16"/>
                <w:szCs w:val="16"/>
              </w:rPr>
              <w:t>($14,927)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60" w14:textId="77777777" w:rsidR="00833634" w:rsidRDefault="00833634">
            <w:pPr>
              <w:jc w:val="right"/>
              <w:rPr>
                <w:rFonts w:ascii="宋体"/>
              </w:rPr>
            </w:pPr>
          </w:p>
        </w:tc>
      </w:tr>
      <w:tr w:rsidR="00833634" w14:paraId="4090E96C" w14:textId="77777777">
        <w:trPr>
          <w:trHeight w:val="280"/>
        </w:trPr>
        <w:tc>
          <w:tcPr>
            <w:tcW w:w="0" w:type="auto"/>
            <w:gridSpan w:val="3"/>
            <w:tcBorders>
              <w:top w:val="double" w:sz="6" w:space="0" w:color="000000"/>
            </w:tcBorders>
            <w:shd w:val="clear" w:color="auto" w:fill="FFFFFF"/>
            <w:tcMar>
              <w:top w:w="0" w:type="dxa"/>
              <w:left w:w="20" w:type="dxa"/>
              <w:bottom w:w="0" w:type="dxa"/>
              <w:right w:w="20" w:type="dxa"/>
            </w:tcMar>
          </w:tcPr>
          <w:p w14:paraId="4090E962"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963"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964"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965"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966"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967"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968"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969"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96A"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96B" w14:textId="77777777" w:rsidR="00833634" w:rsidRDefault="00833634">
            <w:pPr>
              <w:rPr>
                <w:rFonts w:ascii="宋体"/>
              </w:rPr>
            </w:pPr>
          </w:p>
        </w:tc>
      </w:tr>
      <w:tr w:rsidR="00833634" w14:paraId="4090E97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96D" w14:textId="77777777" w:rsidR="00833634" w:rsidRDefault="00E15D51">
            <w:pPr>
              <w:textAlignment w:val="bottom"/>
            </w:pPr>
            <w:r>
              <w:rPr>
                <w:rFonts w:ascii="Arial" w:eastAsia="宋体" w:hAnsi="Arial" w:cs="Arial"/>
                <w:b/>
                <w:bCs/>
                <w:color w:val="000000"/>
                <w:sz w:val="16"/>
                <w:szCs w:val="16"/>
              </w:rPr>
              <w:t>Balance at January 1,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6E" w14:textId="77777777" w:rsidR="00833634" w:rsidRDefault="00E15D51">
            <w:pPr>
              <w:jc w:val="right"/>
              <w:textAlignment w:val="bottom"/>
            </w:pPr>
            <w:r>
              <w:rPr>
                <w:rFonts w:ascii="Arial" w:eastAsia="宋体" w:hAnsi="Arial" w:cs="Arial"/>
                <w:b/>
                <w:bCs/>
                <w:color w:val="000000"/>
                <w:sz w:val="16"/>
                <w:szCs w:val="16"/>
              </w:rPr>
              <w:t>($128)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6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7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71" w14:textId="77777777" w:rsidR="00833634" w:rsidRDefault="00E15D51">
            <w:pPr>
              <w:jc w:val="right"/>
              <w:textAlignment w:val="bottom"/>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7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7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74" w14:textId="77777777" w:rsidR="00833634" w:rsidRDefault="00E15D51">
            <w:pPr>
              <w:jc w:val="right"/>
              <w:textAlignment w:val="bottom"/>
            </w:pPr>
            <w:r>
              <w:rPr>
                <w:rFonts w:ascii="Arial" w:eastAsia="宋体" w:hAnsi="Arial" w:cs="Arial"/>
                <w:b/>
                <w:bCs/>
                <w:color w:val="000000"/>
                <w:sz w:val="16"/>
                <w:szCs w:val="16"/>
              </w:rPr>
              <w:t>($84)</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7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7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77" w14:textId="77777777" w:rsidR="00833634" w:rsidRDefault="00E15D51">
            <w:pPr>
              <w:jc w:val="right"/>
              <w:textAlignment w:val="bottom"/>
            </w:pPr>
            <w:r>
              <w:rPr>
                <w:rFonts w:ascii="Arial" w:eastAsia="宋体" w:hAnsi="Arial" w:cs="Arial"/>
                <w:b/>
                <w:bCs/>
                <w:color w:val="000000"/>
                <w:sz w:val="16"/>
                <w:szCs w:val="16"/>
              </w:rPr>
              <w:t>($15,942)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7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7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7A" w14:textId="77777777" w:rsidR="00833634" w:rsidRDefault="00E15D51">
            <w:pPr>
              <w:jc w:val="right"/>
              <w:textAlignment w:val="bottom"/>
            </w:pPr>
            <w:r>
              <w:rPr>
                <w:rFonts w:ascii="Arial" w:eastAsia="宋体" w:hAnsi="Arial" w:cs="Arial"/>
                <w:b/>
                <w:bCs/>
                <w:color w:val="000000"/>
                <w:sz w:val="16"/>
                <w:szCs w:val="16"/>
              </w:rPr>
              <w:t>($16,153)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7B" w14:textId="77777777" w:rsidR="00833634" w:rsidRDefault="00833634">
            <w:pPr>
              <w:jc w:val="right"/>
              <w:rPr>
                <w:rFonts w:ascii="宋体"/>
              </w:rPr>
            </w:pPr>
          </w:p>
        </w:tc>
      </w:tr>
      <w:tr w:rsidR="00833634" w14:paraId="4090E98B"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97D" w14:textId="77777777" w:rsidR="00833634" w:rsidRDefault="00E15D51">
            <w:pPr>
              <w:ind w:hanging="180"/>
              <w:textAlignment w:val="bottom"/>
            </w:pPr>
            <w:r>
              <w:rPr>
                <w:rFonts w:ascii="Arial" w:eastAsia="宋体" w:hAnsi="Arial" w:cs="Arial"/>
                <w:b/>
                <w:bCs/>
                <w:color w:val="000000"/>
                <w:sz w:val="16"/>
                <w:szCs w:val="16"/>
              </w:rPr>
              <w:t>Other comprehensive (loss)/income before reclassifications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7E" w14:textId="77777777" w:rsidR="00833634" w:rsidRDefault="00E15D51">
            <w:pPr>
              <w:jc w:val="right"/>
              <w:textAlignment w:val="bottom"/>
            </w:pPr>
            <w:r>
              <w:rPr>
                <w:rFonts w:ascii="Arial" w:eastAsia="宋体" w:hAnsi="Arial" w:cs="Arial"/>
                <w:b/>
                <w:bCs/>
                <w:color w:val="000000"/>
                <w:sz w:val="16"/>
                <w:szCs w:val="16"/>
              </w:rPr>
              <w:t>15</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7F"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80"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81"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82"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83" w14:textId="77777777" w:rsidR="00833634" w:rsidRDefault="00E15D51">
            <w:pPr>
              <w:jc w:val="right"/>
              <w:textAlignment w:val="bottom"/>
            </w:pPr>
            <w:r>
              <w:rPr>
                <w:rFonts w:ascii="Arial" w:eastAsia="宋体" w:hAnsi="Arial" w:cs="Arial"/>
                <w:b/>
                <w:bCs/>
                <w:color w:val="000000"/>
                <w:sz w:val="16"/>
                <w:szCs w:val="16"/>
              </w:rPr>
              <w:t>(107)</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84"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85"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86" w14:textId="77777777" w:rsidR="00833634" w:rsidRDefault="00E15D51">
            <w:pPr>
              <w:jc w:val="right"/>
              <w:textAlignment w:val="bottom"/>
            </w:pPr>
            <w:r>
              <w:rPr>
                <w:rFonts w:ascii="Arial" w:eastAsia="宋体" w:hAnsi="Arial" w:cs="Arial"/>
                <w:b/>
                <w:bCs/>
                <w:color w:val="000000"/>
                <w:sz w:val="16"/>
                <w:szCs w:val="16"/>
              </w:rPr>
              <w:t>(52)</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87"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88"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89" w14:textId="77777777" w:rsidR="00833634" w:rsidRDefault="00E15D51">
            <w:pPr>
              <w:jc w:val="right"/>
              <w:textAlignment w:val="bottom"/>
            </w:pPr>
            <w:r>
              <w:rPr>
                <w:rFonts w:ascii="Arial" w:eastAsia="宋体" w:hAnsi="Arial" w:cs="Arial"/>
                <w:b/>
                <w:bCs/>
                <w:color w:val="000000"/>
                <w:sz w:val="16"/>
                <w:szCs w:val="16"/>
              </w:rPr>
              <w:t>(144)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8A" w14:textId="77777777" w:rsidR="00833634" w:rsidRDefault="00833634">
            <w:pPr>
              <w:jc w:val="right"/>
              <w:rPr>
                <w:rFonts w:ascii="宋体"/>
              </w:rPr>
            </w:pPr>
          </w:p>
        </w:tc>
      </w:tr>
      <w:tr w:rsidR="00833634" w14:paraId="4090E999" w14:textId="77777777">
        <w:tc>
          <w:tcPr>
            <w:tcW w:w="0" w:type="auto"/>
            <w:gridSpan w:val="3"/>
            <w:shd w:val="clear" w:color="auto" w:fill="CCEEFF"/>
            <w:tcMar>
              <w:top w:w="40" w:type="dxa"/>
              <w:left w:w="20" w:type="dxa"/>
              <w:bottom w:w="40" w:type="dxa"/>
              <w:right w:w="20" w:type="dxa"/>
            </w:tcMar>
            <w:vAlign w:val="bottom"/>
          </w:tcPr>
          <w:p w14:paraId="4090E98C" w14:textId="77777777" w:rsidR="00833634" w:rsidRDefault="00E15D51">
            <w:pPr>
              <w:ind w:hanging="180"/>
              <w:textAlignment w:val="bottom"/>
            </w:pPr>
            <w:r>
              <w:rPr>
                <w:rFonts w:ascii="Arial" w:eastAsia="宋体" w:hAnsi="Arial" w:cs="Arial"/>
                <w:b/>
                <w:bCs/>
                <w:color w:val="000000"/>
                <w:sz w:val="16"/>
                <w:szCs w:val="16"/>
              </w:rPr>
              <w:t>Amounts reclassified from AOCI</w:t>
            </w:r>
          </w:p>
        </w:tc>
        <w:tc>
          <w:tcPr>
            <w:tcW w:w="0" w:type="auto"/>
            <w:gridSpan w:val="3"/>
            <w:shd w:val="clear" w:color="auto" w:fill="CCEEFF"/>
            <w:tcMar>
              <w:top w:w="0" w:type="dxa"/>
              <w:left w:w="20" w:type="dxa"/>
              <w:bottom w:w="0" w:type="dxa"/>
              <w:right w:w="20" w:type="dxa"/>
            </w:tcMar>
          </w:tcPr>
          <w:p w14:paraId="4090E98D"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98E"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98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99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991" w14:textId="77777777" w:rsidR="00833634" w:rsidRDefault="00E15D51">
            <w:pPr>
              <w:jc w:val="right"/>
              <w:textAlignment w:val="bottom"/>
            </w:pPr>
            <w:r>
              <w:rPr>
                <w:rFonts w:ascii="Arial" w:eastAsia="宋体" w:hAnsi="Arial" w:cs="Arial"/>
                <w:b/>
                <w:bCs/>
                <w:color w:val="000000"/>
                <w:sz w:val="16"/>
                <w:szCs w:val="16"/>
              </w:rPr>
              <w:t>20</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99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99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994" w14:textId="77777777" w:rsidR="00833634" w:rsidRDefault="00E15D51">
            <w:pPr>
              <w:jc w:val="right"/>
              <w:textAlignment w:val="bottom"/>
            </w:pPr>
            <w:r>
              <w:rPr>
                <w:rFonts w:ascii="Arial" w:eastAsia="宋体" w:hAnsi="Arial" w:cs="Arial"/>
                <w:b/>
                <w:bCs/>
                <w:color w:val="000000"/>
                <w:sz w:val="16"/>
                <w:szCs w:val="16"/>
              </w:rPr>
              <w:t>498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995" w14:textId="77777777" w:rsidR="00833634" w:rsidRDefault="00833634">
            <w:pPr>
              <w:jc w:val="right"/>
              <w:rPr>
                <w:rFonts w:ascii="宋体"/>
              </w:rPr>
            </w:pPr>
          </w:p>
        </w:tc>
        <w:tc>
          <w:tcPr>
            <w:tcW w:w="0" w:type="auto"/>
            <w:gridSpan w:val="3"/>
            <w:shd w:val="clear" w:color="auto" w:fill="CCEEFF"/>
            <w:tcMar>
              <w:top w:w="40" w:type="dxa"/>
              <w:left w:w="20" w:type="dxa"/>
              <w:bottom w:w="40" w:type="dxa"/>
              <w:right w:w="20" w:type="dxa"/>
            </w:tcMar>
            <w:vAlign w:val="bottom"/>
          </w:tcPr>
          <w:p w14:paraId="4090E996" w14:textId="77777777" w:rsidR="00833634" w:rsidRDefault="00E15D51">
            <w:pPr>
              <w:textAlignment w:val="bottom"/>
            </w:pPr>
            <w:r>
              <w:rPr>
                <w:rFonts w:ascii="Arial" w:eastAsia="宋体" w:hAnsi="Arial" w:cs="Arial"/>
                <w:b/>
                <w:bCs/>
                <w:color w:val="000000"/>
                <w:sz w:val="10"/>
                <w:szCs w:val="10"/>
              </w:rPr>
              <w:t>(2)</w:t>
            </w:r>
          </w:p>
        </w:tc>
        <w:tc>
          <w:tcPr>
            <w:tcW w:w="0" w:type="auto"/>
            <w:gridSpan w:val="2"/>
            <w:shd w:val="clear" w:color="auto" w:fill="CCEEFF"/>
            <w:tcMar>
              <w:top w:w="40" w:type="dxa"/>
              <w:left w:w="20" w:type="dxa"/>
              <w:bottom w:w="40" w:type="dxa"/>
              <w:right w:w="0" w:type="dxa"/>
            </w:tcMar>
            <w:vAlign w:val="bottom"/>
          </w:tcPr>
          <w:p w14:paraId="4090E997" w14:textId="77777777" w:rsidR="00833634" w:rsidRDefault="00E15D51">
            <w:pPr>
              <w:jc w:val="right"/>
              <w:textAlignment w:val="bottom"/>
            </w:pPr>
            <w:r>
              <w:rPr>
                <w:rFonts w:ascii="Arial" w:eastAsia="宋体" w:hAnsi="Arial" w:cs="Arial"/>
                <w:b/>
                <w:bCs/>
                <w:color w:val="000000"/>
                <w:sz w:val="16"/>
                <w:szCs w:val="16"/>
              </w:rPr>
              <w:t>518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998" w14:textId="77777777" w:rsidR="00833634" w:rsidRDefault="00833634">
            <w:pPr>
              <w:jc w:val="right"/>
              <w:rPr>
                <w:rFonts w:ascii="宋体"/>
              </w:rPr>
            </w:pPr>
          </w:p>
        </w:tc>
      </w:tr>
      <w:tr w:rsidR="00833634" w14:paraId="4090E9A8"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99A" w14:textId="77777777" w:rsidR="00833634" w:rsidRDefault="00E15D51">
            <w:pPr>
              <w:textAlignment w:val="bottom"/>
            </w:pPr>
            <w:r>
              <w:rPr>
                <w:rFonts w:ascii="Arial" w:eastAsia="宋体" w:hAnsi="Arial" w:cs="Arial"/>
                <w:b/>
                <w:bCs/>
                <w:color w:val="000000"/>
                <w:sz w:val="16"/>
                <w:szCs w:val="16"/>
              </w:rPr>
              <w:t>Net current period Other comprehensive (loss)/income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9B" w14:textId="77777777" w:rsidR="00833634" w:rsidRDefault="00E15D51">
            <w:pPr>
              <w:jc w:val="right"/>
              <w:textAlignment w:val="bottom"/>
            </w:pPr>
            <w:r>
              <w:rPr>
                <w:rFonts w:ascii="Arial" w:eastAsia="宋体" w:hAnsi="Arial" w:cs="Arial"/>
                <w:b/>
                <w:bCs/>
                <w:color w:val="000000"/>
                <w:sz w:val="16"/>
                <w:szCs w:val="16"/>
              </w:rPr>
              <w:t>15</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9C"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9D"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9E"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9F"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A0" w14:textId="77777777" w:rsidR="00833634" w:rsidRDefault="00E15D51">
            <w:pPr>
              <w:jc w:val="right"/>
              <w:textAlignment w:val="bottom"/>
            </w:pPr>
            <w:r>
              <w:rPr>
                <w:rFonts w:ascii="Arial" w:eastAsia="宋体" w:hAnsi="Arial" w:cs="Arial"/>
                <w:b/>
                <w:bCs/>
                <w:color w:val="000000"/>
                <w:sz w:val="16"/>
                <w:szCs w:val="16"/>
              </w:rPr>
              <w:t>(87)</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A1"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A2"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A3" w14:textId="77777777" w:rsidR="00833634" w:rsidRDefault="00E15D51">
            <w:pPr>
              <w:jc w:val="right"/>
              <w:textAlignment w:val="bottom"/>
            </w:pPr>
            <w:r>
              <w:rPr>
                <w:rFonts w:ascii="Arial" w:eastAsia="宋体" w:hAnsi="Arial" w:cs="Arial"/>
                <w:b/>
                <w:bCs/>
                <w:color w:val="000000"/>
                <w:sz w:val="16"/>
                <w:szCs w:val="16"/>
              </w:rPr>
              <w:t>446</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A4"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A5"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A6" w14:textId="77777777" w:rsidR="00833634" w:rsidRDefault="00E15D51">
            <w:pPr>
              <w:jc w:val="right"/>
              <w:textAlignment w:val="bottom"/>
            </w:pPr>
            <w:r>
              <w:rPr>
                <w:rFonts w:ascii="Arial" w:eastAsia="宋体" w:hAnsi="Arial" w:cs="Arial"/>
                <w:b/>
                <w:bCs/>
                <w:color w:val="000000"/>
                <w:sz w:val="16"/>
                <w:szCs w:val="16"/>
              </w:rPr>
              <w:t>374</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A7" w14:textId="77777777" w:rsidR="00833634" w:rsidRDefault="00833634">
            <w:pPr>
              <w:jc w:val="right"/>
              <w:rPr>
                <w:rFonts w:ascii="宋体"/>
              </w:rPr>
            </w:pPr>
          </w:p>
        </w:tc>
      </w:tr>
      <w:tr w:rsidR="00833634" w14:paraId="4090E9B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9A9" w14:textId="77777777" w:rsidR="00833634" w:rsidRDefault="00E15D51">
            <w:pPr>
              <w:textAlignment w:val="bottom"/>
            </w:pPr>
            <w:r>
              <w:rPr>
                <w:rFonts w:ascii="Arial" w:eastAsia="宋体" w:hAnsi="Arial" w:cs="Arial"/>
                <w:b/>
                <w:bCs/>
                <w:color w:val="000000"/>
                <w:sz w:val="16"/>
                <w:szCs w:val="16"/>
              </w:rPr>
              <w:t>Balance at September 30,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AA" w14:textId="77777777" w:rsidR="00833634" w:rsidRDefault="00E15D51">
            <w:pPr>
              <w:jc w:val="right"/>
              <w:textAlignment w:val="bottom"/>
            </w:pPr>
            <w:r>
              <w:rPr>
                <w:rFonts w:ascii="Arial" w:eastAsia="宋体" w:hAnsi="Arial" w:cs="Arial"/>
                <w:b/>
                <w:bCs/>
                <w:color w:val="000000"/>
                <w:sz w:val="16"/>
                <w:szCs w:val="16"/>
              </w:rPr>
              <w:t>($113)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A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A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AD" w14:textId="77777777" w:rsidR="00833634" w:rsidRDefault="00E15D51">
            <w:pPr>
              <w:jc w:val="right"/>
              <w:textAlignment w:val="bottom"/>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A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A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B0" w14:textId="77777777" w:rsidR="00833634" w:rsidRDefault="00E15D51">
            <w:pPr>
              <w:jc w:val="right"/>
              <w:textAlignment w:val="bottom"/>
            </w:pPr>
            <w:r>
              <w:rPr>
                <w:rFonts w:ascii="Arial" w:eastAsia="宋体" w:hAnsi="Arial" w:cs="Arial"/>
                <w:b/>
                <w:bCs/>
                <w:color w:val="000000"/>
                <w:sz w:val="16"/>
                <w:szCs w:val="16"/>
              </w:rPr>
              <w:t>($171)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B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B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B3" w14:textId="77777777" w:rsidR="00833634" w:rsidRDefault="00E15D51">
            <w:pPr>
              <w:jc w:val="right"/>
              <w:textAlignment w:val="bottom"/>
            </w:pPr>
            <w:r>
              <w:rPr>
                <w:rFonts w:ascii="Arial" w:eastAsia="宋体" w:hAnsi="Arial" w:cs="Arial"/>
                <w:b/>
                <w:bCs/>
                <w:color w:val="000000"/>
                <w:sz w:val="16"/>
                <w:szCs w:val="16"/>
              </w:rPr>
              <w:t>($15,496)</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B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B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B6" w14:textId="77777777" w:rsidR="00833634" w:rsidRDefault="00E15D51">
            <w:pPr>
              <w:jc w:val="right"/>
              <w:textAlignment w:val="bottom"/>
            </w:pPr>
            <w:r>
              <w:rPr>
                <w:rFonts w:ascii="Arial" w:eastAsia="宋体" w:hAnsi="Arial" w:cs="Arial"/>
                <w:b/>
                <w:bCs/>
                <w:color w:val="000000"/>
                <w:sz w:val="16"/>
                <w:szCs w:val="16"/>
              </w:rPr>
              <w:t>($15,779)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B7" w14:textId="77777777" w:rsidR="00833634" w:rsidRDefault="00833634">
            <w:pPr>
              <w:jc w:val="right"/>
              <w:rPr>
                <w:rFonts w:ascii="宋体"/>
              </w:rPr>
            </w:pPr>
          </w:p>
        </w:tc>
      </w:tr>
      <w:tr w:rsidR="00833634" w14:paraId="4090E9C3" w14:textId="77777777">
        <w:trPr>
          <w:trHeight w:val="240"/>
        </w:trPr>
        <w:tc>
          <w:tcPr>
            <w:tcW w:w="0" w:type="auto"/>
            <w:gridSpan w:val="3"/>
            <w:tcBorders>
              <w:top w:val="double" w:sz="6" w:space="0" w:color="000000"/>
            </w:tcBorders>
            <w:shd w:val="clear" w:color="auto" w:fill="auto"/>
            <w:tcMar>
              <w:top w:w="0" w:type="dxa"/>
              <w:left w:w="20" w:type="dxa"/>
              <w:bottom w:w="0" w:type="dxa"/>
              <w:right w:w="20" w:type="dxa"/>
            </w:tcMar>
          </w:tcPr>
          <w:p w14:paraId="4090E9B9"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9BA"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9BB"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9BC"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9BD"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9BE"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9BF"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9C0"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9C1"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9C2" w14:textId="77777777" w:rsidR="00833634" w:rsidRDefault="00833634">
            <w:pPr>
              <w:rPr>
                <w:rFonts w:ascii="宋体"/>
              </w:rPr>
            </w:pPr>
          </w:p>
        </w:tc>
      </w:tr>
      <w:tr w:rsidR="00833634" w14:paraId="4090E9D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9C4" w14:textId="77777777" w:rsidR="00833634" w:rsidRDefault="00E15D51">
            <w:pPr>
              <w:textAlignment w:val="bottom"/>
            </w:pPr>
            <w:r>
              <w:rPr>
                <w:rFonts w:ascii="Arial" w:eastAsia="宋体" w:hAnsi="Arial" w:cs="Arial"/>
                <w:color w:val="000000"/>
                <w:sz w:val="16"/>
                <w:szCs w:val="16"/>
              </w:rPr>
              <w:t>Balance at June 30,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C5" w14:textId="77777777" w:rsidR="00833634" w:rsidRDefault="00E15D51">
            <w:pPr>
              <w:jc w:val="right"/>
              <w:textAlignment w:val="bottom"/>
            </w:pPr>
            <w:r>
              <w:rPr>
                <w:rFonts w:ascii="Arial" w:eastAsia="宋体" w:hAnsi="Arial" w:cs="Arial"/>
                <w:color w:val="000000"/>
                <w:sz w:val="16"/>
                <w:szCs w:val="16"/>
              </w:rPr>
              <w:t>($103)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C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C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C8" w14:textId="77777777" w:rsidR="00833634" w:rsidRDefault="00E15D51">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C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C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CB" w14:textId="77777777" w:rsidR="00833634" w:rsidRDefault="00E15D51">
            <w:pPr>
              <w:jc w:val="right"/>
              <w:textAlignment w:val="bottom"/>
            </w:pPr>
            <w:r>
              <w:rPr>
                <w:rFonts w:ascii="Arial" w:eastAsia="宋体" w:hAnsi="Arial" w:cs="Arial"/>
                <w:color w:val="000000"/>
                <w:sz w:val="16"/>
                <w:szCs w:val="16"/>
              </w:rPr>
              <w:t>($82)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C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C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CE" w14:textId="77777777" w:rsidR="00833634" w:rsidRDefault="00E15D51">
            <w:pPr>
              <w:jc w:val="right"/>
              <w:textAlignment w:val="bottom"/>
            </w:pPr>
            <w:r>
              <w:rPr>
                <w:rFonts w:ascii="Arial" w:eastAsia="宋体" w:hAnsi="Arial" w:cs="Arial"/>
                <w:color w:val="000000"/>
                <w:sz w:val="16"/>
                <w:szCs w:val="16"/>
              </w:rPr>
              <w:t>($14,724)</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C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9D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9D1" w14:textId="77777777" w:rsidR="00833634" w:rsidRDefault="00E15D51">
            <w:pPr>
              <w:jc w:val="right"/>
              <w:textAlignment w:val="bottom"/>
            </w:pPr>
            <w:r>
              <w:rPr>
                <w:rFonts w:ascii="Arial" w:eastAsia="宋体" w:hAnsi="Arial" w:cs="Arial"/>
                <w:color w:val="000000"/>
                <w:sz w:val="16"/>
                <w:szCs w:val="16"/>
              </w:rPr>
              <w:t>($14,908)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9D2" w14:textId="77777777" w:rsidR="00833634" w:rsidRDefault="00833634">
            <w:pPr>
              <w:jc w:val="right"/>
              <w:rPr>
                <w:rFonts w:ascii="宋体"/>
              </w:rPr>
            </w:pPr>
          </w:p>
        </w:tc>
      </w:tr>
      <w:tr w:rsidR="00833634" w14:paraId="4090E9E2"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9D4" w14:textId="77777777" w:rsidR="00833634" w:rsidRDefault="00E15D51">
            <w:pPr>
              <w:ind w:hanging="180"/>
              <w:textAlignment w:val="bottom"/>
            </w:pPr>
            <w:r>
              <w:rPr>
                <w:rFonts w:ascii="Arial" w:eastAsia="宋体" w:hAnsi="Arial" w:cs="Arial"/>
                <w:color w:val="000000"/>
                <w:sz w:val="16"/>
                <w:szCs w:val="16"/>
              </w:rPr>
              <w:t>Other comprehensive (loss)/income before reclassifications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D5" w14:textId="77777777" w:rsidR="00833634" w:rsidRDefault="00E15D51">
            <w:pPr>
              <w:jc w:val="right"/>
              <w:textAlignment w:val="bottom"/>
            </w:pPr>
            <w:r>
              <w:rPr>
                <w:rFonts w:ascii="Arial" w:eastAsia="宋体" w:hAnsi="Arial" w:cs="Arial"/>
                <w:color w:val="000000"/>
                <w:sz w:val="16"/>
                <w:szCs w:val="16"/>
              </w:rPr>
              <w:t>(59)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D6"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D7"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D8"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D9"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DA" w14:textId="77777777" w:rsidR="00833634" w:rsidRDefault="00E15D51">
            <w:pPr>
              <w:jc w:val="right"/>
              <w:textAlignment w:val="bottom"/>
            </w:pPr>
            <w:r>
              <w:rPr>
                <w:rFonts w:ascii="Arial" w:eastAsia="宋体" w:hAnsi="Arial" w:cs="Arial"/>
                <w:color w:val="000000"/>
                <w:sz w:val="16"/>
                <w:szCs w:val="16"/>
              </w:rPr>
              <w:t>(89)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DB"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DC"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DD" w14:textId="77777777" w:rsidR="00833634" w:rsidRDefault="00E15D51">
            <w:pPr>
              <w:jc w:val="right"/>
              <w:textAlignment w:val="bottom"/>
            </w:pPr>
            <w:r>
              <w:rPr>
                <w:rFonts w:ascii="Arial" w:eastAsia="宋体" w:hAnsi="Arial" w:cs="Arial"/>
                <w:color w:val="000000"/>
                <w:sz w:val="16"/>
                <w:szCs w:val="16"/>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DE"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DF"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E0" w14:textId="77777777" w:rsidR="00833634" w:rsidRDefault="00E15D51">
            <w:pPr>
              <w:jc w:val="right"/>
              <w:textAlignment w:val="bottom"/>
            </w:pPr>
            <w:r>
              <w:rPr>
                <w:rFonts w:ascii="Arial" w:eastAsia="宋体" w:hAnsi="Arial" w:cs="Arial"/>
                <w:color w:val="000000"/>
                <w:sz w:val="16"/>
                <w:szCs w:val="16"/>
              </w:rPr>
              <w:t>(139)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E1" w14:textId="77777777" w:rsidR="00833634" w:rsidRDefault="00833634">
            <w:pPr>
              <w:jc w:val="right"/>
              <w:rPr>
                <w:rFonts w:ascii="宋体"/>
              </w:rPr>
            </w:pPr>
          </w:p>
        </w:tc>
      </w:tr>
      <w:tr w:rsidR="00833634" w14:paraId="4090E9F0" w14:textId="77777777">
        <w:tc>
          <w:tcPr>
            <w:tcW w:w="0" w:type="auto"/>
            <w:gridSpan w:val="3"/>
            <w:shd w:val="clear" w:color="auto" w:fill="CCEEFF"/>
            <w:tcMar>
              <w:top w:w="40" w:type="dxa"/>
              <w:left w:w="20" w:type="dxa"/>
              <w:bottom w:w="40" w:type="dxa"/>
              <w:right w:w="20" w:type="dxa"/>
            </w:tcMar>
            <w:vAlign w:val="bottom"/>
          </w:tcPr>
          <w:p w14:paraId="4090E9E3" w14:textId="77777777" w:rsidR="00833634" w:rsidRDefault="00E15D51">
            <w:pPr>
              <w:ind w:hanging="180"/>
              <w:textAlignment w:val="bottom"/>
            </w:pPr>
            <w:r>
              <w:rPr>
                <w:rFonts w:ascii="Arial" w:eastAsia="宋体" w:hAnsi="Arial" w:cs="Arial"/>
                <w:color w:val="000000"/>
                <w:sz w:val="16"/>
                <w:szCs w:val="16"/>
              </w:rPr>
              <w:t>Amounts reclassified from AOCI</w:t>
            </w:r>
          </w:p>
        </w:tc>
        <w:tc>
          <w:tcPr>
            <w:tcW w:w="0" w:type="auto"/>
            <w:gridSpan w:val="3"/>
            <w:shd w:val="clear" w:color="auto" w:fill="CCEEFF"/>
            <w:tcMar>
              <w:top w:w="0" w:type="dxa"/>
              <w:left w:w="20" w:type="dxa"/>
              <w:bottom w:w="0" w:type="dxa"/>
              <w:right w:w="20" w:type="dxa"/>
            </w:tcMar>
          </w:tcPr>
          <w:p w14:paraId="4090E9E4"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9E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9E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9E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9E8" w14:textId="77777777" w:rsidR="00833634" w:rsidRDefault="00E15D51">
            <w:pPr>
              <w:jc w:val="right"/>
              <w:textAlignment w:val="bottom"/>
            </w:pPr>
            <w:r>
              <w:rPr>
                <w:rFonts w:ascii="Arial" w:eastAsia="宋体" w:hAnsi="Arial" w:cs="Arial"/>
                <w:color w:val="000000"/>
                <w:sz w:val="16"/>
                <w:szCs w:val="16"/>
              </w:rPr>
              <w:t>25 </w:t>
            </w:r>
          </w:p>
        </w:tc>
        <w:tc>
          <w:tcPr>
            <w:tcW w:w="0" w:type="auto"/>
            <w:shd w:val="clear" w:color="auto" w:fill="CCEEFF"/>
            <w:tcMar>
              <w:top w:w="40" w:type="dxa"/>
              <w:left w:w="0" w:type="dxa"/>
              <w:bottom w:w="40" w:type="dxa"/>
              <w:right w:w="20" w:type="dxa"/>
            </w:tcMar>
            <w:vAlign w:val="bottom"/>
          </w:tcPr>
          <w:p w14:paraId="4090E9E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9E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9EB" w14:textId="77777777" w:rsidR="00833634" w:rsidRDefault="00E15D51">
            <w:pPr>
              <w:jc w:val="right"/>
              <w:textAlignment w:val="bottom"/>
            </w:pPr>
            <w:r>
              <w:rPr>
                <w:rFonts w:ascii="Arial" w:eastAsia="宋体" w:hAnsi="Arial" w:cs="Arial"/>
                <w:color w:val="000000"/>
                <w:sz w:val="16"/>
                <w:szCs w:val="16"/>
              </w:rPr>
              <w:t>95 </w:t>
            </w:r>
          </w:p>
        </w:tc>
        <w:tc>
          <w:tcPr>
            <w:tcW w:w="0" w:type="auto"/>
            <w:shd w:val="clear" w:color="auto" w:fill="CCEEFF"/>
            <w:tcMar>
              <w:top w:w="40" w:type="dxa"/>
              <w:left w:w="0" w:type="dxa"/>
              <w:bottom w:w="40" w:type="dxa"/>
              <w:right w:w="20" w:type="dxa"/>
            </w:tcMar>
            <w:vAlign w:val="bottom"/>
          </w:tcPr>
          <w:p w14:paraId="4090E9EC" w14:textId="77777777" w:rsidR="00833634" w:rsidRDefault="00833634">
            <w:pPr>
              <w:jc w:val="right"/>
              <w:rPr>
                <w:rFonts w:ascii="宋体"/>
              </w:rPr>
            </w:pPr>
          </w:p>
        </w:tc>
        <w:tc>
          <w:tcPr>
            <w:tcW w:w="0" w:type="auto"/>
            <w:gridSpan w:val="3"/>
            <w:shd w:val="clear" w:color="auto" w:fill="CCEEFF"/>
            <w:tcMar>
              <w:top w:w="40" w:type="dxa"/>
              <w:left w:w="20" w:type="dxa"/>
              <w:bottom w:w="40" w:type="dxa"/>
              <w:right w:w="20" w:type="dxa"/>
            </w:tcMar>
            <w:vAlign w:val="bottom"/>
          </w:tcPr>
          <w:p w14:paraId="4090E9ED" w14:textId="77777777" w:rsidR="00833634" w:rsidRDefault="00E15D51">
            <w:pPr>
              <w:textAlignment w:val="bottom"/>
            </w:pPr>
            <w:r>
              <w:rPr>
                <w:rFonts w:ascii="Arial" w:eastAsia="宋体" w:hAnsi="Arial" w:cs="Arial"/>
                <w:color w:val="000000"/>
                <w:sz w:val="10"/>
                <w:szCs w:val="10"/>
              </w:rPr>
              <w:t>(2)</w:t>
            </w:r>
          </w:p>
        </w:tc>
        <w:tc>
          <w:tcPr>
            <w:tcW w:w="0" w:type="auto"/>
            <w:gridSpan w:val="2"/>
            <w:shd w:val="clear" w:color="auto" w:fill="CCEEFF"/>
            <w:tcMar>
              <w:top w:w="40" w:type="dxa"/>
              <w:left w:w="20" w:type="dxa"/>
              <w:bottom w:w="40" w:type="dxa"/>
              <w:right w:w="0" w:type="dxa"/>
            </w:tcMar>
            <w:vAlign w:val="bottom"/>
          </w:tcPr>
          <w:p w14:paraId="4090E9EE" w14:textId="77777777" w:rsidR="00833634" w:rsidRDefault="00E15D51">
            <w:pPr>
              <w:jc w:val="right"/>
              <w:textAlignment w:val="bottom"/>
            </w:pPr>
            <w:r>
              <w:rPr>
                <w:rFonts w:ascii="Arial" w:eastAsia="宋体" w:hAnsi="Arial" w:cs="Arial"/>
                <w:color w:val="000000"/>
                <w:sz w:val="16"/>
                <w:szCs w:val="16"/>
              </w:rPr>
              <w:t>120 </w:t>
            </w:r>
          </w:p>
        </w:tc>
        <w:tc>
          <w:tcPr>
            <w:tcW w:w="0" w:type="auto"/>
            <w:shd w:val="clear" w:color="auto" w:fill="CCEEFF"/>
            <w:tcMar>
              <w:top w:w="40" w:type="dxa"/>
              <w:left w:w="0" w:type="dxa"/>
              <w:bottom w:w="40" w:type="dxa"/>
              <w:right w:w="20" w:type="dxa"/>
            </w:tcMar>
            <w:vAlign w:val="bottom"/>
          </w:tcPr>
          <w:p w14:paraId="4090E9EF" w14:textId="77777777" w:rsidR="00833634" w:rsidRDefault="00833634">
            <w:pPr>
              <w:jc w:val="right"/>
              <w:rPr>
                <w:rFonts w:ascii="宋体"/>
              </w:rPr>
            </w:pPr>
          </w:p>
        </w:tc>
      </w:tr>
      <w:tr w:rsidR="00833634" w14:paraId="4090E9FF"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9F1" w14:textId="77777777" w:rsidR="00833634" w:rsidRDefault="00E15D51">
            <w:pPr>
              <w:textAlignment w:val="bottom"/>
            </w:pPr>
            <w:r>
              <w:rPr>
                <w:rFonts w:ascii="Arial" w:eastAsia="宋体" w:hAnsi="Arial" w:cs="Arial"/>
                <w:color w:val="000000"/>
                <w:sz w:val="16"/>
                <w:szCs w:val="16"/>
              </w:rPr>
              <w:t>Net current period Other comprehensive (loss)/income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F2" w14:textId="77777777" w:rsidR="00833634" w:rsidRDefault="00E15D51">
            <w:pPr>
              <w:jc w:val="right"/>
              <w:textAlignment w:val="bottom"/>
            </w:pPr>
            <w:r>
              <w:rPr>
                <w:rFonts w:ascii="Arial" w:eastAsia="宋体" w:hAnsi="Arial" w:cs="Arial"/>
                <w:color w:val="000000"/>
                <w:sz w:val="16"/>
                <w:szCs w:val="16"/>
              </w:rPr>
              <w:t>(59)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F3"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F4"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F5"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F6"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F7" w14:textId="77777777" w:rsidR="00833634" w:rsidRDefault="00E15D51">
            <w:pPr>
              <w:jc w:val="right"/>
              <w:textAlignment w:val="bottom"/>
            </w:pPr>
            <w:r>
              <w:rPr>
                <w:rFonts w:ascii="Arial" w:eastAsia="宋体" w:hAnsi="Arial" w:cs="Arial"/>
                <w:color w:val="000000"/>
                <w:sz w:val="16"/>
                <w:szCs w:val="16"/>
              </w:rPr>
              <w:t>(64)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F8"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F9"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FA" w14:textId="77777777" w:rsidR="00833634" w:rsidRDefault="00E15D51">
            <w:pPr>
              <w:jc w:val="right"/>
              <w:textAlignment w:val="bottom"/>
            </w:pPr>
            <w:r>
              <w:rPr>
                <w:rFonts w:ascii="Arial" w:eastAsia="宋体" w:hAnsi="Arial" w:cs="Arial"/>
                <w:color w:val="000000"/>
                <w:sz w:val="16"/>
                <w:szCs w:val="16"/>
              </w:rPr>
              <w:t>104 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FB"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9FC"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9FD" w14:textId="77777777" w:rsidR="00833634" w:rsidRDefault="00E15D51">
            <w:pPr>
              <w:jc w:val="right"/>
              <w:textAlignment w:val="bottom"/>
            </w:pPr>
            <w:r>
              <w:rPr>
                <w:rFonts w:ascii="Arial" w:eastAsia="宋体" w:hAnsi="Arial" w:cs="Arial"/>
                <w:color w:val="000000"/>
                <w:sz w:val="16"/>
                <w:szCs w:val="16"/>
              </w:rPr>
              <w:t>(19)</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9FE" w14:textId="77777777" w:rsidR="00833634" w:rsidRDefault="00833634">
            <w:pPr>
              <w:jc w:val="right"/>
              <w:rPr>
                <w:rFonts w:ascii="宋体"/>
              </w:rPr>
            </w:pPr>
          </w:p>
        </w:tc>
      </w:tr>
      <w:tr w:rsidR="00833634" w14:paraId="4090EA0F"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A00" w14:textId="77777777" w:rsidR="00833634" w:rsidRDefault="00E15D51">
            <w:pPr>
              <w:textAlignment w:val="bottom"/>
            </w:pPr>
            <w:r>
              <w:rPr>
                <w:rFonts w:ascii="Arial" w:eastAsia="宋体" w:hAnsi="Arial" w:cs="Arial"/>
                <w:color w:val="000000"/>
                <w:sz w:val="16"/>
                <w:szCs w:val="16"/>
              </w:rPr>
              <w:t>Balance at September 30, 2019</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01" w14:textId="77777777" w:rsidR="00833634" w:rsidRDefault="00E15D51">
            <w:pPr>
              <w:jc w:val="right"/>
              <w:textAlignment w:val="bottom"/>
            </w:pPr>
            <w:r>
              <w:rPr>
                <w:rFonts w:ascii="Arial" w:eastAsia="宋体" w:hAnsi="Arial" w:cs="Arial"/>
                <w:color w:val="000000"/>
                <w:sz w:val="16"/>
                <w:szCs w:val="16"/>
              </w:rPr>
              <w:t>($162)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0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0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04" w14:textId="77777777" w:rsidR="00833634" w:rsidRDefault="00E15D51">
            <w:pPr>
              <w:jc w:val="right"/>
              <w:textAlignment w:val="bottom"/>
            </w:pPr>
            <w:r>
              <w:rPr>
                <w:rFonts w:ascii="Arial" w:eastAsia="宋体" w:hAnsi="Arial" w:cs="Arial"/>
                <w:color w:val="000000"/>
                <w:sz w:val="16"/>
                <w:szCs w:val="16"/>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0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0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07" w14:textId="77777777" w:rsidR="00833634" w:rsidRDefault="00E15D51">
            <w:pPr>
              <w:jc w:val="right"/>
              <w:textAlignment w:val="bottom"/>
            </w:pPr>
            <w:r>
              <w:rPr>
                <w:rFonts w:ascii="Arial" w:eastAsia="宋体" w:hAnsi="Arial" w:cs="Arial"/>
                <w:color w:val="000000"/>
                <w:sz w:val="16"/>
                <w:szCs w:val="16"/>
              </w:rPr>
              <w:t>($146)</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0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0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0A" w14:textId="77777777" w:rsidR="00833634" w:rsidRDefault="00E15D51">
            <w:pPr>
              <w:jc w:val="right"/>
              <w:textAlignment w:val="bottom"/>
            </w:pPr>
            <w:r>
              <w:rPr>
                <w:rFonts w:ascii="Arial" w:eastAsia="宋体" w:hAnsi="Arial" w:cs="Arial"/>
                <w:color w:val="000000"/>
                <w:sz w:val="16"/>
                <w:szCs w:val="16"/>
              </w:rPr>
              <w:t>($14,620)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0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0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0D" w14:textId="77777777" w:rsidR="00833634" w:rsidRDefault="00E15D51">
            <w:pPr>
              <w:jc w:val="right"/>
              <w:textAlignment w:val="bottom"/>
            </w:pPr>
            <w:r>
              <w:rPr>
                <w:rFonts w:ascii="Arial" w:eastAsia="宋体" w:hAnsi="Arial" w:cs="Arial"/>
                <w:color w:val="000000"/>
                <w:sz w:val="16"/>
                <w:szCs w:val="16"/>
              </w:rPr>
              <w:t>($14,927)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0E" w14:textId="77777777" w:rsidR="00833634" w:rsidRDefault="00833634">
            <w:pPr>
              <w:jc w:val="right"/>
              <w:rPr>
                <w:rFonts w:ascii="宋体"/>
              </w:rPr>
            </w:pPr>
          </w:p>
        </w:tc>
      </w:tr>
      <w:tr w:rsidR="00833634" w14:paraId="4090EA1A" w14:textId="77777777">
        <w:trPr>
          <w:trHeight w:val="240"/>
        </w:trPr>
        <w:tc>
          <w:tcPr>
            <w:tcW w:w="0" w:type="auto"/>
            <w:gridSpan w:val="3"/>
            <w:tcBorders>
              <w:top w:val="double" w:sz="6" w:space="0" w:color="000000"/>
            </w:tcBorders>
            <w:shd w:val="clear" w:color="auto" w:fill="auto"/>
            <w:tcMar>
              <w:top w:w="0" w:type="dxa"/>
              <w:left w:w="20" w:type="dxa"/>
              <w:bottom w:w="0" w:type="dxa"/>
              <w:right w:w="20" w:type="dxa"/>
            </w:tcMar>
          </w:tcPr>
          <w:p w14:paraId="4090EA10"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A11"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A12"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A13"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A14"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A15"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A16"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A17"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A18" w14:textId="77777777" w:rsidR="00833634" w:rsidRDefault="00833634">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tcPr>
          <w:p w14:paraId="4090EA19" w14:textId="77777777" w:rsidR="00833634" w:rsidRDefault="00833634">
            <w:pPr>
              <w:rPr>
                <w:rFonts w:ascii="宋体"/>
              </w:rPr>
            </w:pPr>
          </w:p>
        </w:tc>
      </w:tr>
      <w:tr w:rsidR="00833634" w14:paraId="4090EA2A"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A1B" w14:textId="77777777" w:rsidR="00833634" w:rsidRDefault="00E15D51">
            <w:pPr>
              <w:textAlignment w:val="bottom"/>
            </w:pPr>
            <w:r>
              <w:rPr>
                <w:rFonts w:ascii="Arial" w:eastAsia="宋体" w:hAnsi="Arial" w:cs="Arial"/>
                <w:b/>
                <w:bCs/>
                <w:color w:val="000000"/>
                <w:sz w:val="16"/>
                <w:szCs w:val="16"/>
              </w:rPr>
              <w:t>Balance at June 30,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1C" w14:textId="77777777" w:rsidR="00833634" w:rsidRDefault="00E15D51">
            <w:pPr>
              <w:jc w:val="right"/>
              <w:textAlignment w:val="bottom"/>
            </w:pPr>
            <w:r>
              <w:rPr>
                <w:rFonts w:ascii="Arial" w:eastAsia="宋体" w:hAnsi="Arial" w:cs="Arial"/>
                <w:b/>
                <w:bCs/>
                <w:color w:val="000000"/>
                <w:sz w:val="16"/>
                <w:szCs w:val="16"/>
              </w:rPr>
              <w:t>($161)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1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1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1F" w14:textId="77777777" w:rsidR="00833634" w:rsidRDefault="00E15D51">
            <w:pPr>
              <w:jc w:val="right"/>
              <w:textAlignment w:val="bottom"/>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2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2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22" w14:textId="77777777" w:rsidR="00833634" w:rsidRDefault="00E15D51">
            <w:pPr>
              <w:jc w:val="right"/>
              <w:textAlignment w:val="bottom"/>
            </w:pPr>
            <w:r>
              <w:rPr>
                <w:rFonts w:ascii="Arial" w:eastAsia="宋体" w:hAnsi="Arial" w:cs="Arial"/>
                <w:b/>
                <w:bCs/>
                <w:color w:val="000000"/>
                <w:sz w:val="16"/>
                <w:szCs w:val="16"/>
              </w:rPr>
              <w:t>($258)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2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2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25" w14:textId="77777777" w:rsidR="00833634" w:rsidRDefault="00E15D51">
            <w:pPr>
              <w:jc w:val="right"/>
              <w:textAlignment w:val="bottom"/>
            </w:pPr>
            <w:r>
              <w:rPr>
                <w:rFonts w:ascii="Arial" w:eastAsia="宋体" w:hAnsi="Arial" w:cs="Arial"/>
                <w:b/>
                <w:bCs/>
                <w:color w:val="000000"/>
                <w:sz w:val="16"/>
                <w:szCs w:val="16"/>
              </w:rPr>
              <w:t>($15,607)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2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2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28" w14:textId="77777777" w:rsidR="00833634" w:rsidRDefault="00E15D51">
            <w:pPr>
              <w:jc w:val="right"/>
              <w:textAlignment w:val="bottom"/>
            </w:pPr>
            <w:r>
              <w:rPr>
                <w:rFonts w:ascii="Arial" w:eastAsia="宋体" w:hAnsi="Arial" w:cs="Arial"/>
                <w:b/>
                <w:bCs/>
                <w:color w:val="000000"/>
                <w:sz w:val="16"/>
                <w:szCs w:val="16"/>
              </w:rPr>
              <w:t>($16,025)</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29" w14:textId="77777777" w:rsidR="00833634" w:rsidRDefault="00833634">
            <w:pPr>
              <w:jc w:val="right"/>
              <w:rPr>
                <w:rFonts w:ascii="宋体"/>
              </w:rPr>
            </w:pPr>
          </w:p>
        </w:tc>
      </w:tr>
      <w:tr w:rsidR="00833634" w14:paraId="4090EA39"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A2B" w14:textId="77777777" w:rsidR="00833634" w:rsidRDefault="00E15D51">
            <w:pPr>
              <w:ind w:hanging="180"/>
              <w:textAlignment w:val="bottom"/>
            </w:pPr>
            <w:r>
              <w:rPr>
                <w:rFonts w:ascii="Arial" w:eastAsia="宋体" w:hAnsi="Arial" w:cs="Arial"/>
                <w:b/>
                <w:bCs/>
                <w:color w:val="000000"/>
                <w:sz w:val="16"/>
                <w:szCs w:val="16"/>
              </w:rPr>
              <w:t>Other comprehensive (loss)/income before reclassifications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A2C" w14:textId="77777777" w:rsidR="00833634" w:rsidRDefault="00E15D51">
            <w:pPr>
              <w:jc w:val="right"/>
              <w:textAlignment w:val="bottom"/>
            </w:pPr>
            <w:r>
              <w:rPr>
                <w:rFonts w:ascii="Arial" w:eastAsia="宋体" w:hAnsi="Arial" w:cs="Arial"/>
                <w:b/>
                <w:bCs/>
                <w:color w:val="000000"/>
                <w:sz w:val="16"/>
                <w:szCs w:val="16"/>
              </w:rPr>
              <w:t>48</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A2D"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2E"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2F"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30"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A31" w14:textId="77777777" w:rsidR="00833634" w:rsidRDefault="00E15D51">
            <w:pPr>
              <w:jc w:val="right"/>
              <w:textAlignment w:val="bottom"/>
            </w:pPr>
            <w:r>
              <w:rPr>
                <w:rFonts w:ascii="Arial" w:eastAsia="宋体" w:hAnsi="Arial" w:cs="Arial"/>
                <w:b/>
                <w:bCs/>
                <w:color w:val="000000"/>
                <w:sz w:val="16"/>
                <w:szCs w:val="16"/>
              </w:rPr>
              <w:t>79</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A32"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33"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A34" w14:textId="77777777" w:rsidR="00833634" w:rsidRDefault="00E15D51">
            <w:pPr>
              <w:jc w:val="right"/>
              <w:textAlignment w:val="bottom"/>
            </w:pPr>
            <w:r>
              <w:rPr>
                <w:rFonts w:ascii="Arial" w:eastAsia="宋体" w:hAnsi="Arial" w:cs="Arial"/>
                <w:b/>
                <w:bCs/>
                <w:color w:val="000000"/>
                <w:sz w:val="16"/>
                <w:szCs w:val="16"/>
              </w:rPr>
              <w:t>(40)</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A35"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36"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A37" w14:textId="77777777" w:rsidR="00833634" w:rsidRDefault="00E15D51">
            <w:pPr>
              <w:jc w:val="right"/>
              <w:textAlignment w:val="bottom"/>
            </w:pPr>
            <w:r>
              <w:rPr>
                <w:rFonts w:ascii="Arial" w:eastAsia="宋体" w:hAnsi="Arial" w:cs="Arial"/>
                <w:b/>
                <w:bCs/>
                <w:color w:val="000000"/>
                <w:sz w:val="16"/>
                <w:szCs w:val="16"/>
              </w:rPr>
              <w:t>87</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A38" w14:textId="77777777" w:rsidR="00833634" w:rsidRDefault="00833634">
            <w:pPr>
              <w:jc w:val="right"/>
              <w:rPr>
                <w:rFonts w:ascii="宋体"/>
              </w:rPr>
            </w:pPr>
          </w:p>
        </w:tc>
      </w:tr>
      <w:tr w:rsidR="00833634" w14:paraId="4090EA47" w14:textId="77777777">
        <w:tc>
          <w:tcPr>
            <w:tcW w:w="0" w:type="auto"/>
            <w:gridSpan w:val="3"/>
            <w:shd w:val="clear" w:color="auto" w:fill="CCEEFF"/>
            <w:tcMar>
              <w:top w:w="40" w:type="dxa"/>
              <w:left w:w="20" w:type="dxa"/>
              <w:bottom w:w="40" w:type="dxa"/>
              <w:right w:w="20" w:type="dxa"/>
            </w:tcMar>
            <w:vAlign w:val="bottom"/>
          </w:tcPr>
          <w:p w14:paraId="4090EA3A" w14:textId="77777777" w:rsidR="00833634" w:rsidRDefault="00E15D51">
            <w:pPr>
              <w:ind w:hanging="180"/>
              <w:textAlignment w:val="bottom"/>
            </w:pPr>
            <w:r>
              <w:rPr>
                <w:rFonts w:ascii="Arial" w:eastAsia="宋体" w:hAnsi="Arial" w:cs="Arial"/>
                <w:b/>
                <w:bCs/>
                <w:color w:val="000000"/>
                <w:sz w:val="16"/>
                <w:szCs w:val="16"/>
              </w:rPr>
              <w:t>Amounts reclassified from AOCI</w:t>
            </w:r>
          </w:p>
        </w:tc>
        <w:tc>
          <w:tcPr>
            <w:tcW w:w="0" w:type="auto"/>
            <w:gridSpan w:val="3"/>
            <w:shd w:val="clear" w:color="auto" w:fill="CCEEFF"/>
            <w:tcMar>
              <w:top w:w="0" w:type="dxa"/>
              <w:left w:w="20" w:type="dxa"/>
              <w:bottom w:w="0" w:type="dxa"/>
              <w:right w:w="20" w:type="dxa"/>
            </w:tcMar>
          </w:tcPr>
          <w:p w14:paraId="4090EA3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A3C"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A3D"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A3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A3F" w14:textId="77777777" w:rsidR="00833634" w:rsidRDefault="00E15D51">
            <w:pPr>
              <w:jc w:val="right"/>
              <w:textAlignment w:val="bottom"/>
            </w:pPr>
            <w:r>
              <w:rPr>
                <w:rFonts w:ascii="Arial" w:eastAsia="宋体" w:hAnsi="Arial" w:cs="Arial"/>
                <w:b/>
                <w:bCs/>
                <w:color w:val="000000"/>
                <w:sz w:val="16"/>
                <w:szCs w:val="16"/>
              </w:rPr>
              <w:t>8</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A40"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A4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A42" w14:textId="77777777" w:rsidR="00833634" w:rsidRDefault="00E15D51">
            <w:pPr>
              <w:jc w:val="right"/>
              <w:textAlignment w:val="bottom"/>
            </w:pPr>
            <w:r>
              <w:rPr>
                <w:rFonts w:ascii="Arial" w:eastAsia="宋体" w:hAnsi="Arial" w:cs="Arial"/>
                <w:b/>
                <w:bCs/>
                <w:color w:val="000000"/>
                <w:sz w:val="16"/>
                <w:szCs w:val="16"/>
              </w:rPr>
              <w:t>151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A43" w14:textId="77777777" w:rsidR="00833634" w:rsidRDefault="00833634">
            <w:pPr>
              <w:jc w:val="right"/>
              <w:rPr>
                <w:rFonts w:ascii="宋体"/>
              </w:rPr>
            </w:pPr>
          </w:p>
        </w:tc>
        <w:tc>
          <w:tcPr>
            <w:tcW w:w="0" w:type="auto"/>
            <w:gridSpan w:val="3"/>
            <w:shd w:val="clear" w:color="auto" w:fill="CCEEFF"/>
            <w:tcMar>
              <w:top w:w="40" w:type="dxa"/>
              <w:left w:w="20" w:type="dxa"/>
              <w:bottom w:w="40" w:type="dxa"/>
              <w:right w:w="20" w:type="dxa"/>
            </w:tcMar>
            <w:vAlign w:val="bottom"/>
          </w:tcPr>
          <w:p w14:paraId="4090EA44" w14:textId="77777777" w:rsidR="00833634" w:rsidRDefault="00E15D51">
            <w:pPr>
              <w:textAlignment w:val="bottom"/>
            </w:pPr>
            <w:r>
              <w:rPr>
                <w:rFonts w:ascii="Arial" w:eastAsia="宋体" w:hAnsi="Arial" w:cs="Arial"/>
                <w:b/>
                <w:bCs/>
                <w:color w:val="000000"/>
                <w:sz w:val="10"/>
                <w:szCs w:val="10"/>
              </w:rPr>
              <w:t>(2)</w:t>
            </w:r>
          </w:p>
        </w:tc>
        <w:tc>
          <w:tcPr>
            <w:tcW w:w="0" w:type="auto"/>
            <w:gridSpan w:val="2"/>
            <w:shd w:val="clear" w:color="auto" w:fill="CCEEFF"/>
            <w:tcMar>
              <w:top w:w="40" w:type="dxa"/>
              <w:left w:w="20" w:type="dxa"/>
              <w:bottom w:w="40" w:type="dxa"/>
              <w:right w:w="0" w:type="dxa"/>
            </w:tcMar>
            <w:vAlign w:val="bottom"/>
          </w:tcPr>
          <w:p w14:paraId="4090EA45" w14:textId="77777777" w:rsidR="00833634" w:rsidRDefault="00E15D51">
            <w:pPr>
              <w:jc w:val="right"/>
              <w:textAlignment w:val="bottom"/>
            </w:pPr>
            <w:r>
              <w:rPr>
                <w:rFonts w:ascii="Arial" w:eastAsia="宋体" w:hAnsi="Arial" w:cs="Arial"/>
                <w:b/>
                <w:bCs/>
                <w:color w:val="000000"/>
                <w:sz w:val="16"/>
                <w:szCs w:val="16"/>
              </w:rPr>
              <w:t>159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A46" w14:textId="77777777" w:rsidR="00833634" w:rsidRDefault="00833634">
            <w:pPr>
              <w:jc w:val="right"/>
              <w:rPr>
                <w:rFonts w:ascii="宋体"/>
              </w:rPr>
            </w:pPr>
          </w:p>
        </w:tc>
      </w:tr>
      <w:tr w:rsidR="00833634" w14:paraId="4090EA56" w14:textId="77777777">
        <w:tc>
          <w:tcPr>
            <w:tcW w:w="0" w:type="auto"/>
            <w:gridSpan w:val="3"/>
            <w:tcBorders>
              <w:top w:val="single" w:sz="8" w:space="0" w:color="000000"/>
            </w:tcBorders>
            <w:shd w:val="clear" w:color="auto" w:fill="FFFFFF"/>
            <w:tcMar>
              <w:top w:w="40" w:type="dxa"/>
              <w:left w:w="180" w:type="dxa"/>
              <w:bottom w:w="40" w:type="dxa"/>
              <w:right w:w="20" w:type="dxa"/>
            </w:tcMar>
            <w:vAlign w:val="bottom"/>
          </w:tcPr>
          <w:p w14:paraId="4090EA48" w14:textId="77777777" w:rsidR="00833634" w:rsidRDefault="00E15D51">
            <w:pPr>
              <w:textAlignment w:val="bottom"/>
            </w:pPr>
            <w:r>
              <w:rPr>
                <w:rFonts w:ascii="Arial" w:eastAsia="宋体" w:hAnsi="Arial" w:cs="Arial"/>
                <w:b/>
                <w:bCs/>
                <w:color w:val="000000"/>
                <w:sz w:val="16"/>
                <w:szCs w:val="16"/>
              </w:rPr>
              <w:t>Net current period Other comprehensive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A49" w14:textId="77777777" w:rsidR="00833634" w:rsidRDefault="00E15D51">
            <w:pPr>
              <w:jc w:val="right"/>
              <w:textAlignment w:val="bottom"/>
            </w:pPr>
            <w:r>
              <w:rPr>
                <w:rFonts w:ascii="Arial" w:eastAsia="宋体" w:hAnsi="Arial" w:cs="Arial"/>
                <w:b/>
                <w:bCs/>
                <w:color w:val="000000"/>
                <w:sz w:val="16"/>
                <w:szCs w:val="16"/>
              </w:rPr>
              <w:t>48</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A4A"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4B"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4C"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4D"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A4E" w14:textId="77777777" w:rsidR="00833634" w:rsidRDefault="00E15D51">
            <w:pPr>
              <w:jc w:val="right"/>
              <w:textAlignment w:val="bottom"/>
            </w:pPr>
            <w:r>
              <w:rPr>
                <w:rFonts w:ascii="Arial" w:eastAsia="宋体" w:hAnsi="Arial" w:cs="Arial"/>
                <w:b/>
                <w:bCs/>
                <w:color w:val="000000"/>
                <w:sz w:val="16"/>
                <w:szCs w:val="16"/>
              </w:rPr>
              <w:t>87</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A4F"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50"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A51" w14:textId="77777777" w:rsidR="00833634" w:rsidRDefault="00E15D51">
            <w:pPr>
              <w:jc w:val="right"/>
              <w:textAlignment w:val="bottom"/>
            </w:pPr>
            <w:r>
              <w:rPr>
                <w:rFonts w:ascii="Arial" w:eastAsia="宋体" w:hAnsi="Arial" w:cs="Arial"/>
                <w:b/>
                <w:bCs/>
                <w:color w:val="000000"/>
                <w:sz w:val="16"/>
                <w:szCs w:val="16"/>
              </w:rPr>
              <w:t>111</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A52"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A53"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A54" w14:textId="77777777" w:rsidR="00833634" w:rsidRDefault="00E15D51">
            <w:pPr>
              <w:jc w:val="right"/>
              <w:textAlignment w:val="bottom"/>
            </w:pPr>
            <w:r>
              <w:rPr>
                <w:rFonts w:ascii="Arial" w:eastAsia="宋体" w:hAnsi="Arial" w:cs="Arial"/>
                <w:b/>
                <w:bCs/>
                <w:color w:val="000000"/>
                <w:sz w:val="16"/>
                <w:szCs w:val="16"/>
              </w:rPr>
              <w:t>246</w:t>
            </w:r>
            <w:r>
              <w:rPr>
                <w:rFonts w:ascii="Arial" w:eastAsia="宋体" w:hAnsi="Arial" w:cs="Arial"/>
                <w:color w:val="000000"/>
                <w:sz w:val="16"/>
                <w:szCs w:val="16"/>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A55" w14:textId="77777777" w:rsidR="00833634" w:rsidRDefault="00833634">
            <w:pPr>
              <w:jc w:val="right"/>
              <w:rPr>
                <w:rFonts w:ascii="宋体"/>
              </w:rPr>
            </w:pPr>
          </w:p>
        </w:tc>
      </w:tr>
      <w:tr w:rsidR="00833634" w14:paraId="4090EA66"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EA57" w14:textId="77777777" w:rsidR="00833634" w:rsidRDefault="00E15D51">
            <w:pPr>
              <w:textAlignment w:val="bottom"/>
            </w:pPr>
            <w:r>
              <w:rPr>
                <w:rFonts w:ascii="Arial" w:eastAsia="宋体" w:hAnsi="Arial" w:cs="Arial"/>
                <w:b/>
                <w:bCs/>
                <w:color w:val="000000"/>
                <w:sz w:val="16"/>
                <w:szCs w:val="16"/>
              </w:rPr>
              <w:t>Balance at September 30, 2020</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A58" w14:textId="77777777" w:rsidR="00833634" w:rsidRDefault="00E15D51">
            <w:pPr>
              <w:jc w:val="right"/>
              <w:textAlignment w:val="bottom"/>
            </w:pPr>
            <w:r>
              <w:rPr>
                <w:rFonts w:ascii="Arial" w:eastAsia="宋体" w:hAnsi="Arial" w:cs="Arial"/>
                <w:b/>
                <w:bCs/>
                <w:color w:val="000000"/>
                <w:sz w:val="16"/>
                <w:szCs w:val="16"/>
              </w:rPr>
              <w:t>($113)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A59"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A5A"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A5B" w14:textId="77777777" w:rsidR="00833634" w:rsidRDefault="00E15D51">
            <w:pPr>
              <w:jc w:val="right"/>
              <w:textAlignment w:val="bottom"/>
            </w:pPr>
            <w:r>
              <w:rPr>
                <w:rFonts w:ascii="Arial" w:eastAsia="宋体" w:hAnsi="Arial" w:cs="Arial"/>
                <w:b/>
                <w:bCs/>
                <w:color w:val="000000"/>
                <w:sz w:val="16"/>
                <w:szCs w:val="16"/>
              </w:rPr>
              <w:t>$1</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A5C"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A5D"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A5E" w14:textId="77777777" w:rsidR="00833634" w:rsidRDefault="00E15D51">
            <w:pPr>
              <w:jc w:val="right"/>
              <w:textAlignment w:val="bottom"/>
            </w:pPr>
            <w:r>
              <w:rPr>
                <w:rFonts w:ascii="Arial" w:eastAsia="宋体" w:hAnsi="Arial" w:cs="Arial"/>
                <w:b/>
                <w:bCs/>
                <w:color w:val="000000"/>
                <w:sz w:val="16"/>
                <w:szCs w:val="16"/>
              </w:rPr>
              <w:t>($171)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A5F"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A60"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A61" w14:textId="77777777" w:rsidR="00833634" w:rsidRDefault="00E15D51">
            <w:pPr>
              <w:jc w:val="right"/>
              <w:textAlignment w:val="bottom"/>
            </w:pPr>
            <w:r>
              <w:rPr>
                <w:rFonts w:ascii="Arial" w:eastAsia="宋体" w:hAnsi="Arial" w:cs="Arial"/>
                <w:b/>
                <w:bCs/>
                <w:color w:val="000000"/>
                <w:sz w:val="16"/>
                <w:szCs w:val="16"/>
              </w:rPr>
              <w:t>($15,496)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A62"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A63"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A64" w14:textId="77777777" w:rsidR="00833634" w:rsidRDefault="00E15D51">
            <w:pPr>
              <w:jc w:val="right"/>
              <w:textAlignment w:val="bottom"/>
            </w:pPr>
            <w:r>
              <w:rPr>
                <w:rFonts w:ascii="Arial" w:eastAsia="宋体" w:hAnsi="Arial" w:cs="Arial"/>
                <w:b/>
                <w:bCs/>
                <w:color w:val="000000"/>
                <w:sz w:val="16"/>
                <w:szCs w:val="16"/>
              </w:rPr>
              <w:t>($15,779)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A65" w14:textId="77777777" w:rsidR="00833634" w:rsidRDefault="00833634">
            <w:pPr>
              <w:jc w:val="right"/>
              <w:rPr>
                <w:rFonts w:ascii="宋体"/>
              </w:rPr>
            </w:pPr>
          </w:p>
        </w:tc>
      </w:tr>
    </w:tbl>
    <w:p w14:paraId="4090EA67" w14:textId="77777777" w:rsidR="00833634" w:rsidRDefault="00E15D51">
      <w:pPr>
        <w:spacing w:after="60"/>
        <w:ind w:hanging="360"/>
        <w:jc w:val="both"/>
      </w:pPr>
      <w:r>
        <w:rPr>
          <w:rFonts w:ascii="Arial" w:eastAsia="宋体" w:hAnsi="Arial" w:cs="Arial"/>
          <w:color w:val="000000"/>
          <w:sz w:val="13"/>
          <w:szCs w:val="13"/>
        </w:rPr>
        <w:t>(1)     </w:t>
      </w:r>
      <w:r>
        <w:rPr>
          <w:rFonts w:ascii="Arial" w:eastAsia="宋体" w:hAnsi="Arial" w:cs="Arial"/>
          <w:color w:val="000000"/>
          <w:sz w:val="20"/>
          <w:szCs w:val="20"/>
        </w:rPr>
        <w:t>Net of tax.</w:t>
      </w:r>
    </w:p>
    <w:p w14:paraId="4090EA68" w14:textId="77777777" w:rsidR="00833634" w:rsidRDefault="00E15D51">
      <w:pPr>
        <w:spacing w:after="300"/>
        <w:ind w:hanging="360"/>
        <w:jc w:val="both"/>
      </w:pPr>
      <w:r>
        <w:rPr>
          <w:rFonts w:ascii="Arial" w:eastAsia="宋体" w:hAnsi="Arial" w:cs="Arial"/>
          <w:color w:val="000000"/>
          <w:sz w:val="13"/>
          <w:szCs w:val="13"/>
        </w:rPr>
        <w:t>(2)    </w:t>
      </w:r>
      <w:r>
        <w:rPr>
          <w:rFonts w:ascii="Arial" w:eastAsia="宋体" w:hAnsi="Arial" w:cs="Arial"/>
          <w:color w:val="000000"/>
          <w:sz w:val="20"/>
          <w:szCs w:val="20"/>
        </w:rPr>
        <w:t>Primarily relates to amortization of actuarial losses for the nine and three months ended September 30, 2019 totaling $350</w:t>
      </w:r>
      <w:r>
        <w:rPr>
          <w:rFonts w:ascii="Arial" w:eastAsia="宋体" w:hAnsi="Arial" w:cs="Arial"/>
          <w:color w:val="000000"/>
          <w:sz w:val="20"/>
          <w:szCs w:val="20"/>
        </w:rPr>
        <w:t xml:space="preserve"> and $117 (net of tax of ($97) and ($32)) and for the nine and three months ended September 30, 2020 totaling $562 and $172 (net of tax of ($179) and ($76)). These are included in the net periodic pension cost.</w:t>
      </w:r>
    </w:p>
    <w:p w14:paraId="4090EA69" w14:textId="77777777" w:rsidR="00833634" w:rsidRDefault="00E15D51">
      <w:pPr>
        <w:spacing w:after="180"/>
        <w:jc w:val="center"/>
      </w:pPr>
      <w:r>
        <w:rPr>
          <w:rFonts w:ascii="Arial" w:eastAsia="宋体" w:hAnsi="Arial" w:cs="Arial"/>
          <w:color w:val="000000"/>
          <w:sz w:val="18"/>
          <w:szCs w:val="18"/>
        </w:rPr>
        <w:t>26</w:t>
      </w:r>
    </w:p>
    <w:p w14:paraId="4090EA6A" w14:textId="77777777" w:rsidR="00833634" w:rsidRDefault="00E15D51">
      <w:r>
        <w:pict w14:anchorId="4090FE3A">
          <v:rect id="_x0000_i1052" style="width:415.3pt;height:1.5pt" o:hralign="center" o:hrstd="t" o:hr="t" fillcolor="#a0a0a0" stroked="f"/>
        </w:pict>
      </w:r>
    </w:p>
    <w:p w14:paraId="4090EA6B" w14:textId="77777777" w:rsidR="00833634" w:rsidRDefault="00E15D51">
      <w:pPr>
        <w:spacing w:after="180"/>
        <w:jc w:val="both"/>
      </w:pPr>
      <w:hyperlink r:id="rId129" w:anchor="i8d805bfb1e1c4815a1dcd5b6d1e0b117_10" w:history="1">
        <w:r>
          <w:rPr>
            <w:rStyle w:val="a5"/>
            <w:rFonts w:ascii="Arial" w:eastAsia="宋体" w:hAnsi="Arial" w:cs="Arial"/>
            <w:sz w:val="18"/>
            <w:szCs w:val="18"/>
          </w:rPr>
          <w:t>Table of Contents</w:t>
        </w:r>
      </w:hyperlink>
    </w:p>
    <w:p w14:paraId="4090EA6C" w14:textId="77777777" w:rsidR="00833634" w:rsidRDefault="00E15D51">
      <w:pPr>
        <w:spacing w:before="300" w:after="180"/>
        <w:jc w:val="both"/>
      </w:pPr>
      <w:r>
        <w:rPr>
          <w:rFonts w:ascii="Arial" w:eastAsia="宋体" w:hAnsi="Arial" w:cs="Arial"/>
          <w:b/>
          <w:bCs/>
          <w:color w:val="000000"/>
          <w:sz w:val="20"/>
          <w:szCs w:val="20"/>
        </w:rPr>
        <w:t>Note 16 – Derivative Financial Instruments</w:t>
      </w:r>
    </w:p>
    <w:p w14:paraId="4090EA6D" w14:textId="77777777" w:rsidR="00833634" w:rsidRDefault="00E15D51">
      <w:pPr>
        <w:spacing w:after="180"/>
        <w:jc w:val="both"/>
      </w:pPr>
      <w:r>
        <w:rPr>
          <w:rFonts w:ascii="Arial" w:eastAsia="宋体" w:hAnsi="Arial" w:cs="Arial"/>
          <w:b/>
          <w:bCs/>
          <w:color w:val="000000"/>
          <w:sz w:val="20"/>
          <w:szCs w:val="20"/>
        </w:rPr>
        <w:t>Cash Flow Hedges</w:t>
      </w:r>
    </w:p>
    <w:p w14:paraId="4090EA6E" w14:textId="77777777" w:rsidR="00833634" w:rsidRDefault="00E15D51">
      <w:pPr>
        <w:spacing w:after="180"/>
        <w:jc w:val="both"/>
      </w:pPr>
      <w:r>
        <w:rPr>
          <w:rFonts w:ascii="Arial" w:eastAsia="宋体" w:hAnsi="Arial" w:cs="Arial"/>
          <w:color w:val="000000"/>
          <w:sz w:val="20"/>
          <w:szCs w:val="20"/>
        </w:rPr>
        <w:t>Our cash flow hedges inclu</w:t>
      </w:r>
      <w:r>
        <w:rPr>
          <w:rFonts w:ascii="Arial" w:eastAsia="宋体" w:hAnsi="Arial" w:cs="Arial"/>
          <w:color w:val="000000"/>
          <w:sz w:val="20"/>
          <w:szCs w:val="20"/>
        </w:rPr>
        <w:t>de foreign currency forward contracts, commodity swaps and commodity purchase contracts. We use foreign currency forward contracts to manage currency risk associated with certain transactions, specifically forecasted sales and purchases made in foreign cur</w:t>
      </w:r>
      <w:r>
        <w:rPr>
          <w:rFonts w:ascii="Arial" w:eastAsia="宋体" w:hAnsi="Arial" w:cs="Arial"/>
          <w:color w:val="000000"/>
          <w:sz w:val="20"/>
          <w:szCs w:val="20"/>
        </w:rPr>
        <w:t>rencies. Our foreign currency contracts hedge forecasted transactions through 2025. We use commodity derivatives, such as fixed-price purchase commitments and swaps to hedge against potentially unfavorable price changes for items used in production. Our co</w:t>
      </w:r>
      <w:r>
        <w:rPr>
          <w:rFonts w:ascii="Arial" w:eastAsia="宋体" w:hAnsi="Arial" w:cs="Arial"/>
          <w:color w:val="000000"/>
          <w:sz w:val="20"/>
          <w:szCs w:val="20"/>
        </w:rPr>
        <w:t>mmodity contracts hedge forecasted transactions through 2029.</w:t>
      </w:r>
    </w:p>
    <w:p w14:paraId="4090EA6F" w14:textId="77777777" w:rsidR="00833634" w:rsidRDefault="00E15D51">
      <w:pPr>
        <w:spacing w:after="180"/>
        <w:jc w:val="both"/>
      </w:pPr>
      <w:r>
        <w:rPr>
          <w:rFonts w:ascii="Arial" w:eastAsia="宋体" w:hAnsi="Arial" w:cs="Arial"/>
          <w:color w:val="000000"/>
          <w:sz w:val="20"/>
          <w:szCs w:val="20"/>
        </w:rPr>
        <w:t>We continue to monitor the effects of the COVID-19 pandemic on our cash flow hedges, including reductions in our forecasted purchases of certain commodities. As of September 30, 2020, the impact</w:t>
      </w:r>
      <w:r>
        <w:rPr>
          <w:rFonts w:ascii="Arial" w:eastAsia="宋体" w:hAnsi="Arial" w:cs="Arial"/>
          <w:color w:val="000000"/>
          <w:sz w:val="20"/>
          <w:szCs w:val="20"/>
        </w:rPr>
        <w:t xml:space="preserve"> of the COVID-19 pandemic on our cash flow hedges was not significant.</w:t>
      </w:r>
    </w:p>
    <w:p w14:paraId="4090EA70" w14:textId="77777777" w:rsidR="00833634" w:rsidRDefault="00E15D51">
      <w:pPr>
        <w:spacing w:after="180"/>
        <w:jc w:val="both"/>
      </w:pPr>
      <w:r>
        <w:rPr>
          <w:rFonts w:ascii="Arial" w:eastAsia="宋体" w:hAnsi="Arial" w:cs="Arial"/>
          <w:b/>
          <w:bCs/>
          <w:color w:val="000000"/>
          <w:sz w:val="20"/>
          <w:szCs w:val="20"/>
        </w:rPr>
        <w:t>Derivative Instruments Not Receiving Hedge Accounting Treatment</w:t>
      </w:r>
    </w:p>
    <w:p w14:paraId="4090EA71" w14:textId="77777777" w:rsidR="00833634" w:rsidRDefault="00E15D51">
      <w:pPr>
        <w:spacing w:after="180"/>
        <w:jc w:val="both"/>
      </w:pPr>
      <w:r>
        <w:rPr>
          <w:rFonts w:ascii="Arial" w:eastAsia="宋体" w:hAnsi="Arial" w:cs="Arial"/>
          <w:color w:val="000000"/>
          <w:sz w:val="20"/>
          <w:szCs w:val="20"/>
        </w:rPr>
        <w:t>We have entered into agreements to purchase and sell aluminum to address long-term strategic sourcing objectives and non-</w:t>
      </w:r>
      <w:r>
        <w:rPr>
          <w:rFonts w:ascii="Arial" w:eastAsia="宋体" w:hAnsi="Arial" w:cs="Arial"/>
          <w:color w:val="000000"/>
          <w:sz w:val="20"/>
          <w:szCs w:val="20"/>
        </w:rPr>
        <w:t>U.S. business requirements. These agreements are derivative instruments for accounting purposes. The quantities of aluminum in these agreements offset and are priced at prevailing market prices. We also hold certain foreign currency forward contracts and c</w:t>
      </w:r>
      <w:r>
        <w:rPr>
          <w:rFonts w:ascii="Arial" w:eastAsia="宋体" w:hAnsi="Arial" w:cs="Arial"/>
          <w:color w:val="000000"/>
          <w:sz w:val="20"/>
          <w:szCs w:val="20"/>
        </w:rPr>
        <w:t xml:space="preserve">ommodity swaps which do not qualify for hedge accounting treatment. </w:t>
      </w:r>
    </w:p>
    <w:p w14:paraId="4090EA72" w14:textId="77777777" w:rsidR="00833634" w:rsidRDefault="00E15D51">
      <w:pPr>
        <w:spacing w:after="180"/>
        <w:jc w:val="both"/>
      </w:pPr>
      <w:r>
        <w:rPr>
          <w:rFonts w:ascii="Arial" w:eastAsia="宋体" w:hAnsi="Arial" w:cs="Arial"/>
          <w:b/>
          <w:bCs/>
          <w:color w:val="000000"/>
          <w:sz w:val="20"/>
          <w:szCs w:val="20"/>
        </w:rPr>
        <w:t>Notional Amounts and Fair Values</w:t>
      </w:r>
    </w:p>
    <w:p w14:paraId="4090EA73" w14:textId="77777777" w:rsidR="00833634" w:rsidRDefault="00E15D51">
      <w:pPr>
        <w:jc w:val="both"/>
      </w:pPr>
      <w:r>
        <w:rPr>
          <w:rFonts w:ascii="Arial" w:eastAsia="宋体" w:hAnsi="Arial" w:cs="Arial"/>
          <w:color w:val="000000"/>
          <w:sz w:val="20"/>
          <w:szCs w:val="20"/>
        </w:rPr>
        <w:t>The notional amounts and fair values of derivative instruments in the Condensed Consolidated Statements of Financial Position were as follows:</w:t>
      </w:r>
    </w:p>
    <w:tbl>
      <w:tblPr>
        <w:tblW w:w="4992" w:type="pct"/>
        <w:tblCellMar>
          <w:top w:w="15" w:type="dxa"/>
          <w:left w:w="15" w:type="dxa"/>
          <w:bottom w:w="15" w:type="dxa"/>
          <w:right w:w="15" w:type="dxa"/>
        </w:tblCellMar>
        <w:tblLook w:val="04A0" w:firstRow="1" w:lastRow="0" w:firstColumn="1" w:lastColumn="0" w:noHBand="0" w:noVBand="1"/>
      </w:tblPr>
      <w:tblGrid>
        <w:gridCol w:w="69"/>
        <w:gridCol w:w="2100"/>
        <w:gridCol w:w="38"/>
        <w:gridCol w:w="69"/>
        <w:gridCol w:w="963"/>
        <w:gridCol w:w="37"/>
        <w:gridCol w:w="69"/>
        <w:gridCol w:w="868"/>
        <w:gridCol w:w="36"/>
        <w:gridCol w:w="69"/>
        <w:gridCol w:w="963"/>
        <w:gridCol w:w="36"/>
        <w:gridCol w:w="69"/>
        <w:gridCol w:w="868"/>
        <w:gridCol w:w="36"/>
        <w:gridCol w:w="69"/>
        <w:gridCol w:w="951"/>
        <w:gridCol w:w="36"/>
        <w:gridCol w:w="70"/>
        <w:gridCol w:w="871"/>
        <w:gridCol w:w="36"/>
      </w:tblGrid>
      <w:tr w:rsidR="00833634" w14:paraId="4090EA89" w14:textId="77777777">
        <w:tc>
          <w:tcPr>
            <w:tcW w:w="50" w:type="pct"/>
            <w:shd w:val="clear" w:color="auto" w:fill="auto"/>
          </w:tcPr>
          <w:p w14:paraId="4090EA74" w14:textId="77777777" w:rsidR="00833634" w:rsidRDefault="00833634">
            <w:pPr>
              <w:rPr>
                <w:rFonts w:ascii="宋体"/>
              </w:rPr>
            </w:pPr>
          </w:p>
        </w:tc>
        <w:tc>
          <w:tcPr>
            <w:tcW w:w="1269" w:type="pct"/>
            <w:shd w:val="clear" w:color="auto" w:fill="auto"/>
          </w:tcPr>
          <w:p w14:paraId="4090EA75" w14:textId="77777777" w:rsidR="00833634" w:rsidRDefault="00833634">
            <w:pPr>
              <w:rPr>
                <w:rFonts w:ascii="宋体"/>
              </w:rPr>
            </w:pPr>
          </w:p>
        </w:tc>
        <w:tc>
          <w:tcPr>
            <w:tcW w:w="5" w:type="pct"/>
            <w:shd w:val="clear" w:color="auto" w:fill="auto"/>
          </w:tcPr>
          <w:p w14:paraId="4090EA76" w14:textId="77777777" w:rsidR="00833634" w:rsidRDefault="00833634">
            <w:pPr>
              <w:rPr>
                <w:rFonts w:ascii="宋体"/>
              </w:rPr>
            </w:pPr>
          </w:p>
        </w:tc>
        <w:tc>
          <w:tcPr>
            <w:tcW w:w="50" w:type="pct"/>
            <w:shd w:val="clear" w:color="auto" w:fill="auto"/>
          </w:tcPr>
          <w:p w14:paraId="4090EA77" w14:textId="77777777" w:rsidR="00833634" w:rsidRDefault="00833634">
            <w:pPr>
              <w:rPr>
                <w:rFonts w:ascii="宋体"/>
              </w:rPr>
            </w:pPr>
          </w:p>
        </w:tc>
        <w:tc>
          <w:tcPr>
            <w:tcW w:w="587" w:type="pct"/>
            <w:shd w:val="clear" w:color="auto" w:fill="auto"/>
          </w:tcPr>
          <w:p w14:paraId="4090EA78" w14:textId="77777777" w:rsidR="00833634" w:rsidRDefault="00833634">
            <w:pPr>
              <w:rPr>
                <w:rFonts w:ascii="宋体"/>
              </w:rPr>
            </w:pPr>
          </w:p>
        </w:tc>
        <w:tc>
          <w:tcPr>
            <w:tcW w:w="5" w:type="pct"/>
            <w:shd w:val="clear" w:color="auto" w:fill="auto"/>
          </w:tcPr>
          <w:p w14:paraId="4090EA79" w14:textId="77777777" w:rsidR="00833634" w:rsidRDefault="00833634">
            <w:pPr>
              <w:rPr>
                <w:rFonts w:ascii="宋体"/>
              </w:rPr>
            </w:pPr>
          </w:p>
        </w:tc>
        <w:tc>
          <w:tcPr>
            <w:tcW w:w="50" w:type="pct"/>
            <w:shd w:val="clear" w:color="auto" w:fill="auto"/>
          </w:tcPr>
          <w:p w14:paraId="4090EA7A" w14:textId="77777777" w:rsidR="00833634" w:rsidRDefault="00833634">
            <w:pPr>
              <w:rPr>
                <w:rFonts w:ascii="宋体"/>
              </w:rPr>
            </w:pPr>
          </w:p>
        </w:tc>
        <w:tc>
          <w:tcPr>
            <w:tcW w:w="530" w:type="pct"/>
            <w:shd w:val="clear" w:color="auto" w:fill="auto"/>
          </w:tcPr>
          <w:p w14:paraId="4090EA7B" w14:textId="77777777" w:rsidR="00833634" w:rsidRDefault="00833634">
            <w:pPr>
              <w:rPr>
                <w:rFonts w:ascii="宋体"/>
              </w:rPr>
            </w:pPr>
          </w:p>
        </w:tc>
        <w:tc>
          <w:tcPr>
            <w:tcW w:w="5" w:type="pct"/>
            <w:shd w:val="clear" w:color="auto" w:fill="auto"/>
          </w:tcPr>
          <w:p w14:paraId="4090EA7C" w14:textId="77777777" w:rsidR="00833634" w:rsidRDefault="00833634">
            <w:pPr>
              <w:rPr>
                <w:rFonts w:ascii="宋体"/>
              </w:rPr>
            </w:pPr>
          </w:p>
        </w:tc>
        <w:tc>
          <w:tcPr>
            <w:tcW w:w="50" w:type="pct"/>
            <w:shd w:val="clear" w:color="auto" w:fill="auto"/>
          </w:tcPr>
          <w:p w14:paraId="4090EA7D" w14:textId="77777777" w:rsidR="00833634" w:rsidRDefault="00833634">
            <w:pPr>
              <w:rPr>
                <w:rFonts w:ascii="宋体"/>
              </w:rPr>
            </w:pPr>
          </w:p>
        </w:tc>
        <w:tc>
          <w:tcPr>
            <w:tcW w:w="587" w:type="pct"/>
            <w:shd w:val="clear" w:color="auto" w:fill="auto"/>
          </w:tcPr>
          <w:p w14:paraId="4090EA7E" w14:textId="77777777" w:rsidR="00833634" w:rsidRDefault="00833634">
            <w:pPr>
              <w:rPr>
                <w:rFonts w:ascii="宋体"/>
              </w:rPr>
            </w:pPr>
          </w:p>
        </w:tc>
        <w:tc>
          <w:tcPr>
            <w:tcW w:w="5" w:type="pct"/>
            <w:shd w:val="clear" w:color="auto" w:fill="auto"/>
          </w:tcPr>
          <w:p w14:paraId="4090EA7F" w14:textId="77777777" w:rsidR="00833634" w:rsidRDefault="00833634">
            <w:pPr>
              <w:rPr>
                <w:rFonts w:ascii="宋体"/>
              </w:rPr>
            </w:pPr>
          </w:p>
        </w:tc>
        <w:tc>
          <w:tcPr>
            <w:tcW w:w="50" w:type="pct"/>
            <w:shd w:val="clear" w:color="auto" w:fill="auto"/>
          </w:tcPr>
          <w:p w14:paraId="4090EA80" w14:textId="77777777" w:rsidR="00833634" w:rsidRDefault="00833634">
            <w:pPr>
              <w:rPr>
                <w:rFonts w:ascii="宋体"/>
              </w:rPr>
            </w:pPr>
          </w:p>
        </w:tc>
        <w:tc>
          <w:tcPr>
            <w:tcW w:w="530" w:type="pct"/>
            <w:shd w:val="clear" w:color="auto" w:fill="auto"/>
          </w:tcPr>
          <w:p w14:paraId="4090EA81" w14:textId="77777777" w:rsidR="00833634" w:rsidRDefault="00833634">
            <w:pPr>
              <w:rPr>
                <w:rFonts w:ascii="宋体"/>
              </w:rPr>
            </w:pPr>
          </w:p>
        </w:tc>
        <w:tc>
          <w:tcPr>
            <w:tcW w:w="5" w:type="pct"/>
            <w:shd w:val="clear" w:color="auto" w:fill="auto"/>
          </w:tcPr>
          <w:p w14:paraId="4090EA82" w14:textId="77777777" w:rsidR="00833634" w:rsidRDefault="00833634">
            <w:pPr>
              <w:rPr>
                <w:rFonts w:ascii="宋体"/>
              </w:rPr>
            </w:pPr>
          </w:p>
        </w:tc>
        <w:tc>
          <w:tcPr>
            <w:tcW w:w="50" w:type="pct"/>
            <w:shd w:val="clear" w:color="auto" w:fill="auto"/>
          </w:tcPr>
          <w:p w14:paraId="4090EA83" w14:textId="77777777" w:rsidR="00833634" w:rsidRDefault="00833634">
            <w:pPr>
              <w:rPr>
                <w:rFonts w:ascii="宋体"/>
              </w:rPr>
            </w:pPr>
          </w:p>
        </w:tc>
        <w:tc>
          <w:tcPr>
            <w:tcW w:w="579" w:type="pct"/>
            <w:shd w:val="clear" w:color="auto" w:fill="auto"/>
          </w:tcPr>
          <w:p w14:paraId="4090EA84" w14:textId="77777777" w:rsidR="00833634" w:rsidRDefault="00833634">
            <w:pPr>
              <w:rPr>
                <w:rFonts w:ascii="宋体"/>
              </w:rPr>
            </w:pPr>
          </w:p>
        </w:tc>
        <w:tc>
          <w:tcPr>
            <w:tcW w:w="5" w:type="pct"/>
            <w:shd w:val="clear" w:color="auto" w:fill="auto"/>
          </w:tcPr>
          <w:p w14:paraId="4090EA85" w14:textId="77777777" w:rsidR="00833634" w:rsidRDefault="00833634">
            <w:pPr>
              <w:rPr>
                <w:rFonts w:ascii="宋体"/>
              </w:rPr>
            </w:pPr>
          </w:p>
        </w:tc>
        <w:tc>
          <w:tcPr>
            <w:tcW w:w="50" w:type="pct"/>
            <w:shd w:val="clear" w:color="auto" w:fill="auto"/>
          </w:tcPr>
          <w:p w14:paraId="4090EA86" w14:textId="77777777" w:rsidR="00833634" w:rsidRDefault="00833634">
            <w:pPr>
              <w:rPr>
                <w:rFonts w:ascii="宋体"/>
              </w:rPr>
            </w:pPr>
          </w:p>
        </w:tc>
        <w:tc>
          <w:tcPr>
            <w:tcW w:w="531" w:type="pct"/>
            <w:shd w:val="clear" w:color="auto" w:fill="auto"/>
          </w:tcPr>
          <w:p w14:paraId="4090EA87" w14:textId="77777777" w:rsidR="00833634" w:rsidRDefault="00833634">
            <w:pPr>
              <w:rPr>
                <w:rFonts w:ascii="宋体"/>
              </w:rPr>
            </w:pPr>
          </w:p>
        </w:tc>
        <w:tc>
          <w:tcPr>
            <w:tcW w:w="5" w:type="pct"/>
            <w:shd w:val="clear" w:color="auto" w:fill="auto"/>
          </w:tcPr>
          <w:p w14:paraId="4090EA88" w14:textId="77777777" w:rsidR="00833634" w:rsidRDefault="00833634">
            <w:pPr>
              <w:rPr>
                <w:rFonts w:ascii="宋体"/>
              </w:rPr>
            </w:pPr>
          </w:p>
        </w:tc>
      </w:tr>
      <w:tr w:rsidR="00833634" w14:paraId="4090EA8E" w14:textId="77777777">
        <w:tc>
          <w:tcPr>
            <w:tcW w:w="0" w:type="auto"/>
            <w:gridSpan w:val="3"/>
            <w:shd w:val="clear" w:color="auto" w:fill="auto"/>
            <w:tcMar>
              <w:top w:w="0" w:type="dxa"/>
              <w:left w:w="20" w:type="dxa"/>
              <w:bottom w:w="0" w:type="dxa"/>
              <w:right w:w="20" w:type="dxa"/>
            </w:tcMar>
          </w:tcPr>
          <w:p w14:paraId="4090EA8A" w14:textId="77777777" w:rsidR="00833634" w:rsidRDefault="00833634">
            <w:pPr>
              <w:rPr>
                <w:rFonts w:ascii="宋体"/>
              </w:rPr>
            </w:pPr>
          </w:p>
        </w:tc>
        <w:tc>
          <w:tcPr>
            <w:tcW w:w="0" w:type="auto"/>
            <w:gridSpan w:val="6"/>
            <w:shd w:val="clear" w:color="auto" w:fill="auto"/>
            <w:tcMar>
              <w:top w:w="40" w:type="dxa"/>
              <w:left w:w="20" w:type="dxa"/>
              <w:bottom w:w="40" w:type="dxa"/>
              <w:right w:w="20" w:type="dxa"/>
            </w:tcMar>
            <w:vAlign w:val="bottom"/>
          </w:tcPr>
          <w:p w14:paraId="4090EA8B" w14:textId="77777777" w:rsidR="00833634" w:rsidRDefault="00E15D51">
            <w:pPr>
              <w:jc w:val="center"/>
              <w:textAlignment w:val="bottom"/>
            </w:pPr>
            <w:r>
              <w:rPr>
                <w:rFonts w:ascii="Arial" w:eastAsia="宋体" w:hAnsi="Arial" w:cs="Arial"/>
                <w:color w:val="000000"/>
                <w:sz w:val="16"/>
                <w:szCs w:val="16"/>
              </w:rPr>
              <w:t>Notional amounts</w:t>
            </w:r>
            <w:r>
              <w:rPr>
                <w:rFonts w:ascii="Arial" w:eastAsia="宋体" w:hAnsi="Arial" w:cs="Arial"/>
                <w:color w:val="000000"/>
                <w:sz w:val="10"/>
                <w:szCs w:val="10"/>
              </w:rPr>
              <w:t> (1)</w:t>
            </w:r>
          </w:p>
        </w:tc>
        <w:tc>
          <w:tcPr>
            <w:tcW w:w="0" w:type="auto"/>
            <w:gridSpan w:val="6"/>
            <w:shd w:val="clear" w:color="auto" w:fill="auto"/>
            <w:tcMar>
              <w:top w:w="40" w:type="dxa"/>
              <w:left w:w="20" w:type="dxa"/>
              <w:bottom w:w="40" w:type="dxa"/>
              <w:right w:w="20" w:type="dxa"/>
            </w:tcMar>
            <w:vAlign w:val="bottom"/>
          </w:tcPr>
          <w:p w14:paraId="4090EA8C" w14:textId="77777777" w:rsidR="00833634" w:rsidRDefault="00E15D51">
            <w:pPr>
              <w:jc w:val="center"/>
              <w:textAlignment w:val="bottom"/>
            </w:pPr>
            <w:r>
              <w:rPr>
                <w:rFonts w:ascii="Arial" w:eastAsia="宋体" w:hAnsi="Arial" w:cs="Arial"/>
                <w:color w:val="000000"/>
                <w:sz w:val="16"/>
                <w:szCs w:val="16"/>
              </w:rPr>
              <w:t>Other assets</w:t>
            </w:r>
          </w:p>
        </w:tc>
        <w:tc>
          <w:tcPr>
            <w:tcW w:w="0" w:type="auto"/>
            <w:gridSpan w:val="6"/>
            <w:shd w:val="clear" w:color="auto" w:fill="auto"/>
            <w:tcMar>
              <w:top w:w="40" w:type="dxa"/>
              <w:left w:w="20" w:type="dxa"/>
              <w:bottom w:w="40" w:type="dxa"/>
              <w:right w:w="20" w:type="dxa"/>
            </w:tcMar>
            <w:vAlign w:val="bottom"/>
          </w:tcPr>
          <w:p w14:paraId="4090EA8D" w14:textId="77777777" w:rsidR="00833634" w:rsidRDefault="00E15D51">
            <w:pPr>
              <w:jc w:val="center"/>
              <w:textAlignment w:val="bottom"/>
            </w:pPr>
            <w:r>
              <w:rPr>
                <w:rFonts w:ascii="Arial" w:eastAsia="宋体" w:hAnsi="Arial" w:cs="Arial"/>
                <w:color w:val="000000"/>
                <w:sz w:val="16"/>
                <w:szCs w:val="16"/>
              </w:rPr>
              <w:t>Accrued liabilities</w:t>
            </w:r>
          </w:p>
        </w:tc>
      </w:tr>
      <w:tr w:rsidR="00833634" w14:paraId="4090EA96"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A8F"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A90" w14:textId="77777777" w:rsidR="00833634" w:rsidRDefault="00E15D51">
            <w:pPr>
              <w:jc w:val="right"/>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A91" w14:textId="77777777" w:rsidR="00833634" w:rsidRDefault="00E15D51">
            <w:pPr>
              <w:jc w:val="right"/>
              <w:textAlignment w:val="bottom"/>
            </w:pPr>
            <w:r>
              <w:rPr>
                <w:rFonts w:ascii="Arial" w:eastAsia="宋体" w:hAnsi="Arial" w:cs="Arial"/>
                <w:color w:val="000000"/>
                <w:sz w:val="16"/>
                <w:szCs w:val="16"/>
              </w:rPr>
              <w:t>December 31</w:t>
            </w:r>
            <w:r>
              <w:rPr>
                <w:rFonts w:ascii="Arial" w:eastAsia="宋体" w:hAnsi="Arial" w:cs="Arial"/>
                <w:color w:val="000000"/>
                <w:sz w:val="16"/>
                <w:szCs w:val="16"/>
              </w:rPr>
              <w:br/>
              <w:t>2019</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A92" w14:textId="77777777" w:rsidR="00833634" w:rsidRDefault="00E15D51">
            <w:pPr>
              <w:jc w:val="right"/>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A93" w14:textId="77777777" w:rsidR="00833634" w:rsidRDefault="00E15D51">
            <w:pPr>
              <w:jc w:val="right"/>
              <w:textAlignment w:val="bottom"/>
            </w:pPr>
            <w:r>
              <w:rPr>
                <w:rFonts w:ascii="Arial" w:eastAsia="宋体" w:hAnsi="Arial" w:cs="Arial"/>
                <w:color w:val="000000"/>
                <w:sz w:val="16"/>
                <w:szCs w:val="16"/>
              </w:rPr>
              <w:t>December 31</w:t>
            </w:r>
            <w:r>
              <w:rPr>
                <w:rFonts w:ascii="Arial" w:eastAsia="宋体" w:hAnsi="Arial" w:cs="Arial"/>
                <w:color w:val="000000"/>
                <w:sz w:val="16"/>
                <w:szCs w:val="16"/>
              </w:rPr>
              <w:br/>
              <w:t>2019</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A94" w14:textId="77777777" w:rsidR="00833634" w:rsidRDefault="00E15D51">
            <w:pPr>
              <w:jc w:val="right"/>
              <w:textAlignment w:val="bottom"/>
            </w:pPr>
            <w:r>
              <w:rPr>
                <w:rFonts w:ascii="Arial" w:eastAsia="宋体" w:hAnsi="Arial" w:cs="Arial"/>
                <w:b/>
                <w:bCs/>
                <w:color w:val="000000"/>
                <w:sz w:val="16"/>
                <w:szCs w:val="16"/>
              </w:rPr>
              <w:t>September 30</w:t>
            </w:r>
            <w:r>
              <w:rPr>
                <w:rFonts w:ascii="Arial" w:eastAsia="宋体" w:hAnsi="Arial" w:cs="Arial"/>
                <w:b/>
                <w:bCs/>
                <w:color w:val="000000"/>
                <w:sz w:val="16"/>
                <w:szCs w:val="16"/>
              </w:rPr>
              <w:br/>
              <w:t>2020</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A95" w14:textId="77777777" w:rsidR="00833634" w:rsidRDefault="00E15D51">
            <w:pPr>
              <w:jc w:val="right"/>
              <w:textAlignment w:val="bottom"/>
            </w:pPr>
            <w:r>
              <w:rPr>
                <w:rFonts w:ascii="Arial" w:eastAsia="宋体" w:hAnsi="Arial" w:cs="Arial"/>
                <w:color w:val="000000"/>
                <w:sz w:val="16"/>
                <w:szCs w:val="16"/>
              </w:rPr>
              <w:t>December 31</w:t>
            </w:r>
            <w:r>
              <w:rPr>
                <w:rFonts w:ascii="Arial" w:eastAsia="宋体" w:hAnsi="Arial" w:cs="Arial"/>
                <w:color w:val="000000"/>
                <w:sz w:val="16"/>
                <w:szCs w:val="16"/>
              </w:rPr>
              <w:br/>
              <w:t>2019</w:t>
            </w:r>
          </w:p>
        </w:tc>
      </w:tr>
      <w:tr w:rsidR="00833634" w14:paraId="4090EA9E"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A97" w14:textId="77777777" w:rsidR="00833634" w:rsidRDefault="00E15D51">
            <w:pPr>
              <w:ind w:hanging="180"/>
              <w:textAlignment w:val="bottom"/>
            </w:pPr>
            <w:r>
              <w:rPr>
                <w:rFonts w:ascii="Arial" w:eastAsia="宋体" w:hAnsi="Arial" w:cs="Arial"/>
                <w:color w:val="000000"/>
                <w:sz w:val="16"/>
                <w:szCs w:val="16"/>
              </w:rPr>
              <w:t xml:space="preserve">Derivatives designated as hedging </w:t>
            </w:r>
            <w:r>
              <w:rPr>
                <w:rFonts w:ascii="Arial" w:eastAsia="宋体" w:hAnsi="Arial" w:cs="Arial"/>
                <w:color w:val="000000"/>
                <w:sz w:val="16"/>
                <w:szCs w:val="16"/>
              </w:rPr>
              <w:t>instruments:</w:t>
            </w:r>
          </w:p>
        </w:tc>
        <w:tc>
          <w:tcPr>
            <w:tcW w:w="0" w:type="auto"/>
            <w:gridSpan w:val="3"/>
            <w:tcBorders>
              <w:top w:val="single" w:sz="8" w:space="0" w:color="000000"/>
            </w:tcBorders>
            <w:shd w:val="clear" w:color="auto" w:fill="CCEEFF"/>
            <w:tcMar>
              <w:top w:w="0" w:type="dxa"/>
              <w:left w:w="20" w:type="dxa"/>
              <w:bottom w:w="0" w:type="dxa"/>
              <w:right w:w="20" w:type="dxa"/>
            </w:tcMar>
          </w:tcPr>
          <w:p w14:paraId="4090EA98"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99"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9A"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9B"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9C"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A9D" w14:textId="77777777" w:rsidR="00833634" w:rsidRDefault="00833634">
            <w:pPr>
              <w:rPr>
                <w:rFonts w:ascii="宋体"/>
              </w:rPr>
            </w:pPr>
          </w:p>
        </w:tc>
      </w:tr>
      <w:tr w:rsidR="00833634" w14:paraId="4090EAAC" w14:textId="77777777">
        <w:tc>
          <w:tcPr>
            <w:tcW w:w="0" w:type="auto"/>
            <w:gridSpan w:val="3"/>
            <w:shd w:val="clear" w:color="auto" w:fill="FFFFFF"/>
            <w:tcMar>
              <w:top w:w="40" w:type="dxa"/>
              <w:left w:w="360" w:type="dxa"/>
              <w:bottom w:w="40" w:type="dxa"/>
              <w:right w:w="20" w:type="dxa"/>
            </w:tcMar>
            <w:vAlign w:val="bottom"/>
          </w:tcPr>
          <w:p w14:paraId="4090EA9F" w14:textId="77777777" w:rsidR="00833634" w:rsidRDefault="00E15D51">
            <w:pPr>
              <w:textAlignment w:val="bottom"/>
            </w:pPr>
            <w:r>
              <w:rPr>
                <w:rFonts w:ascii="Arial" w:eastAsia="宋体" w:hAnsi="Arial" w:cs="Arial"/>
                <w:color w:val="000000"/>
                <w:sz w:val="16"/>
                <w:szCs w:val="16"/>
              </w:rPr>
              <w:t>Foreign exchange contracts</w:t>
            </w:r>
          </w:p>
        </w:tc>
        <w:tc>
          <w:tcPr>
            <w:tcW w:w="0" w:type="auto"/>
            <w:gridSpan w:val="2"/>
            <w:shd w:val="clear" w:color="auto" w:fill="FFFFFF"/>
            <w:tcMar>
              <w:top w:w="40" w:type="dxa"/>
              <w:left w:w="20" w:type="dxa"/>
              <w:bottom w:w="40" w:type="dxa"/>
              <w:right w:w="0" w:type="dxa"/>
            </w:tcMar>
            <w:vAlign w:val="bottom"/>
          </w:tcPr>
          <w:p w14:paraId="4090EAA0" w14:textId="77777777" w:rsidR="00833634" w:rsidRDefault="00E15D51">
            <w:pPr>
              <w:jc w:val="right"/>
              <w:textAlignment w:val="bottom"/>
            </w:pPr>
            <w:r>
              <w:rPr>
                <w:rFonts w:ascii="Arial" w:eastAsia="宋体" w:hAnsi="Arial" w:cs="Arial"/>
                <w:b/>
                <w:bCs/>
                <w:color w:val="000000"/>
                <w:sz w:val="16"/>
                <w:szCs w:val="16"/>
              </w:rPr>
              <w:t>$3,022</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EAA1"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AA2" w14:textId="77777777" w:rsidR="00833634" w:rsidRDefault="00E15D51">
            <w:pPr>
              <w:jc w:val="right"/>
              <w:textAlignment w:val="bottom"/>
            </w:pPr>
            <w:r>
              <w:rPr>
                <w:rFonts w:ascii="Arial" w:eastAsia="宋体" w:hAnsi="Arial" w:cs="Arial"/>
                <w:color w:val="000000"/>
                <w:sz w:val="16"/>
                <w:szCs w:val="16"/>
              </w:rPr>
              <w:t>$2,590 </w:t>
            </w:r>
          </w:p>
        </w:tc>
        <w:tc>
          <w:tcPr>
            <w:tcW w:w="0" w:type="auto"/>
            <w:shd w:val="clear" w:color="auto" w:fill="FFFFFF"/>
            <w:tcMar>
              <w:top w:w="40" w:type="dxa"/>
              <w:left w:w="0" w:type="dxa"/>
              <w:bottom w:w="40" w:type="dxa"/>
              <w:right w:w="20" w:type="dxa"/>
            </w:tcMar>
            <w:vAlign w:val="bottom"/>
          </w:tcPr>
          <w:p w14:paraId="4090EAA3"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AA4" w14:textId="77777777" w:rsidR="00833634" w:rsidRDefault="00E15D51">
            <w:pPr>
              <w:jc w:val="right"/>
              <w:textAlignment w:val="bottom"/>
            </w:pPr>
            <w:r>
              <w:rPr>
                <w:rFonts w:ascii="Arial" w:eastAsia="宋体" w:hAnsi="Arial" w:cs="Arial"/>
                <w:b/>
                <w:bCs/>
                <w:color w:val="000000"/>
                <w:sz w:val="16"/>
                <w:szCs w:val="16"/>
              </w:rPr>
              <w:t>$15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EAA5"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AA6" w14:textId="77777777" w:rsidR="00833634" w:rsidRDefault="00E15D51">
            <w:pPr>
              <w:jc w:val="right"/>
              <w:textAlignment w:val="bottom"/>
            </w:pPr>
            <w:r>
              <w:rPr>
                <w:rFonts w:ascii="Arial" w:eastAsia="宋体" w:hAnsi="Arial" w:cs="Arial"/>
                <w:color w:val="000000"/>
                <w:sz w:val="16"/>
                <w:szCs w:val="16"/>
              </w:rPr>
              <w:t>$29 </w:t>
            </w:r>
          </w:p>
        </w:tc>
        <w:tc>
          <w:tcPr>
            <w:tcW w:w="0" w:type="auto"/>
            <w:shd w:val="clear" w:color="auto" w:fill="FFFFFF"/>
            <w:tcMar>
              <w:top w:w="40" w:type="dxa"/>
              <w:left w:w="0" w:type="dxa"/>
              <w:bottom w:w="40" w:type="dxa"/>
              <w:right w:w="20" w:type="dxa"/>
            </w:tcMar>
            <w:vAlign w:val="bottom"/>
          </w:tcPr>
          <w:p w14:paraId="4090EAA7"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AA8" w14:textId="77777777" w:rsidR="00833634" w:rsidRDefault="00E15D51">
            <w:pPr>
              <w:jc w:val="right"/>
              <w:textAlignment w:val="bottom"/>
            </w:pPr>
            <w:r>
              <w:rPr>
                <w:rFonts w:ascii="Arial" w:eastAsia="宋体" w:hAnsi="Arial" w:cs="Arial"/>
                <w:b/>
                <w:bCs/>
                <w:color w:val="000000"/>
                <w:sz w:val="16"/>
                <w:szCs w:val="16"/>
              </w:rPr>
              <w:t>($94)</w:t>
            </w:r>
          </w:p>
        </w:tc>
        <w:tc>
          <w:tcPr>
            <w:tcW w:w="0" w:type="auto"/>
            <w:shd w:val="clear" w:color="auto" w:fill="FFFFFF"/>
            <w:tcMar>
              <w:top w:w="40" w:type="dxa"/>
              <w:left w:w="0" w:type="dxa"/>
              <w:bottom w:w="40" w:type="dxa"/>
              <w:right w:w="20" w:type="dxa"/>
            </w:tcMar>
            <w:vAlign w:val="bottom"/>
          </w:tcPr>
          <w:p w14:paraId="4090EAA9"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AAA" w14:textId="77777777" w:rsidR="00833634" w:rsidRDefault="00E15D51">
            <w:pPr>
              <w:jc w:val="right"/>
              <w:textAlignment w:val="bottom"/>
            </w:pPr>
            <w:r>
              <w:rPr>
                <w:rFonts w:ascii="Arial" w:eastAsia="宋体" w:hAnsi="Arial" w:cs="Arial"/>
                <w:color w:val="000000"/>
                <w:sz w:val="16"/>
                <w:szCs w:val="16"/>
              </w:rPr>
              <w:t>($60)</w:t>
            </w:r>
          </w:p>
        </w:tc>
        <w:tc>
          <w:tcPr>
            <w:tcW w:w="0" w:type="auto"/>
            <w:shd w:val="clear" w:color="auto" w:fill="FFFFFF"/>
            <w:tcMar>
              <w:top w:w="40" w:type="dxa"/>
              <w:left w:w="0" w:type="dxa"/>
              <w:bottom w:w="40" w:type="dxa"/>
              <w:right w:w="20" w:type="dxa"/>
            </w:tcMar>
            <w:vAlign w:val="bottom"/>
          </w:tcPr>
          <w:p w14:paraId="4090EAAB" w14:textId="77777777" w:rsidR="00833634" w:rsidRDefault="00833634">
            <w:pPr>
              <w:jc w:val="right"/>
              <w:rPr>
                <w:rFonts w:ascii="宋体"/>
              </w:rPr>
            </w:pPr>
          </w:p>
        </w:tc>
      </w:tr>
      <w:tr w:rsidR="00833634" w14:paraId="4090EAB4" w14:textId="77777777">
        <w:trPr>
          <w:hidden/>
        </w:trPr>
        <w:tc>
          <w:tcPr>
            <w:tcW w:w="0" w:type="auto"/>
            <w:gridSpan w:val="3"/>
            <w:shd w:val="clear" w:color="auto" w:fill="auto"/>
          </w:tcPr>
          <w:p w14:paraId="4090EAAD" w14:textId="77777777" w:rsidR="00833634" w:rsidRDefault="00833634">
            <w:pPr>
              <w:rPr>
                <w:rFonts w:ascii="宋体"/>
                <w:vanish/>
              </w:rPr>
            </w:pPr>
          </w:p>
        </w:tc>
        <w:tc>
          <w:tcPr>
            <w:tcW w:w="0" w:type="auto"/>
            <w:gridSpan w:val="3"/>
            <w:shd w:val="clear" w:color="auto" w:fill="auto"/>
          </w:tcPr>
          <w:p w14:paraId="4090EAAE" w14:textId="77777777" w:rsidR="00833634" w:rsidRDefault="00833634">
            <w:pPr>
              <w:rPr>
                <w:rFonts w:ascii="宋体"/>
                <w:vanish/>
              </w:rPr>
            </w:pPr>
          </w:p>
        </w:tc>
        <w:tc>
          <w:tcPr>
            <w:tcW w:w="0" w:type="auto"/>
            <w:gridSpan w:val="3"/>
            <w:shd w:val="clear" w:color="auto" w:fill="auto"/>
          </w:tcPr>
          <w:p w14:paraId="4090EAAF" w14:textId="77777777" w:rsidR="00833634" w:rsidRDefault="00833634">
            <w:pPr>
              <w:rPr>
                <w:rFonts w:ascii="宋体"/>
                <w:vanish/>
              </w:rPr>
            </w:pPr>
          </w:p>
        </w:tc>
        <w:tc>
          <w:tcPr>
            <w:tcW w:w="0" w:type="auto"/>
            <w:gridSpan w:val="3"/>
            <w:shd w:val="clear" w:color="auto" w:fill="auto"/>
          </w:tcPr>
          <w:p w14:paraId="4090EAB0" w14:textId="77777777" w:rsidR="00833634" w:rsidRDefault="00833634">
            <w:pPr>
              <w:rPr>
                <w:rFonts w:ascii="宋体"/>
                <w:vanish/>
              </w:rPr>
            </w:pPr>
          </w:p>
        </w:tc>
        <w:tc>
          <w:tcPr>
            <w:tcW w:w="0" w:type="auto"/>
            <w:gridSpan w:val="3"/>
            <w:shd w:val="clear" w:color="auto" w:fill="auto"/>
          </w:tcPr>
          <w:p w14:paraId="4090EAB1" w14:textId="77777777" w:rsidR="00833634" w:rsidRDefault="00833634">
            <w:pPr>
              <w:rPr>
                <w:rFonts w:ascii="宋体"/>
                <w:vanish/>
              </w:rPr>
            </w:pPr>
          </w:p>
        </w:tc>
        <w:tc>
          <w:tcPr>
            <w:tcW w:w="0" w:type="auto"/>
            <w:gridSpan w:val="3"/>
            <w:shd w:val="clear" w:color="auto" w:fill="auto"/>
          </w:tcPr>
          <w:p w14:paraId="4090EAB2" w14:textId="77777777" w:rsidR="00833634" w:rsidRDefault="00833634">
            <w:pPr>
              <w:rPr>
                <w:rFonts w:ascii="宋体"/>
                <w:vanish/>
              </w:rPr>
            </w:pPr>
          </w:p>
        </w:tc>
        <w:tc>
          <w:tcPr>
            <w:tcW w:w="0" w:type="auto"/>
            <w:gridSpan w:val="3"/>
            <w:shd w:val="clear" w:color="auto" w:fill="auto"/>
          </w:tcPr>
          <w:p w14:paraId="4090EAB3" w14:textId="77777777" w:rsidR="00833634" w:rsidRDefault="00833634">
            <w:pPr>
              <w:rPr>
                <w:rFonts w:ascii="宋体"/>
                <w:vanish/>
              </w:rPr>
            </w:pPr>
          </w:p>
        </w:tc>
      </w:tr>
      <w:tr w:rsidR="00833634" w14:paraId="4090EAC2" w14:textId="77777777">
        <w:tc>
          <w:tcPr>
            <w:tcW w:w="0" w:type="auto"/>
            <w:gridSpan w:val="3"/>
            <w:shd w:val="clear" w:color="auto" w:fill="CCEEFF"/>
            <w:tcMar>
              <w:top w:w="40" w:type="dxa"/>
              <w:left w:w="360" w:type="dxa"/>
              <w:bottom w:w="40" w:type="dxa"/>
              <w:right w:w="20" w:type="dxa"/>
            </w:tcMar>
            <w:vAlign w:val="bottom"/>
          </w:tcPr>
          <w:p w14:paraId="4090EAB5" w14:textId="77777777" w:rsidR="00833634" w:rsidRDefault="00E15D51">
            <w:pPr>
              <w:textAlignment w:val="bottom"/>
            </w:pPr>
            <w:r>
              <w:rPr>
                <w:rFonts w:ascii="Arial" w:eastAsia="宋体" w:hAnsi="Arial" w:cs="Arial"/>
                <w:color w:val="000000"/>
                <w:sz w:val="16"/>
                <w:szCs w:val="16"/>
              </w:rPr>
              <w:t>Commodity contracts</w:t>
            </w:r>
          </w:p>
        </w:tc>
        <w:tc>
          <w:tcPr>
            <w:tcW w:w="0" w:type="auto"/>
            <w:gridSpan w:val="2"/>
            <w:shd w:val="clear" w:color="auto" w:fill="CCEEFF"/>
            <w:tcMar>
              <w:top w:w="40" w:type="dxa"/>
              <w:left w:w="20" w:type="dxa"/>
              <w:bottom w:w="40" w:type="dxa"/>
              <w:right w:w="0" w:type="dxa"/>
            </w:tcMar>
            <w:vAlign w:val="bottom"/>
          </w:tcPr>
          <w:p w14:paraId="4090EAB6" w14:textId="77777777" w:rsidR="00833634" w:rsidRDefault="00E15D51">
            <w:pPr>
              <w:jc w:val="right"/>
              <w:textAlignment w:val="bottom"/>
            </w:pPr>
            <w:r>
              <w:rPr>
                <w:rFonts w:ascii="Arial" w:eastAsia="宋体" w:hAnsi="Arial" w:cs="Arial"/>
                <w:b/>
                <w:bCs/>
                <w:color w:val="000000"/>
                <w:sz w:val="16"/>
                <w:szCs w:val="16"/>
              </w:rPr>
              <w:t>354</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AB7"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B8" w14:textId="77777777" w:rsidR="00833634" w:rsidRDefault="00E15D51">
            <w:pPr>
              <w:jc w:val="right"/>
              <w:textAlignment w:val="bottom"/>
            </w:pPr>
            <w:r>
              <w:rPr>
                <w:rFonts w:ascii="Arial" w:eastAsia="宋体" w:hAnsi="Arial" w:cs="Arial"/>
                <w:color w:val="000000"/>
                <w:sz w:val="16"/>
                <w:szCs w:val="16"/>
              </w:rPr>
              <w:t>645 </w:t>
            </w:r>
          </w:p>
        </w:tc>
        <w:tc>
          <w:tcPr>
            <w:tcW w:w="0" w:type="auto"/>
            <w:shd w:val="clear" w:color="auto" w:fill="CCEEFF"/>
            <w:tcMar>
              <w:top w:w="40" w:type="dxa"/>
              <w:left w:w="0" w:type="dxa"/>
              <w:bottom w:w="40" w:type="dxa"/>
              <w:right w:w="20" w:type="dxa"/>
            </w:tcMar>
            <w:vAlign w:val="bottom"/>
          </w:tcPr>
          <w:p w14:paraId="4090EAB9"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BA" w14:textId="77777777" w:rsidR="00833634" w:rsidRDefault="00E15D51">
            <w:pPr>
              <w:jc w:val="right"/>
              <w:textAlignment w:val="bottom"/>
            </w:pPr>
            <w:r>
              <w:rPr>
                <w:rFonts w:ascii="Arial" w:eastAsia="宋体" w:hAnsi="Arial" w:cs="Arial"/>
                <w:b/>
                <w:bCs/>
                <w:color w:val="000000"/>
                <w:sz w:val="16"/>
                <w:szCs w:val="16"/>
              </w:rPr>
              <w:t>3</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ABB"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BC" w14:textId="77777777" w:rsidR="00833634" w:rsidRDefault="00E15D51">
            <w:pPr>
              <w:jc w:val="right"/>
              <w:textAlignment w:val="bottom"/>
            </w:pPr>
            <w:r>
              <w:rPr>
                <w:rFonts w:ascii="Arial" w:eastAsia="宋体" w:hAnsi="Arial" w:cs="Arial"/>
                <w:color w:val="000000"/>
                <w:sz w:val="16"/>
                <w:szCs w:val="16"/>
              </w:rPr>
              <w:t>4 </w:t>
            </w:r>
          </w:p>
        </w:tc>
        <w:tc>
          <w:tcPr>
            <w:tcW w:w="0" w:type="auto"/>
            <w:shd w:val="clear" w:color="auto" w:fill="CCEEFF"/>
            <w:tcMar>
              <w:top w:w="40" w:type="dxa"/>
              <w:left w:w="0" w:type="dxa"/>
              <w:bottom w:w="40" w:type="dxa"/>
              <w:right w:w="20" w:type="dxa"/>
            </w:tcMar>
            <w:vAlign w:val="bottom"/>
          </w:tcPr>
          <w:p w14:paraId="4090EABD"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BE" w14:textId="77777777" w:rsidR="00833634" w:rsidRDefault="00E15D51">
            <w:pPr>
              <w:jc w:val="right"/>
              <w:textAlignment w:val="bottom"/>
            </w:pPr>
            <w:r>
              <w:rPr>
                <w:rFonts w:ascii="Arial" w:eastAsia="宋体" w:hAnsi="Arial" w:cs="Arial"/>
                <w:b/>
                <w:bCs/>
                <w:color w:val="000000"/>
                <w:sz w:val="16"/>
                <w:szCs w:val="16"/>
              </w:rPr>
              <w:t>(81)</w:t>
            </w:r>
          </w:p>
        </w:tc>
        <w:tc>
          <w:tcPr>
            <w:tcW w:w="0" w:type="auto"/>
            <w:shd w:val="clear" w:color="auto" w:fill="CCEEFF"/>
            <w:tcMar>
              <w:top w:w="40" w:type="dxa"/>
              <w:left w:w="0" w:type="dxa"/>
              <w:bottom w:w="40" w:type="dxa"/>
              <w:right w:w="20" w:type="dxa"/>
            </w:tcMar>
            <w:vAlign w:val="bottom"/>
          </w:tcPr>
          <w:p w14:paraId="4090EABF"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C0" w14:textId="77777777" w:rsidR="00833634" w:rsidRDefault="00E15D51">
            <w:pPr>
              <w:jc w:val="right"/>
              <w:textAlignment w:val="bottom"/>
            </w:pPr>
            <w:r>
              <w:rPr>
                <w:rFonts w:ascii="Arial" w:eastAsia="宋体" w:hAnsi="Arial" w:cs="Arial"/>
                <w:color w:val="000000"/>
                <w:sz w:val="16"/>
                <w:szCs w:val="16"/>
              </w:rPr>
              <w:t>(72)</w:t>
            </w:r>
          </w:p>
        </w:tc>
        <w:tc>
          <w:tcPr>
            <w:tcW w:w="0" w:type="auto"/>
            <w:shd w:val="clear" w:color="auto" w:fill="CCEEFF"/>
            <w:tcMar>
              <w:top w:w="40" w:type="dxa"/>
              <w:left w:w="0" w:type="dxa"/>
              <w:bottom w:w="40" w:type="dxa"/>
              <w:right w:w="20" w:type="dxa"/>
            </w:tcMar>
            <w:vAlign w:val="bottom"/>
          </w:tcPr>
          <w:p w14:paraId="4090EAC1" w14:textId="77777777" w:rsidR="00833634" w:rsidRDefault="00833634">
            <w:pPr>
              <w:jc w:val="right"/>
              <w:rPr>
                <w:rFonts w:ascii="宋体"/>
              </w:rPr>
            </w:pPr>
          </w:p>
        </w:tc>
      </w:tr>
      <w:tr w:rsidR="00833634" w14:paraId="4090EACA" w14:textId="77777777">
        <w:tc>
          <w:tcPr>
            <w:tcW w:w="0" w:type="auto"/>
            <w:gridSpan w:val="3"/>
            <w:shd w:val="clear" w:color="auto" w:fill="FFFFFF"/>
            <w:tcMar>
              <w:top w:w="40" w:type="dxa"/>
              <w:left w:w="20" w:type="dxa"/>
              <w:bottom w:w="40" w:type="dxa"/>
              <w:right w:w="20" w:type="dxa"/>
            </w:tcMar>
            <w:vAlign w:val="bottom"/>
          </w:tcPr>
          <w:p w14:paraId="4090EAC3" w14:textId="77777777" w:rsidR="00833634" w:rsidRDefault="00E15D51">
            <w:pPr>
              <w:ind w:hanging="180"/>
              <w:textAlignment w:val="bottom"/>
            </w:pPr>
            <w:r>
              <w:rPr>
                <w:rFonts w:ascii="Arial" w:eastAsia="宋体" w:hAnsi="Arial" w:cs="Arial"/>
                <w:color w:val="000000"/>
                <w:sz w:val="16"/>
                <w:szCs w:val="16"/>
              </w:rPr>
              <w:t>Derivatives not receiving hedge accounting treatment:</w:t>
            </w:r>
          </w:p>
        </w:tc>
        <w:tc>
          <w:tcPr>
            <w:tcW w:w="0" w:type="auto"/>
            <w:gridSpan w:val="3"/>
            <w:shd w:val="clear" w:color="auto" w:fill="FFFFFF"/>
            <w:tcMar>
              <w:top w:w="0" w:type="dxa"/>
              <w:left w:w="20" w:type="dxa"/>
              <w:bottom w:w="0" w:type="dxa"/>
              <w:right w:w="20" w:type="dxa"/>
            </w:tcMar>
          </w:tcPr>
          <w:p w14:paraId="4090EAC4"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AC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AC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AC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AC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AC9" w14:textId="77777777" w:rsidR="00833634" w:rsidRDefault="00833634">
            <w:pPr>
              <w:rPr>
                <w:rFonts w:ascii="宋体"/>
              </w:rPr>
            </w:pPr>
          </w:p>
        </w:tc>
      </w:tr>
      <w:tr w:rsidR="00833634" w14:paraId="4090EAD8" w14:textId="77777777">
        <w:tc>
          <w:tcPr>
            <w:tcW w:w="0" w:type="auto"/>
            <w:gridSpan w:val="3"/>
            <w:shd w:val="clear" w:color="auto" w:fill="CCEEFF"/>
            <w:tcMar>
              <w:top w:w="40" w:type="dxa"/>
              <w:left w:w="360" w:type="dxa"/>
              <w:bottom w:w="40" w:type="dxa"/>
              <w:right w:w="20" w:type="dxa"/>
            </w:tcMar>
            <w:vAlign w:val="bottom"/>
          </w:tcPr>
          <w:p w14:paraId="4090EACB" w14:textId="77777777" w:rsidR="00833634" w:rsidRDefault="00E15D51">
            <w:pPr>
              <w:textAlignment w:val="bottom"/>
            </w:pPr>
            <w:r>
              <w:rPr>
                <w:rFonts w:ascii="Arial" w:eastAsia="宋体" w:hAnsi="Arial" w:cs="Arial"/>
                <w:color w:val="000000"/>
                <w:sz w:val="16"/>
                <w:szCs w:val="16"/>
              </w:rPr>
              <w:t>Foreign exchange contracts</w:t>
            </w:r>
          </w:p>
        </w:tc>
        <w:tc>
          <w:tcPr>
            <w:tcW w:w="0" w:type="auto"/>
            <w:gridSpan w:val="2"/>
            <w:shd w:val="clear" w:color="auto" w:fill="CCEEFF"/>
            <w:tcMar>
              <w:top w:w="40" w:type="dxa"/>
              <w:left w:w="20" w:type="dxa"/>
              <w:bottom w:w="40" w:type="dxa"/>
              <w:right w:w="0" w:type="dxa"/>
            </w:tcMar>
            <w:vAlign w:val="bottom"/>
          </w:tcPr>
          <w:p w14:paraId="4090EACC" w14:textId="77777777" w:rsidR="00833634" w:rsidRDefault="00E15D51">
            <w:pPr>
              <w:jc w:val="right"/>
              <w:textAlignment w:val="bottom"/>
            </w:pPr>
            <w:r>
              <w:rPr>
                <w:rFonts w:ascii="Arial" w:eastAsia="宋体" w:hAnsi="Arial" w:cs="Arial"/>
                <w:b/>
                <w:bCs/>
                <w:color w:val="000000"/>
                <w:sz w:val="16"/>
                <w:szCs w:val="16"/>
              </w:rPr>
              <w:t>641</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ACD"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CE" w14:textId="77777777" w:rsidR="00833634" w:rsidRDefault="00E15D51">
            <w:pPr>
              <w:jc w:val="right"/>
              <w:textAlignment w:val="bottom"/>
            </w:pPr>
            <w:r>
              <w:rPr>
                <w:rFonts w:ascii="Arial" w:eastAsia="宋体" w:hAnsi="Arial" w:cs="Arial"/>
                <w:color w:val="000000"/>
                <w:sz w:val="16"/>
                <w:szCs w:val="16"/>
              </w:rPr>
              <w:t>285 </w:t>
            </w:r>
          </w:p>
        </w:tc>
        <w:tc>
          <w:tcPr>
            <w:tcW w:w="0" w:type="auto"/>
            <w:shd w:val="clear" w:color="auto" w:fill="CCEEFF"/>
            <w:tcMar>
              <w:top w:w="40" w:type="dxa"/>
              <w:left w:w="0" w:type="dxa"/>
              <w:bottom w:w="40" w:type="dxa"/>
              <w:right w:w="20" w:type="dxa"/>
            </w:tcMar>
            <w:vAlign w:val="bottom"/>
          </w:tcPr>
          <w:p w14:paraId="4090EACF"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D0" w14:textId="77777777" w:rsidR="00833634" w:rsidRDefault="00E15D51">
            <w:pPr>
              <w:jc w:val="right"/>
              <w:textAlignment w:val="bottom"/>
            </w:pPr>
            <w:r>
              <w:rPr>
                <w:rFonts w:ascii="Arial" w:eastAsia="宋体" w:hAnsi="Arial" w:cs="Arial"/>
                <w:b/>
                <w:bCs/>
                <w:color w:val="000000"/>
                <w:sz w:val="16"/>
                <w:szCs w:val="16"/>
              </w:rPr>
              <w:t>16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4090EAD1"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D2" w14:textId="77777777" w:rsidR="00833634" w:rsidRDefault="00E15D51">
            <w:pPr>
              <w:jc w:val="right"/>
              <w:textAlignment w:val="bottom"/>
            </w:pPr>
            <w:r>
              <w:rPr>
                <w:rFonts w:ascii="Arial" w:eastAsia="宋体" w:hAnsi="Arial" w:cs="Arial"/>
                <w:color w:val="000000"/>
                <w:sz w:val="16"/>
                <w:szCs w:val="16"/>
              </w:rPr>
              <w:t>1 </w:t>
            </w:r>
          </w:p>
        </w:tc>
        <w:tc>
          <w:tcPr>
            <w:tcW w:w="0" w:type="auto"/>
            <w:shd w:val="clear" w:color="auto" w:fill="CCEEFF"/>
            <w:tcMar>
              <w:top w:w="40" w:type="dxa"/>
              <w:left w:w="0" w:type="dxa"/>
              <w:bottom w:w="40" w:type="dxa"/>
              <w:right w:w="20" w:type="dxa"/>
            </w:tcMar>
            <w:vAlign w:val="bottom"/>
          </w:tcPr>
          <w:p w14:paraId="4090EAD3"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D4" w14:textId="77777777" w:rsidR="00833634" w:rsidRDefault="00E15D51">
            <w:pPr>
              <w:jc w:val="right"/>
              <w:textAlignment w:val="bottom"/>
            </w:pPr>
            <w:r>
              <w:rPr>
                <w:rFonts w:ascii="Arial" w:eastAsia="宋体" w:hAnsi="Arial" w:cs="Arial"/>
                <w:b/>
                <w:bCs/>
                <w:color w:val="000000"/>
                <w:sz w:val="16"/>
                <w:szCs w:val="16"/>
              </w:rPr>
              <w:t>(9)</w:t>
            </w:r>
          </w:p>
        </w:tc>
        <w:tc>
          <w:tcPr>
            <w:tcW w:w="0" w:type="auto"/>
            <w:shd w:val="clear" w:color="auto" w:fill="CCEEFF"/>
            <w:tcMar>
              <w:top w:w="40" w:type="dxa"/>
              <w:left w:w="0" w:type="dxa"/>
              <w:bottom w:w="40" w:type="dxa"/>
              <w:right w:w="20" w:type="dxa"/>
            </w:tcMar>
            <w:vAlign w:val="bottom"/>
          </w:tcPr>
          <w:p w14:paraId="4090EAD5" w14:textId="77777777" w:rsidR="00833634" w:rsidRDefault="00833634">
            <w:pPr>
              <w:jc w:val="right"/>
              <w:rPr>
                <w:rFonts w:ascii="宋体"/>
              </w:rPr>
            </w:pPr>
          </w:p>
        </w:tc>
        <w:tc>
          <w:tcPr>
            <w:tcW w:w="0" w:type="auto"/>
            <w:gridSpan w:val="2"/>
            <w:shd w:val="clear" w:color="auto" w:fill="CCEEFF"/>
            <w:tcMar>
              <w:top w:w="40" w:type="dxa"/>
              <w:left w:w="20" w:type="dxa"/>
              <w:bottom w:w="40" w:type="dxa"/>
              <w:right w:w="0" w:type="dxa"/>
            </w:tcMar>
            <w:vAlign w:val="bottom"/>
          </w:tcPr>
          <w:p w14:paraId="4090EAD6" w14:textId="77777777" w:rsidR="00833634" w:rsidRDefault="00E15D51">
            <w:pPr>
              <w:jc w:val="right"/>
              <w:textAlignment w:val="bottom"/>
            </w:pPr>
            <w:r>
              <w:rPr>
                <w:rFonts w:ascii="Arial" w:eastAsia="宋体" w:hAnsi="Arial" w:cs="Arial"/>
                <w:color w:val="000000"/>
                <w:sz w:val="16"/>
                <w:szCs w:val="16"/>
              </w:rPr>
              <w:t>(6)</w:t>
            </w:r>
          </w:p>
        </w:tc>
        <w:tc>
          <w:tcPr>
            <w:tcW w:w="0" w:type="auto"/>
            <w:shd w:val="clear" w:color="auto" w:fill="CCEEFF"/>
            <w:tcMar>
              <w:top w:w="40" w:type="dxa"/>
              <w:left w:w="0" w:type="dxa"/>
              <w:bottom w:w="40" w:type="dxa"/>
              <w:right w:w="20" w:type="dxa"/>
            </w:tcMar>
            <w:vAlign w:val="bottom"/>
          </w:tcPr>
          <w:p w14:paraId="4090EAD7" w14:textId="77777777" w:rsidR="00833634" w:rsidRDefault="00833634">
            <w:pPr>
              <w:jc w:val="right"/>
              <w:rPr>
                <w:rFonts w:ascii="宋体"/>
              </w:rPr>
            </w:pPr>
          </w:p>
        </w:tc>
      </w:tr>
      <w:tr w:rsidR="00833634" w14:paraId="4090EAE3" w14:textId="77777777">
        <w:tc>
          <w:tcPr>
            <w:tcW w:w="0" w:type="auto"/>
            <w:gridSpan w:val="3"/>
            <w:shd w:val="clear" w:color="auto" w:fill="FFFFFF"/>
            <w:tcMar>
              <w:top w:w="40" w:type="dxa"/>
              <w:left w:w="360" w:type="dxa"/>
              <w:bottom w:w="40" w:type="dxa"/>
              <w:right w:w="20" w:type="dxa"/>
            </w:tcMar>
            <w:vAlign w:val="bottom"/>
          </w:tcPr>
          <w:p w14:paraId="4090EAD9" w14:textId="77777777" w:rsidR="00833634" w:rsidRDefault="00E15D51">
            <w:pPr>
              <w:textAlignment w:val="bottom"/>
            </w:pPr>
            <w:r>
              <w:rPr>
                <w:rFonts w:ascii="Arial" w:eastAsia="宋体" w:hAnsi="Arial" w:cs="Arial"/>
                <w:color w:val="000000"/>
                <w:sz w:val="16"/>
                <w:szCs w:val="16"/>
              </w:rPr>
              <w:t>Commodity contracts</w:t>
            </w:r>
          </w:p>
        </w:tc>
        <w:tc>
          <w:tcPr>
            <w:tcW w:w="0" w:type="auto"/>
            <w:gridSpan w:val="2"/>
            <w:shd w:val="clear" w:color="auto" w:fill="FFFFFF"/>
            <w:tcMar>
              <w:top w:w="40" w:type="dxa"/>
              <w:left w:w="20" w:type="dxa"/>
              <w:bottom w:w="40" w:type="dxa"/>
              <w:right w:w="0" w:type="dxa"/>
            </w:tcMar>
            <w:vAlign w:val="bottom"/>
          </w:tcPr>
          <w:p w14:paraId="4090EADA" w14:textId="77777777" w:rsidR="00833634" w:rsidRDefault="00E15D51">
            <w:pPr>
              <w:jc w:val="right"/>
              <w:textAlignment w:val="bottom"/>
            </w:pPr>
            <w:r>
              <w:rPr>
                <w:rFonts w:ascii="Arial" w:eastAsia="宋体" w:hAnsi="Arial" w:cs="Arial"/>
                <w:b/>
                <w:bCs/>
                <w:color w:val="000000"/>
                <w:sz w:val="16"/>
                <w:szCs w:val="16"/>
              </w:rPr>
              <w:t>927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EADB"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ADC" w14:textId="77777777" w:rsidR="00833634" w:rsidRDefault="00E15D51">
            <w:pPr>
              <w:jc w:val="right"/>
              <w:textAlignment w:val="bottom"/>
            </w:pPr>
            <w:r>
              <w:rPr>
                <w:rFonts w:ascii="Arial" w:eastAsia="宋体" w:hAnsi="Arial" w:cs="Arial"/>
                <w:color w:val="000000"/>
                <w:sz w:val="16"/>
                <w:szCs w:val="16"/>
              </w:rPr>
              <w:t>1,644 </w:t>
            </w:r>
          </w:p>
        </w:tc>
        <w:tc>
          <w:tcPr>
            <w:tcW w:w="0" w:type="auto"/>
            <w:shd w:val="clear" w:color="auto" w:fill="FFFFFF"/>
            <w:tcMar>
              <w:top w:w="40" w:type="dxa"/>
              <w:left w:w="0" w:type="dxa"/>
              <w:bottom w:w="40" w:type="dxa"/>
              <w:right w:w="20" w:type="dxa"/>
            </w:tcMar>
            <w:vAlign w:val="bottom"/>
          </w:tcPr>
          <w:p w14:paraId="4090EAD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AD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AD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AE0" w14:textId="77777777" w:rsidR="00833634" w:rsidRDefault="00E15D51">
            <w:pPr>
              <w:jc w:val="right"/>
              <w:textAlignment w:val="bottom"/>
            </w:pPr>
            <w:r>
              <w:rPr>
                <w:rFonts w:ascii="Arial" w:eastAsia="宋体" w:hAnsi="Arial" w:cs="Arial"/>
                <w:b/>
                <w:bCs/>
                <w:color w:val="000000"/>
                <w:sz w:val="16"/>
                <w:szCs w:val="16"/>
              </w:rPr>
              <w:t>(16)</w:t>
            </w:r>
          </w:p>
        </w:tc>
        <w:tc>
          <w:tcPr>
            <w:tcW w:w="0" w:type="auto"/>
            <w:shd w:val="clear" w:color="auto" w:fill="FFFFFF"/>
            <w:tcMar>
              <w:top w:w="40" w:type="dxa"/>
              <w:left w:w="0" w:type="dxa"/>
              <w:bottom w:w="40" w:type="dxa"/>
              <w:right w:w="20" w:type="dxa"/>
            </w:tcMar>
            <w:vAlign w:val="bottom"/>
          </w:tcPr>
          <w:p w14:paraId="4090EAE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AE2" w14:textId="77777777" w:rsidR="00833634" w:rsidRDefault="00833634">
            <w:pPr>
              <w:rPr>
                <w:rFonts w:ascii="宋体"/>
              </w:rPr>
            </w:pPr>
          </w:p>
        </w:tc>
      </w:tr>
      <w:tr w:rsidR="00833634" w14:paraId="4090EAF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AE4" w14:textId="77777777" w:rsidR="00833634" w:rsidRDefault="00E15D51">
            <w:pPr>
              <w:textAlignment w:val="bottom"/>
            </w:pPr>
            <w:r>
              <w:rPr>
                <w:rFonts w:ascii="Arial" w:eastAsia="宋体" w:hAnsi="Arial" w:cs="Arial"/>
                <w:color w:val="000000"/>
                <w:sz w:val="16"/>
                <w:szCs w:val="16"/>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E5" w14:textId="77777777" w:rsidR="00833634" w:rsidRDefault="00E15D51">
            <w:pPr>
              <w:jc w:val="right"/>
              <w:textAlignment w:val="bottom"/>
            </w:pPr>
            <w:r>
              <w:rPr>
                <w:rFonts w:ascii="Arial" w:eastAsia="宋体" w:hAnsi="Arial" w:cs="Arial"/>
                <w:b/>
                <w:bCs/>
                <w:color w:val="000000"/>
                <w:sz w:val="16"/>
                <w:szCs w:val="16"/>
              </w:rPr>
              <w:t>$4,944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E6"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E7" w14:textId="77777777" w:rsidR="00833634" w:rsidRDefault="00E15D51">
            <w:pPr>
              <w:jc w:val="right"/>
              <w:textAlignment w:val="bottom"/>
            </w:pPr>
            <w:r>
              <w:rPr>
                <w:rFonts w:ascii="Arial" w:eastAsia="宋体" w:hAnsi="Arial" w:cs="Arial"/>
                <w:color w:val="000000"/>
                <w:sz w:val="16"/>
                <w:szCs w:val="16"/>
              </w:rPr>
              <w:t>$5,164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E8"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E9" w14:textId="77777777" w:rsidR="00833634" w:rsidRDefault="00E15D51">
            <w:pPr>
              <w:jc w:val="right"/>
              <w:textAlignment w:val="bottom"/>
            </w:pPr>
            <w:r>
              <w:rPr>
                <w:rFonts w:ascii="Arial" w:eastAsia="宋体" w:hAnsi="Arial" w:cs="Arial"/>
                <w:b/>
                <w:bCs/>
                <w:color w:val="000000"/>
                <w:sz w:val="16"/>
                <w:szCs w:val="16"/>
              </w:rPr>
              <w:t>$34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EA"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EB" w14:textId="77777777" w:rsidR="00833634" w:rsidRDefault="00E15D51">
            <w:pPr>
              <w:jc w:val="right"/>
              <w:textAlignment w:val="bottom"/>
            </w:pPr>
            <w:r>
              <w:rPr>
                <w:rFonts w:ascii="Arial" w:eastAsia="宋体" w:hAnsi="Arial" w:cs="Arial"/>
                <w:color w:val="000000"/>
                <w:sz w:val="16"/>
                <w:szCs w:val="16"/>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EC"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ED" w14:textId="77777777" w:rsidR="00833634" w:rsidRDefault="00E15D51">
            <w:pPr>
              <w:jc w:val="right"/>
              <w:textAlignment w:val="bottom"/>
            </w:pPr>
            <w:r>
              <w:rPr>
                <w:rFonts w:ascii="Arial" w:eastAsia="宋体" w:hAnsi="Arial" w:cs="Arial"/>
                <w:b/>
                <w:bCs/>
                <w:color w:val="000000"/>
                <w:sz w:val="16"/>
                <w:szCs w:val="16"/>
              </w:rPr>
              <w:t>($200)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EE"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AEF" w14:textId="77777777" w:rsidR="00833634" w:rsidRDefault="00E15D51">
            <w:pPr>
              <w:jc w:val="right"/>
              <w:textAlignment w:val="bottom"/>
            </w:pPr>
            <w:r>
              <w:rPr>
                <w:rFonts w:ascii="Arial" w:eastAsia="宋体" w:hAnsi="Arial" w:cs="Arial"/>
                <w:color w:val="000000"/>
                <w:sz w:val="16"/>
                <w:szCs w:val="16"/>
              </w:rPr>
              <w:t>($138)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AF0" w14:textId="77777777" w:rsidR="00833634" w:rsidRDefault="00833634">
            <w:pPr>
              <w:jc w:val="right"/>
              <w:rPr>
                <w:rFonts w:ascii="宋体"/>
              </w:rPr>
            </w:pPr>
          </w:p>
        </w:tc>
      </w:tr>
      <w:tr w:rsidR="00833634" w14:paraId="4090EAFD" w14:textId="77777777">
        <w:tc>
          <w:tcPr>
            <w:tcW w:w="0" w:type="auto"/>
            <w:gridSpan w:val="3"/>
            <w:shd w:val="clear" w:color="auto" w:fill="FFFFFF"/>
            <w:tcMar>
              <w:top w:w="40" w:type="dxa"/>
              <w:left w:w="20" w:type="dxa"/>
              <w:bottom w:w="40" w:type="dxa"/>
              <w:right w:w="20" w:type="dxa"/>
            </w:tcMar>
            <w:vAlign w:val="bottom"/>
          </w:tcPr>
          <w:p w14:paraId="4090EAF2" w14:textId="77777777" w:rsidR="00833634" w:rsidRDefault="00E15D51">
            <w:pPr>
              <w:textAlignment w:val="bottom"/>
            </w:pPr>
            <w:r>
              <w:rPr>
                <w:rFonts w:ascii="Arial" w:eastAsia="宋体" w:hAnsi="Arial" w:cs="Arial"/>
                <w:color w:val="000000"/>
                <w:sz w:val="16"/>
                <w:szCs w:val="16"/>
              </w:rPr>
              <w:t>Netting arrangements</w:t>
            </w:r>
          </w:p>
        </w:tc>
        <w:tc>
          <w:tcPr>
            <w:tcW w:w="0" w:type="auto"/>
            <w:gridSpan w:val="3"/>
            <w:shd w:val="clear" w:color="auto" w:fill="FFFFFF"/>
            <w:tcMar>
              <w:top w:w="0" w:type="dxa"/>
              <w:left w:w="20" w:type="dxa"/>
              <w:bottom w:w="0" w:type="dxa"/>
              <w:right w:w="20" w:type="dxa"/>
            </w:tcMar>
          </w:tcPr>
          <w:p w14:paraId="4090EAF3"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AF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AF5" w14:textId="77777777" w:rsidR="00833634" w:rsidRDefault="00E15D51">
            <w:pPr>
              <w:jc w:val="right"/>
              <w:textAlignment w:val="bottom"/>
            </w:pPr>
            <w:r>
              <w:rPr>
                <w:rFonts w:ascii="Arial" w:eastAsia="宋体" w:hAnsi="Arial" w:cs="Arial"/>
                <w:b/>
                <w:bCs/>
                <w:color w:val="000000"/>
                <w:sz w:val="16"/>
                <w:szCs w:val="16"/>
              </w:rPr>
              <w:t>(17)</w:t>
            </w:r>
          </w:p>
        </w:tc>
        <w:tc>
          <w:tcPr>
            <w:tcW w:w="0" w:type="auto"/>
            <w:shd w:val="clear" w:color="auto" w:fill="FFFFFF"/>
            <w:tcMar>
              <w:top w:w="40" w:type="dxa"/>
              <w:left w:w="0" w:type="dxa"/>
              <w:bottom w:w="40" w:type="dxa"/>
              <w:right w:w="20" w:type="dxa"/>
            </w:tcMar>
            <w:vAlign w:val="bottom"/>
          </w:tcPr>
          <w:p w14:paraId="4090EAF6"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AF7" w14:textId="77777777" w:rsidR="00833634" w:rsidRDefault="00E15D51">
            <w:pPr>
              <w:jc w:val="right"/>
              <w:textAlignment w:val="bottom"/>
            </w:pPr>
            <w:r>
              <w:rPr>
                <w:rFonts w:ascii="Arial" w:eastAsia="宋体" w:hAnsi="Arial" w:cs="Arial"/>
                <w:color w:val="000000"/>
                <w:sz w:val="16"/>
                <w:szCs w:val="16"/>
              </w:rPr>
              <w:t>(20)</w:t>
            </w:r>
          </w:p>
        </w:tc>
        <w:tc>
          <w:tcPr>
            <w:tcW w:w="0" w:type="auto"/>
            <w:shd w:val="clear" w:color="auto" w:fill="FFFFFF"/>
            <w:tcMar>
              <w:top w:w="40" w:type="dxa"/>
              <w:left w:w="0" w:type="dxa"/>
              <w:bottom w:w="40" w:type="dxa"/>
              <w:right w:w="20" w:type="dxa"/>
            </w:tcMar>
            <w:vAlign w:val="bottom"/>
          </w:tcPr>
          <w:p w14:paraId="4090EAF8"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AF9" w14:textId="77777777" w:rsidR="00833634" w:rsidRDefault="00E15D51">
            <w:pPr>
              <w:jc w:val="right"/>
              <w:textAlignment w:val="bottom"/>
            </w:pPr>
            <w:r>
              <w:rPr>
                <w:rFonts w:ascii="Arial" w:eastAsia="宋体" w:hAnsi="Arial" w:cs="Arial"/>
                <w:b/>
                <w:bCs/>
                <w:color w:val="000000"/>
                <w:sz w:val="16"/>
                <w:szCs w:val="16"/>
              </w:rPr>
              <w:t>17</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4090EAFA"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AFB" w14:textId="77777777" w:rsidR="00833634" w:rsidRDefault="00E15D51">
            <w:pPr>
              <w:jc w:val="right"/>
              <w:textAlignment w:val="bottom"/>
            </w:pPr>
            <w:r>
              <w:rPr>
                <w:rFonts w:ascii="Arial" w:eastAsia="宋体" w:hAnsi="Arial" w:cs="Arial"/>
                <w:color w:val="000000"/>
                <w:sz w:val="16"/>
                <w:szCs w:val="16"/>
              </w:rPr>
              <w:t>20 </w:t>
            </w:r>
          </w:p>
        </w:tc>
        <w:tc>
          <w:tcPr>
            <w:tcW w:w="0" w:type="auto"/>
            <w:shd w:val="clear" w:color="auto" w:fill="FFFFFF"/>
            <w:tcMar>
              <w:top w:w="40" w:type="dxa"/>
              <w:left w:w="0" w:type="dxa"/>
              <w:bottom w:w="40" w:type="dxa"/>
              <w:right w:w="20" w:type="dxa"/>
            </w:tcMar>
            <w:vAlign w:val="bottom"/>
          </w:tcPr>
          <w:p w14:paraId="4090EAFC" w14:textId="77777777" w:rsidR="00833634" w:rsidRDefault="00833634">
            <w:pPr>
              <w:jc w:val="right"/>
              <w:rPr>
                <w:rFonts w:ascii="宋体"/>
              </w:rPr>
            </w:pPr>
          </w:p>
        </w:tc>
      </w:tr>
      <w:tr w:rsidR="00833634" w14:paraId="4090EB09"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EAFE" w14:textId="77777777" w:rsidR="00833634" w:rsidRDefault="00E15D51">
            <w:pPr>
              <w:textAlignment w:val="bottom"/>
            </w:pPr>
            <w:r>
              <w:rPr>
                <w:rFonts w:ascii="Arial" w:eastAsia="宋体" w:hAnsi="Arial" w:cs="Arial"/>
                <w:color w:val="000000"/>
                <w:sz w:val="16"/>
                <w:szCs w:val="16"/>
              </w:rPr>
              <w:t>Ne</w:t>
            </w:r>
            <w:r>
              <w:rPr>
                <w:rFonts w:ascii="Arial" w:eastAsia="宋体" w:hAnsi="Arial" w:cs="Arial"/>
                <w:color w:val="000000"/>
                <w:sz w:val="16"/>
                <w:szCs w:val="16"/>
              </w:rPr>
              <w:t>t recorded balance</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AFF"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B00"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B01" w14:textId="77777777" w:rsidR="00833634" w:rsidRDefault="00E15D51">
            <w:pPr>
              <w:jc w:val="right"/>
              <w:textAlignment w:val="bottom"/>
            </w:pPr>
            <w:r>
              <w:rPr>
                <w:rFonts w:ascii="Arial" w:eastAsia="宋体" w:hAnsi="Arial" w:cs="Arial"/>
                <w:b/>
                <w:bCs/>
                <w:color w:val="000000"/>
                <w:sz w:val="16"/>
                <w:szCs w:val="16"/>
              </w:rPr>
              <w:t>$17</w:t>
            </w:r>
            <w:r>
              <w:rPr>
                <w:rFonts w:ascii="Arial" w:eastAsia="宋体" w:hAnsi="Arial" w:cs="Arial"/>
                <w:color w:val="000000"/>
                <w:sz w:val="16"/>
                <w:szCs w:val="16"/>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B02"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B03" w14:textId="77777777" w:rsidR="00833634" w:rsidRDefault="00E15D51">
            <w:pPr>
              <w:jc w:val="right"/>
              <w:textAlignment w:val="bottom"/>
            </w:pPr>
            <w:r>
              <w:rPr>
                <w:rFonts w:ascii="Arial" w:eastAsia="宋体" w:hAnsi="Arial" w:cs="Arial"/>
                <w:color w:val="000000"/>
                <w:sz w:val="16"/>
                <w:szCs w:val="16"/>
              </w:rPr>
              <w:t>$14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B04"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B05" w14:textId="77777777" w:rsidR="00833634" w:rsidRDefault="00E15D51">
            <w:pPr>
              <w:jc w:val="right"/>
              <w:textAlignment w:val="bottom"/>
            </w:pPr>
            <w:r>
              <w:rPr>
                <w:rFonts w:ascii="Arial" w:eastAsia="宋体" w:hAnsi="Arial" w:cs="Arial"/>
                <w:b/>
                <w:bCs/>
                <w:color w:val="000000"/>
                <w:sz w:val="16"/>
                <w:szCs w:val="16"/>
              </w:rPr>
              <w:t>($183)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B06" w14:textId="77777777" w:rsidR="00833634" w:rsidRDefault="00833634">
            <w:pPr>
              <w:jc w:val="right"/>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B07" w14:textId="77777777" w:rsidR="00833634" w:rsidRDefault="00E15D51">
            <w:pPr>
              <w:jc w:val="right"/>
              <w:textAlignment w:val="bottom"/>
            </w:pPr>
            <w:r>
              <w:rPr>
                <w:rFonts w:ascii="Arial" w:eastAsia="宋体" w:hAnsi="Arial" w:cs="Arial"/>
                <w:color w:val="000000"/>
                <w:sz w:val="16"/>
                <w:szCs w:val="16"/>
              </w:rPr>
              <w:t>($118)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B08" w14:textId="77777777" w:rsidR="00833634" w:rsidRDefault="00833634">
            <w:pPr>
              <w:jc w:val="right"/>
              <w:rPr>
                <w:rFonts w:ascii="宋体"/>
              </w:rPr>
            </w:pPr>
          </w:p>
        </w:tc>
      </w:tr>
    </w:tbl>
    <w:p w14:paraId="4090EB0A" w14:textId="77777777" w:rsidR="00833634" w:rsidRDefault="00E15D51">
      <w:pPr>
        <w:spacing w:after="180"/>
        <w:ind w:hanging="360"/>
        <w:jc w:val="both"/>
      </w:pPr>
      <w:r>
        <w:rPr>
          <w:rFonts w:ascii="Arial" w:eastAsia="宋体" w:hAnsi="Arial" w:cs="Arial"/>
          <w:color w:val="000000"/>
          <w:sz w:val="13"/>
          <w:szCs w:val="13"/>
        </w:rPr>
        <w:t>(1)</w:t>
      </w:r>
      <w:r>
        <w:rPr>
          <w:rFonts w:ascii="Arial" w:eastAsia="宋体" w:hAnsi="Arial" w:cs="Arial"/>
          <w:color w:val="000000"/>
          <w:sz w:val="20"/>
          <w:szCs w:val="20"/>
        </w:rPr>
        <w:t>Notional amounts represent the gross contract/notional amount of the derivatives outstanding.</w:t>
      </w:r>
    </w:p>
    <w:p w14:paraId="4090EB0B" w14:textId="77777777" w:rsidR="00833634" w:rsidRDefault="00E15D51">
      <w:pPr>
        <w:jc w:val="both"/>
      </w:pPr>
      <w:r>
        <w:rPr>
          <w:rFonts w:ascii="Arial" w:eastAsia="宋体" w:hAnsi="Arial" w:cs="Arial"/>
          <w:color w:val="000000"/>
          <w:sz w:val="20"/>
          <w:szCs w:val="20"/>
        </w:rPr>
        <w:t>Gains/(losses) associated with our hedging transactions and forward points recognized in Other com</w:t>
      </w:r>
      <w:r>
        <w:rPr>
          <w:rFonts w:ascii="Arial" w:eastAsia="宋体" w:hAnsi="Arial" w:cs="Arial"/>
          <w:color w:val="000000"/>
          <w:sz w:val="20"/>
          <w:szCs w:val="20"/>
        </w:rPr>
        <w:t>prehensive income are presented in the following table:</w:t>
      </w:r>
      <w:r>
        <w:rPr>
          <w:rFonts w:ascii="Arial" w:eastAsia="宋体" w:hAnsi="Arial" w:cs="Arial"/>
          <w:color w:val="000000"/>
          <w:sz w:val="18"/>
          <w:szCs w:val="18"/>
        </w:rPr>
        <w:t> </w:t>
      </w:r>
    </w:p>
    <w:tbl>
      <w:tblPr>
        <w:tblW w:w="5000" w:type="pct"/>
        <w:tblCellMar>
          <w:top w:w="15" w:type="dxa"/>
          <w:left w:w="15" w:type="dxa"/>
          <w:bottom w:w="15" w:type="dxa"/>
          <w:right w:w="15" w:type="dxa"/>
        </w:tblCellMar>
        <w:tblLook w:val="04A0" w:firstRow="1" w:lastRow="0" w:firstColumn="1" w:lastColumn="0" w:noHBand="0" w:noVBand="1"/>
      </w:tblPr>
      <w:tblGrid>
        <w:gridCol w:w="62"/>
        <w:gridCol w:w="4412"/>
        <w:gridCol w:w="37"/>
        <w:gridCol w:w="62"/>
        <w:gridCol w:w="871"/>
        <w:gridCol w:w="37"/>
        <w:gridCol w:w="37"/>
        <w:gridCol w:w="37"/>
        <w:gridCol w:w="36"/>
        <w:gridCol w:w="54"/>
        <w:gridCol w:w="738"/>
        <w:gridCol w:w="36"/>
        <w:gridCol w:w="36"/>
        <w:gridCol w:w="62"/>
        <w:gridCol w:w="844"/>
        <w:gridCol w:w="37"/>
        <w:gridCol w:w="37"/>
        <w:gridCol w:w="37"/>
        <w:gridCol w:w="36"/>
        <w:gridCol w:w="54"/>
        <w:gridCol w:w="738"/>
        <w:gridCol w:w="36"/>
      </w:tblGrid>
      <w:tr w:rsidR="00833634" w14:paraId="4090EB22" w14:textId="77777777">
        <w:tc>
          <w:tcPr>
            <w:tcW w:w="50" w:type="pct"/>
            <w:shd w:val="clear" w:color="auto" w:fill="auto"/>
          </w:tcPr>
          <w:p w14:paraId="4090EB0C" w14:textId="77777777" w:rsidR="00833634" w:rsidRDefault="00833634">
            <w:pPr>
              <w:rPr>
                <w:rFonts w:ascii="宋体"/>
              </w:rPr>
            </w:pPr>
          </w:p>
        </w:tc>
        <w:tc>
          <w:tcPr>
            <w:tcW w:w="2669" w:type="pct"/>
            <w:shd w:val="clear" w:color="auto" w:fill="auto"/>
          </w:tcPr>
          <w:p w14:paraId="4090EB0D" w14:textId="77777777" w:rsidR="00833634" w:rsidRDefault="00833634">
            <w:pPr>
              <w:rPr>
                <w:rFonts w:ascii="宋体"/>
              </w:rPr>
            </w:pPr>
          </w:p>
        </w:tc>
        <w:tc>
          <w:tcPr>
            <w:tcW w:w="5" w:type="pct"/>
            <w:shd w:val="clear" w:color="auto" w:fill="auto"/>
          </w:tcPr>
          <w:p w14:paraId="4090EB0E" w14:textId="77777777" w:rsidR="00833634" w:rsidRDefault="00833634">
            <w:pPr>
              <w:rPr>
                <w:rFonts w:ascii="宋体"/>
              </w:rPr>
            </w:pPr>
          </w:p>
        </w:tc>
        <w:tc>
          <w:tcPr>
            <w:tcW w:w="50" w:type="pct"/>
            <w:shd w:val="clear" w:color="auto" w:fill="auto"/>
          </w:tcPr>
          <w:p w14:paraId="4090EB0F" w14:textId="77777777" w:rsidR="00833634" w:rsidRDefault="00833634">
            <w:pPr>
              <w:rPr>
                <w:rFonts w:ascii="宋体"/>
              </w:rPr>
            </w:pPr>
          </w:p>
        </w:tc>
        <w:tc>
          <w:tcPr>
            <w:tcW w:w="537" w:type="pct"/>
            <w:shd w:val="clear" w:color="auto" w:fill="auto"/>
          </w:tcPr>
          <w:p w14:paraId="4090EB10" w14:textId="77777777" w:rsidR="00833634" w:rsidRDefault="00833634">
            <w:pPr>
              <w:rPr>
                <w:rFonts w:ascii="宋体"/>
              </w:rPr>
            </w:pPr>
          </w:p>
        </w:tc>
        <w:tc>
          <w:tcPr>
            <w:tcW w:w="5" w:type="pct"/>
            <w:shd w:val="clear" w:color="auto" w:fill="auto"/>
          </w:tcPr>
          <w:p w14:paraId="4090EB11" w14:textId="77777777" w:rsidR="00833634" w:rsidRDefault="00833634">
            <w:pPr>
              <w:rPr>
                <w:rFonts w:ascii="宋体"/>
              </w:rPr>
            </w:pPr>
          </w:p>
        </w:tc>
        <w:tc>
          <w:tcPr>
            <w:tcW w:w="5" w:type="pct"/>
            <w:shd w:val="clear" w:color="auto" w:fill="auto"/>
          </w:tcPr>
          <w:p w14:paraId="4090EB12" w14:textId="77777777" w:rsidR="00833634" w:rsidRDefault="00833634">
            <w:pPr>
              <w:rPr>
                <w:rFonts w:ascii="宋体"/>
              </w:rPr>
            </w:pPr>
          </w:p>
        </w:tc>
        <w:tc>
          <w:tcPr>
            <w:tcW w:w="30" w:type="pct"/>
            <w:shd w:val="clear" w:color="auto" w:fill="auto"/>
          </w:tcPr>
          <w:p w14:paraId="4090EB13" w14:textId="77777777" w:rsidR="00833634" w:rsidRDefault="00833634">
            <w:pPr>
              <w:rPr>
                <w:rFonts w:ascii="宋体"/>
              </w:rPr>
            </w:pPr>
          </w:p>
        </w:tc>
        <w:tc>
          <w:tcPr>
            <w:tcW w:w="5" w:type="pct"/>
            <w:shd w:val="clear" w:color="auto" w:fill="auto"/>
          </w:tcPr>
          <w:p w14:paraId="4090EB14" w14:textId="77777777" w:rsidR="00833634" w:rsidRDefault="00833634">
            <w:pPr>
              <w:rPr>
                <w:rFonts w:ascii="宋体"/>
              </w:rPr>
            </w:pPr>
          </w:p>
        </w:tc>
        <w:tc>
          <w:tcPr>
            <w:tcW w:w="50" w:type="pct"/>
            <w:shd w:val="clear" w:color="auto" w:fill="auto"/>
          </w:tcPr>
          <w:p w14:paraId="4090EB15" w14:textId="77777777" w:rsidR="00833634" w:rsidRDefault="00833634">
            <w:pPr>
              <w:rPr>
                <w:rFonts w:ascii="宋体"/>
              </w:rPr>
            </w:pPr>
          </w:p>
        </w:tc>
        <w:tc>
          <w:tcPr>
            <w:tcW w:w="457" w:type="pct"/>
            <w:shd w:val="clear" w:color="auto" w:fill="auto"/>
          </w:tcPr>
          <w:p w14:paraId="4090EB16" w14:textId="77777777" w:rsidR="00833634" w:rsidRDefault="00833634">
            <w:pPr>
              <w:rPr>
                <w:rFonts w:ascii="宋体"/>
              </w:rPr>
            </w:pPr>
          </w:p>
        </w:tc>
        <w:tc>
          <w:tcPr>
            <w:tcW w:w="5" w:type="pct"/>
            <w:shd w:val="clear" w:color="auto" w:fill="auto"/>
          </w:tcPr>
          <w:p w14:paraId="4090EB17" w14:textId="77777777" w:rsidR="00833634" w:rsidRDefault="00833634">
            <w:pPr>
              <w:rPr>
                <w:rFonts w:ascii="宋体"/>
              </w:rPr>
            </w:pPr>
          </w:p>
        </w:tc>
        <w:tc>
          <w:tcPr>
            <w:tcW w:w="0" w:type="auto"/>
            <w:shd w:val="clear" w:color="auto" w:fill="auto"/>
          </w:tcPr>
          <w:p w14:paraId="4090EB18" w14:textId="77777777" w:rsidR="00833634" w:rsidRDefault="00833634">
            <w:pPr>
              <w:rPr>
                <w:rFonts w:ascii="宋体"/>
                <w:vanish/>
              </w:rPr>
            </w:pPr>
          </w:p>
        </w:tc>
        <w:tc>
          <w:tcPr>
            <w:tcW w:w="50" w:type="pct"/>
            <w:shd w:val="clear" w:color="auto" w:fill="auto"/>
          </w:tcPr>
          <w:p w14:paraId="4090EB19" w14:textId="77777777" w:rsidR="00833634" w:rsidRDefault="00833634">
            <w:pPr>
              <w:rPr>
                <w:rFonts w:ascii="宋体"/>
              </w:rPr>
            </w:pPr>
          </w:p>
        </w:tc>
        <w:tc>
          <w:tcPr>
            <w:tcW w:w="521" w:type="pct"/>
            <w:shd w:val="clear" w:color="auto" w:fill="auto"/>
          </w:tcPr>
          <w:p w14:paraId="4090EB1A" w14:textId="77777777" w:rsidR="00833634" w:rsidRDefault="00833634">
            <w:pPr>
              <w:rPr>
                <w:rFonts w:ascii="宋体"/>
              </w:rPr>
            </w:pPr>
          </w:p>
        </w:tc>
        <w:tc>
          <w:tcPr>
            <w:tcW w:w="5" w:type="pct"/>
            <w:shd w:val="clear" w:color="auto" w:fill="auto"/>
          </w:tcPr>
          <w:p w14:paraId="4090EB1B" w14:textId="77777777" w:rsidR="00833634" w:rsidRDefault="00833634">
            <w:pPr>
              <w:rPr>
                <w:rFonts w:ascii="宋体"/>
              </w:rPr>
            </w:pPr>
          </w:p>
        </w:tc>
        <w:tc>
          <w:tcPr>
            <w:tcW w:w="5" w:type="pct"/>
            <w:shd w:val="clear" w:color="auto" w:fill="auto"/>
          </w:tcPr>
          <w:p w14:paraId="4090EB1C" w14:textId="77777777" w:rsidR="00833634" w:rsidRDefault="00833634">
            <w:pPr>
              <w:rPr>
                <w:rFonts w:ascii="宋体"/>
              </w:rPr>
            </w:pPr>
          </w:p>
        </w:tc>
        <w:tc>
          <w:tcPr>
            <w:tcW w:w="30" w:type="pct"/>
            <w:shd w:val="clear" w:color="auto" w:fill="auto"/>
          </w:tcPr>
          <w:p w14:paraId="4090EB1D" w14:textId="77777777" w:rsidR="00833634" w:rsidRDefault="00833634">
            <w:pPr>
              <w:rPr>
                <w:rFonts w:ascii="宋体"/>
              </w:rPr>
            </w:pPr>
          </w:p>
        </w:tc>
        <w:tc>
          <w:tcPr>
            <w:tcW w:w="5" w:type="pct"/>
            <w:shd w:val="clear" w:color="auto" w:fill="auto"/>
          </w:tcPr>
          <w:p w14:paraId="4090EB1E" w14:textId="77777777" w:rsidR="00833634" w:rsidRDefault="00833634">
            <w:pPr>
              <w:rPr>
                <w:rFonts w:ascii="宋体"/>
              </w:rPr>
            </w:pPr>
          </w:p>
        </w:tc>
        <w:tc>
          <w:tcPr>
            <w:tcW w:w="50" w:type="pct"/>
            <w:shd w:val="clear" w:color="auto" w:fill="auto"/>
          </w:tcPr>
          <w:p w14:paraId="4090EB1F" w14:textId="77777777" w:rsidR="00833634" w:rsidRDefault="00833634">
            <w:pPr>
              <w:rPr>
                <w:rFonts w:ascii="宋体"/>
              </w:rPr>
            </w:pPr>
          </w:p>
        </w:tc>
        <w:tc>
          <w:tcPr>
            <w:tcW w:w="457" w:type="pct"/>
            <w:shd w:val="clear" w:color="auto" w:fill="auto"/>
          </w:tcPr>
          <w:p w14:paraId="4090EB20" w14:textId="77777777" w:rsidR="00833634" w:rsidRDefault="00833634">
            <w:pPr>
              <w:rPr>
                <w:rFonts w:ascii="宋体"/>
              </w:rPr>
            </w:pPr>
          </w:p>
        </w:tc>
        <w:tc>
          <w:tcPr>
            <w:tcW w:w="5" w:type="pct"/>
            <w:shd w:val="clear" w:color="auto" w:fill="auto"/>
          </w:tcPr>
          <w:p w14:paraId="4090EB21" w14:textId="77777777" w:rsidR="00833634" w:rsidRDefault="00833634">
            <w:pPr>
              <w:rPr>
                <w:rFonts w:ascii="宋体"/>
              </w:rPr>
            </w:pPr>
          </w:p>
        </w:tc>
      </w:tr>
      <w:tr w:rsidR="00833634" w14:paraId="4090EB27" w14:textId="77777777">
        <w:tc>
          <w:tcPr>
            <w:tcW w:w="0" w:type="auto"/>
            <w:gridSpan w:val="3"/>
            <w:shd w:val="clear" w:color="auto" w:fill="auto"/>
            <w:tcMar>
              <w:top w:w="0" w:type="dxa"/>
              <w:left w:w="20" w:type="dxa"/>
              <w:bottom w:w="0" w:type="dxa"/>
              <w:right w:w="20" w:type="dxa"/>
            </w:tcMar>
          </w:tcPr>
          <w:p w14:paraId="4090EB23"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B24"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shd w:val="clear" w:color="auto" w:fill="auto"/>
          </w:tcPr>
          <w:p w14:paraId="4090EB25" w14:textId="77777777" w:rsidR="00833634" w:rsidRDefault="00833634">
            <w:pPr>
              <w:rPr>
                <w:rFonts w:ascii="宋体"/>
                <w:vanish/>
              </w:rPr>
            </w:pPr>
          </w:p>
        </w:tc>
        <w:tc>
          <w:tcPr>
            <w:tcW w:w="0" w:type="auto"/>
            <w:gridSpan w:val="9"/>
            <w:shd w:val="clear" w:color="auto" w:fill="auto"/>
            <w:tcMar>
              <w:top w:w="40" w:type="dxa"/>
              <w:left w:w="20" w:type="dxa"/>
              <w:bottom w:w="40" w:type="dxa"/>
              <w:right w:w="20" w:type="dxa"/>
            </w:tcMar>
            <w:vAlign w:val="bottom"/>
          </w:tcPr>
          <w:p w14:paraId="4090EB26"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B30"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B28" w14:textId="77777777" w:rsidR="00833634" w:rsidRDefault="00833634">
            <w:pPr>
              <w:textAlignment w:val="top"/>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B29"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B2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B2B" w14:textId="77777777" w:rsidR="00833634" w:rsidRDefault="00E15D51">
            <w:pPr>
              <w:jc w:val="right"/>
              <w:textAlignment w:val="bottom"/>
            </w:pPr>
            <w:r>
              <w:rPr>
                <w:rFonts w:ascii="Arial" w:eastAsia="宋体" w:hAnsi="Arial" w:cs="Arial"/>
                <w:color w:val="000000"/>
                <w:sz w:val="20"/>
                <w:szCs w:val="20"/>
              </w:rPr>
              <w:t>2019</w:t>
            </w:r>
          </w:p>
        </w:tc>
        <w:tc>
          <w:tcPr>
            <w:tcW w:w="0" w:type="auto"/>
            <w:shd w:val="clear" w:color="auto" w:fill="auto"/>
          </w:tcPr>
          <w:p w14:paraId="4090EB2C" w14:textId="77777777" w:rsidR="00833634" w:rsidRDefault="008336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B2D"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B2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B2F" w14:textId="77777777" w:rsidR="00833634" w:rsidRDefault="00E15D51">
            <w:pPr>
              <w:jc w:val="right"/>
              <w:textAlignment w:val="bottom"/>
            </w:pPr>
            <w:r>
              <w:rPr>
                <w:rFonts w:ascii="Arial" w:eastAsia="宋体" w:hAnsi="Arial" w:cs="Arial"/>
                <w:color w:val="000000"/>
                <w:sz w:val="20"/>
                <w:szCs w:val="20"/>
              </w:rPr>
              <w:t>2019</w:t>
            </w:r>
          </w:p>
        </w:tc>
      </w:tr>
      <w:tr w:rsidR="00833634" w14:paraId="4090EB3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B31" w14:textId="77777777" w:rsidR="00833634" w:rsidRDefault="00E15D51">
            <w:pPr>
              <w:ind w:hanging="180"/>
              <w:textAlignment w:val="bottom"/>
            </w:pPr>
            <w:r>
              <w:rPr>
                <w:rFonts w:ascii="Arial" w:eastAsia="宋体" w:hAnsi="Arial" w:cs="Arial"/>
                <w:color w:val="000000"/>
                <w:sz w:val="20"/>
                <w:szCs w:val="20"/>
              </w:rPr>
              <w:t>Recognized in Other comprehensive income, net of taxes:</w:t>
            </w:r>
          </w:p>
        </w:tc>
        <w:tc>
          <w:tcPr>
            <w:tcW w:w="0" w:type="auto"/>
            <w:gridSpan w:val="3"/>
            <w:tcBorders>
              <w:top w:val="single" w:sz="8" w:space="0" w:color="000000"/>
            </w:tcBorders>
            <w:shd w:val="clear" w:color="auto" w:fill="CCEEFF"/>
            <w:tcMar>
              <w:top w:w="0" w:type="dxa"/>
              <w:left w:w="20" w:type="dxa"/>
              <w:bottom w:w="0" w:type="dxa"/>
              <w:right w:w="20" w:type="dxa"/>
            </w:tcMar>
          </w:tcPr>
          <w:p w14:paraId="4090EB32"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33"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34" w14:textId="77777777" w:rsidR="00833634" w:rsidRDefault="00833634">
            <w:pPr>
              <w:rPr>
                <w:rFonts w:ascii="宋体"/>
              </w:rPr>
            </w:pPr>
          </w:p>
        </w:tc>
        <w:tc>
          <w:tcPr>
            <w:tcW w:w="0" w:type="auto"/>
            <w:shd w:val="clear" w:color="auto" w:fill="auto"/>
          </w:tcPr>
          <w:p w14:paraId="4090EB35" w14:textId="77777777" w:rsidR="00833634" w:rsidRDefault="00833634">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36"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37"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38" w14:textId="77777777" w:rsidR="00833634" w:rsidRDefault="00833634">
            <w:pPr>
              <w:rPr>
                <w:rFonts w:ascii="宋体"/>
              </w:rPr>
            </w:pPr>
          </w:p>
        </w:tc>
      </w:tr>
      <w:tr w:rsidR="00833634" w14:paraId="4090EB46" w14:textId="77777777">
        <w:tc>
          <w:tcPr>
            <w:tcW w:w="0" w:type="auto"/>
            <w:gridSpan w:val="3"/>
            <w:shd w:val="clear" w:color="auto" w:fill="FFFFFF"/>
            <w:tcMar>
              <w:top w:w="40" w:type="dxa"/>
              <w:left w:w="360" w:type="dxa"/>
              <w:bottom w:w="40" w:type="dxa"/>
              <w:right w:w="20" w:type="dxa"/>
            </w:tcMar>
            <w:vAlign w:val="bottom"/>
          </w:tcPr>
          <w:p w14:paraId="4090EB3A" w14:textId="77777777" w:rsidR="00833634" w:rsidRDefault="00E15D51">
            <w:pPr>
              <w:textAlignment w:val="bottom"/>
            </w:pPr>
            <w:r>
              <w:rPr>
                <w:rFonts w:ascii="Arial" w:eastAsia="宋体" w:hAnsi="Arial" w:cs="Arial"/>
                <w:color w:val="000000"/>
                <w:sz w:val="20"/>
                <w:szCs w:val="20"/>
              </w:rPr>
              <w:t>Foreign exchange contracts</w:t>
            </w:r>
          </w:p>
        </w:tc>
        <w:tc>
          <w:tcPr>
            <w:tcW w:w="0" w:type="auto"/>
            <w:gridSpan w:val="2"/>
            <w:shd w:val="clear" w:color="auto" w:fill="FFFFFF"/>
            <w:tcMar>
              <w:top w:w="40" w:type="dxa"/>
              <w:left w:w="20" w:type="dxa"/>
              <w:bottom w:w="40" w:type="dxa"/>
              <w:right w:w="0" w:type="dxa"/>
            </w:tcMar>
            <w:vAlign w:val="bottom"/>
          </w:tcPr>
          <w:p w14:paraId="4090EB3B" w14:textId="77777777" w:rsidR="00833634" w:rsidRDefault="00E15D51">
            <w:pPr>
              <w:jc w:val="right"/>
              <w:textAlignment w:val="bottom"/>
            </w:pPr>
            <w:r>
              <w:rPr>
                <w:rFonts w:ascii="Arial" w:eastAsia="宋体" w:hAnsi="Arial" w:cs="Arial"/>
                <w:b/>
                <w:bCs/>
                <w:color w:val="000000"/>
                <w:sz w:val="20"/>
                <w:szCs w:val="20"/>
              </w:rPr>
              <w:t>($58)</w:t>
            </w:r>
          </w:p>
        </w:tc>
        <w:tc>
          <w:tcPr>
            <w:tcW w:w="0" w:type="auto"/>
            <w:shd w:val="clear" w:color="auto" w:fill="FFFFFF"/>
            <w:tcMar>
              <w:top w:w="40" w:type="dxa"/>
              <w:left w:w="0" w:type="dxa"/>
              <w:bottom w:w="40" w:type="dxa"/>
              <w:right w:w="20" w:type="dxa"/>
            </w:tcMar>
            <w:vAlign w:val="bottom"/>
          </w:tcPr>
          <w:p w14:paraId="4090EB3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B3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B3E" w14:textId="77777777" w:rsidR="00833634" w:rsidRDefault="00E15D51">
            <w:pPr>
              <w:jc w:val="right"/>
              <w:textAlignment w:val="bottom"/>
            </w:pPr>
            <w:r>
              <w:rPr>
                <w:rFonts w:ascii="Arial" w:eastAsia="宋体" w:hAnsi="Arial" w:cs="Arial"/>
                <w:color w:val="000000"/>
                <w:sz w:val="20"/>
                <w:szCs w:val="20"/>
              </w:rPr>
              <w:t>($6)</w:t>
            </w:r>
          </w:p>
        </w:tc>
        <w:tc>
          <w:tcPr>
            <w:tcW w:w="0" w:type="auto"/>
            <w:shd w:val="clear" w:color="auto" w:fill="FFFFFF"/>
            <w:tcMar>
              <w:top w:w="40" w:type="dxa"/>
              <w:left w:w="0" w:type="dxa"/>
              <w:bottom w:w="40" w:type="dxa"/>
              <w:right w:w="20" w:type="dxa"/>
            </w:tcMar>
            <w:vAlign w:val="bottom"/>
          </w:tcPr>
          <w:p w14:paraId="4090EB3F" w14:textId="77777777" w:rsidR="00833634" w:rsidRDefault="00833634">
            <w:pPr>
              <w:jc w:val="right"/>
              <w:rPr>
                <w:rFonts w:ascii="宋体"/>
              </w:rPr>
            </w:pPr>
          </w:p>
        </w:tc>
        <w:tc>
          <w:tcPr>
            <w:tcW w:w="0" w:type="auto"/>
            <w:shd w:val="clear" w:color="auto" w:fill="auto"/>
          </w:tcPr>
          <w:p w14:paraId="4090EB40" w14:textId="77777777" w:rsidR="00833634" w:rsidRDefault="00833634">
            <w:pPr>
              <w:rPr>
                <w:rFonts w:ascii="宋体"/>
                <w:vanish/>
              </w:rPr>
            </w:pPr>
          </w:p>
        </w:tc>
        <w:tc>
          <w:tcPr>
            <w:tcW w:w="0" w:type="auto"/>
            <w:gridSpan w:val="2"/>
            <w:shd w:val="clear" w:color="auto" w:fill="FFFFFF"/>
            <w:tcMar>
              <w:top w:w="40" w:type="dxa"/>
              <w:left w:w="20" w:type="dxa"/>
              <w:bottom w:w="40" w:type="dxa"/>
              <w:right w:w="0" w:type="dxa"/>
            </w:tcMar>
            <w:vAlign w:val="bottom"/>
          </w:tcPr>
          <w:p w14:paraId="4090EB41" w14:textId="77777777" w:rsidR="00833634" w:rsidRDefault="00E15D51">
            <w:pPr>
              <w:jc w:val="right"/>
              <w:textAlignment w:val="bottom"/>
            </w:pPr>
            <w:r>
              <w:rPr>
                <w:rFonts w:ascii="Arial" w:eastAsia="宋体" w:hAnsi="Arial" w:cs="Arial"/>
                <w:b/>
                <w:bCs/>
                <w:color w:val="000000"/>
                <w:sz w:val="20"/>
                <w:szCs w:val="20"/>
              </w:rPr>
              <w:t>$54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B4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B4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B44" w14:textId="77777777" w:rsidR="00833634" w:rsidRDefault="00E15D51">
            <w:pPr>
              <w:jc w:val="right"/>
              <w:textAlignment w:val="bottom"/>
            </w:pPr>
            <w:r>
              <w:rPr>
                <w:rFonts w:ascii="Arial" w:eastAsia="宋体" w:hAnsi="Arial" w:cs="Arial"/>
                <w:color w:val="000000"/>
                <w:sz w:val="20"/>
                <w:szCs w:val="20"/>
              </w:rPr>
              <w:t>($34)</w:t>
            </w:r>
          </w:p>
        </w:tc>
        <w:tc>
          <w:tcPr>
            <w:tcW w:w="0" w:type="auto"/>
            <w:shd w:val="clear" w:color="auto" w:fill="FFFFFF"/>
            <w:tcMar>
              <w:top w:w="40" w:type="dxa"/>
              <w:left w:w="0" w:type="dxa"/>
              <w:bottom w:w="40" w:type="dxa"/>
              <w:right w:w="20" w:type="dxa"/>
            </w:tcMar>
            <w:vAlign w:val="bottom"/>
          </w:tcPr>
          <w:p w14:paraId="4090EB45" w14:textId="77777777" w:rsidR="00833634" w:rsidRDefault="00833634">
            <w:pPr>
              <w:jc w:val="right"/>
              <w:rPr>
                <w:rFonts w:ascii="宋体"/>
              </w:rPr>
            </w:pPr>
          </w:p>
        </w:tc>
      </w:tr>
      <w:tr w:rsidR="00833634" w14:paraId="4090EB53" w14:textId="77777777">
        <w:tc>
          <w:tcPr>
            <w:tcW w:w="0" w:type="auto"/>
            <w:gridSpan w:val="3"/>
            <w:tcBorders>
              <w:bottom w:val="single" w:sz="8" w:space="0" w:color="000000"/>
            </w:tcBorders>
            <w:shd w:val="clear" w:color="auto" w:fill="CCEEFF"/>
            <w:tcMar>
              <w:top w:w="40" w:type="dxa"/>
              <w:left w:w="360" w:type="dxa"/>
              <w:bottom w:w="40" w:type="dxa"/>
              <w:right w:w="20" w:type="dxa"/>
            </w:tcMar>
            <w:vAlign w:val="bottom"/>
          </w:tcPr>
          <w:p w14:paraId="4090EB47" w14:textId="77777777" w:rsidR="00833634" w:rsidRDefault="00E15D51">
            <w:pPr>
              <w:textAlignment w:val="bottom"/>
            </w:pPr>
            <w:r>
              <w:rPr>
                <w:rFonts w:ascii="Arial" w:eastAsia="宋体" w:hAnsi="Arial" w:cs="Arial"/>
                <w:color w:val="000000"/>
                <w:sz w:val="20"/>
                <w:szCs w:val="20"/>
              </w:rPr>
              <w:t>Commodity contracts</w:t>
            </w: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EB48" w14:textId="77777777" w:rsidR="00833634" w:rsidRDefault="00E15D51">
            <w:pPr>
              <w:jc w:val="right"/>
              <w:textAlignment w:val="bottom"/>
            </w:pPr>
            <w:r>
              <w:rPr>
                <w:rFonts w:ascii="Arial" w:eastAsia="宋体" w:hAnsi="Arial" w:cs="Arial"/>
                <w:b/>
                <w:bCs/>
                <w:color w:val="000000"/>
                <w:sz w:val="20"/>
                <w:szCs w:val="20"/>
              </w:rPr>
              <w:t>(49)</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EB49"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EB4A"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EB4B" w14:textId="77777777" w:rsidR="00833634" w:rsidRDefault="00E15D51">
            <w:pPr>
              <w:jc w:val="right"/>
              <w:textAlignment w:val="bottom"/>
            </w:pPr>
            <w:r>
              <w:rPr>
                <w:rFonts w:ascii="Arial" w:eastAsia="宋体" w:hAnsi="Arial" w:cs="Arial"/>
                <w:color w:val="000000"/>
                <w:sz w:val="20"/>
                <w:szCs w:val="20"/>
              </w:rPr>
              <w:t>(78)</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EB4C" w14:textId="77777777" w:rsidR="00833634" w:rsidRDefault="00833634">
            <w:pPr>
              <w:jc w:val="right"/>
              <w:rPr>
                <w:rFonts w:ascii="宋体"/>
              </w:rPr>
            </w:pPr>
          </w:p>
        </w:tc>
        <w:tc>
          <w:tcPr>
            <w:tcW w:w="0" w:type="auto"/>
            <w:shd w:val="clear" w:color="auto" w:fill="auto"/>
          </w:tcPr>
          <w:p w14:paraId="4090EB4D" w14:textId="77777777" w:rsidR="00833634" w:rsidRDefault="00833634">
            <w:pPr>
              <w:rPr>
                <w:rFonts w:ascii="宋体"/>
                <w:vanish/>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EB4E" w14:textId="77777777" w:rsidR="00833634" w:rsidRDefault="00E15D51">
            <w:pPr>
              <w:jc w:val="right"/>
              <w:textAlignment w:val="bottom"/>
            </w:pPr>
            <w:r>
              <w:rPr>
                <w:rFonts w:ascii="Arial" w:eastAsia="宋体" w:hAnsi="Arial" w:cs="Arial"/>
                <w:b/>
                <w:bCs/>
                <w:color w:val="000000"/>
                <w:sz w:val="20"/>
                <w:szCs w:val="20"/>
              </w:rPr>
              <w:t>25</w:t>
            </w:r>
            <w:r>
              <w:rPr>
                <w:rFonts w:ascii="Arial" w:eastAsia="宋体" w:hAnsi="Arial" w:cs="Arial"/>
                <w:color w:val="000000"/>
                <w:sz w:val="20"/>
                <w:szCs w:val="20"/>
              </w:rPr>
              <w:t>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EB4F"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EB50"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EB51" w14:textId="77777777" w:rsidR="00833634" w:rsidRDefault="00E15D51">
            <w:pPr>
              <w:jc w:val="right"/>
              <w:textAlignment w:val="bottom"/>
            </w:pPr>
            <w:r>
              <w:rPr>
                <w:rFonts w:ascii="Arial" w:eastAsia="宋体" w:hAnsi="Arial" w:cs="Arial"/>
                <w:color w:val="000000"/>
                <w:sz w:val="20"/>
                <w:szCs w:val="20"/>
              </w:rPr>
              <w:t>(30)</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EB52" w14:textId="77777777" w:rsidR="00833634" w:rsidRDefault="00833634">
            <w:pPr>
              <w:jc w:val="right"/>
              <w:rPr>
                <w:rFonts w:ascii="宋体"/>
              </w:rPr>
            </w:pPr>
          </w:p>
        </w:tc>
      </w:tr>
    </w:tbl>
    <w:p w14:paraId="4090EB54" w14:textId="77777777" w:rsidR="00833634" w:rsidRDefault="00E15D51">
      <w:pPr>
        <w:spacing w:after="180"/>
        <w:jc w:val="center"/>
      </w:pPr>
      <w:r>
        <w:rPr>
          <w:rFonts w:ascii="Arial" w:eastAsia="宋体" w:hAnsi="Arial" w:cs="Arial"/>
          <w:color w:val="000000"/>
          <w:sz w:val="18"/>
          <w:szCs w:val="18"/>
        </w:rPr>
        <w:t>27</w:t>
      </w:r>
    </w:p>
    <w:p w14:paraId="4090EB55" w14:textId="77777777" w:rsidR="00833634" w:rsidRDefault="00E15D51">
      <w:r>
        <w:pict w14:anchorId="4090FE3B">
          <v:rect id="_x0000_i1053" style="width:415.3pt;height:1.5pt" o:hralign="center" o:hrstd="t" o:hr="t" fillcolor="#a0a0a0" stroked="f"/>
        </w:pict>
      </w:r>
    </w:p>
    <w:p w14:paraId="4090EB56" w14:textId="77777777" w:rsidR="00833634" w:rsidRDefault="00E15D51">
      <w:pPr>
        <w:spacing w:after="180"/>
        <w:jc w:val="both"/>
      </w:pPr>
      <w:hyperlink r:id="rId130" w:anchor="i8d805bfb1e1c4815a1dcd5b6d1e0b117_10" w:history="1">
        <w:r>
          <w:rPr>
            <w:rStyle w:val="a5"/>
            <w:rFonts w:ascii="Arial" w:eastAsia="宋体" w:hAnsi="Arial" w:cs="Arial"/>
            <w:sz w:val="18"/>
            <w:szCs w:val="18"/>
          </w:rPr>
          <w:t>Table of Contents</w:t>
        </w:r>
      </w:hyperlink>
    </w:p>
    <w:p w14:paraId="4090EB57" w14:textId="77777777" w:rsidR="00833634" w:rsidRDefault="00E15D51">
      <w:pPr>
        <w:jc w:val="both"/>
      </w:pPr>
      <w:r>
        <w:rPr>
          <w:rFonts w:ascii="Arial" w:eastAsia="宋体" w:hAnsi="Arial" w:cs="Arial"/>
          <w:color w:val="000000"/>
          <w:sz w:val="20"/>
          <w:szCs w:val="20"/>
        </w:rPr>
        <w:t xml:space="preserve">Gains/(losses) associated with our </w:t>
      </w:r>
      <w:r>
        <w:rPr>
          <w:rFonts w:ascii="Arial" w:eastAsia="宋体" w:hAnsi="Arial" w:cs="Arial"/>
          <w:color w:val="000000"/>
          <w:sz w:val="20"/>
          <w:szCs w:val="20"/>
        </w:rPr>
        <w:t>hedging transactions and forward points reclassified from AOCI to earnings are presented in the following table:</w:t>
      </w:r>
    </w:p>
    <w:tbl>
      <w:tblPr>
        <w:tblW w:w="5000" w:type="pct"/>
        <w:jc w:val="center"/>
        <w:tblCellMar>
          <w:top w:w="15" w:type="dxa"/>
          <w:left w:w="15" w:type="dxa"/>
          <w:bottom w:w="15" w:type="dxa"/>
          <w:right w:w="15" w:type="dxa"/>
        </w:tblCellMar>
        <w:tblLook w:val="04A0" w:firstRow="1" w:lastRow="0" w:firstColumn="1" w:lastColumn="0" w:noHBand="0" w:noVBand="1"/>
      </w:tblPr>
      <w:tblGrid>
        <w:gridCol w:w="59"/>
        <w:gridCol w:w="4362"/>
        <w:gridCol w:w="38"/>
        <w:gridCol w:w="59"/>
        <w:gridCol w:w="805"/>
        <w:gridCol w:w="37"/>
        <w:gridCol w:w="37"/>
        <w:gridCol w:w="37"/>
        <w:gridCol w:w="36"/>
        <w:gridCol w:w="48"/>
        <w:gridCol w:w="831"/>
        <w:gridCol w:w="36"/>
        <w:gridCol w:w="36"/>
        <w:gridCol w:w="36"/>
        <w:gridCol w:w="36"/>
        <w:gridCol w:w="48"/>
        <w:gridCol w:w="822"/>
        <w:gridCol w:w="37"/>
        <w:gridCol w:w="37"/>
        <w:gridCol w:w="37"/>
        <w:gridCol w:w="37"/>
        <w:gridCol w:w="50"/>
        <w:gridCol w:w="739"/>
        <w:gridCol w:w="36"/>
      </w:tblGrid>
      <w:tr w:rsidR="00833634" w14:paraId="4090EB70" w14:textId="77777777">
        <w:trPr>
          <w:jc w:val="center"/>
        </w:trPr>
        <w:tc>
          <w:tcPr>
            <w:tcW w:w="50" w:type="pct"/>
            <w:shd w:val="clear" w:color="auto" w:fill="auto"/>
          </w:tcPr>
          <w:p w14:paraId="4090EB58" w14:textId="77777777" w:rsidR="00833634" w:rsidRDefault="00833634">
            <w:pPr>
              <w:rPr>
                <w:rFonts w:ascii="宋体"/>
              </w:rPr>
            </w:pPr>
          </w:p>
        </w:tc>
        <w:tc>
          <w:tcPr>
            <w:tcW w:w="2629" w:type="pct"/>
            <w:shd w:val="clear" w:color="auto" w:fill="auto"/>
          </w:tcPr>
          <w:p w14:paraId="4090EB59" w14:textId="77777777" w:rsidR="00833634" w:rsidRDefault="00833634">
            <w:pPr>
              <w:rPr>
                <w:rFonts w:ascii="宋体"/>
              </w:rPr>
            </w:pPr>
          </w:p>
        </w:tc>
        <w:tc>
          <w:tcPr>
            <w:tcW w:w="5" w:type="pct"/>
            <w:shd w:val="clear" w:color="auto" w:fill="auto"/>
          </w:tcPr>
          <w:p w14:paraId="4090EB5A" w14:textId="77777777" w:rsidR="00833634" w:rsidRDefault="00833634">
            <w:pPr>
              <w:rPr>
                <w:rFonts w:ascii="宋体"/>
              </w:rPr>
            </w:pPr>
          </w:p>
        </w:tc>
        <w:tc>
          <w:tcPr>
            <w:tcW w:w="50" w:type="pct"/>
            <w:shd w:val="clear" w:color="auto" w:fill="auto"/>
          </w:tcPr>
          <w:p w14:paraId="4090EB5B" w14:textId="77777777" w:rsidR="00833634" w:rsidRDefault="00833634">
            <w:pPr>
              <w:rPr>
                <w:rFonts w:ascii="宋体"/>
              </w:rPr>
            </w:pPr>
          </w:p>
        </w:tc>
        <w:tc>
          <w:tcPr>
            <w:tcW w:w="497" w:type="pct"/>
            <w:shd w:val="clear" w:color="auto" w:fill="auto"/>
          </w:tcPr>
          <w:p w14:paraId="4090EB5C" w14:textId="77777777" w:rsidR="00833634" w:rsidRDefault="00833634">
            <w:pPr>
              <w:rPr>
                <w:rFonts w:ascii="宋体"/>
              </w:rPr>
            </w:pPr>
          </w:p>
        </w:tc>
        <w:tc>
          <w:tcPr>
            <w:tcW w:w="5" w:type="pct"/>
            <w:shd w:val="clear" w:color="auto" w:fill="auto"/>
          </w:tcPr>
          <w:p w14:paraId="4090EB5D" w14:textId="77777777" w:rsidR="00833634" w:rsidRDefault="00833634">
            <w:pPr>
              <w:rPr>
                <w:rFonts w:ascii="宋体"/>
              </w:rPr>
            </w:pPr>
          </w:p>
        </w:tc>
        <w:tc>
          <w:tcPr>
            <w:tcW w:w="5" w:type="pct"/>
            <w:shd w:val="clear" w:color="auto" w:fill="auto"/>
          </w:tcPr>
          <w:p w14:paraId="4090EB5E" w14:textId="77777777" w:rsidR="00833634" w:rsidRDefault="00833634">
            <w:pPr>
              <w:rPr>
                <w:rFonts w:ascii="宋体"/>
              </w:rPr>
            </w:pPr>
          </w:p>
        </w:tc>
        <w:tc>
          <w:tcPr>
            <w:tcW w:w="30" w:type="pct"/>
            <w:shd w:val="clear" w:color="auto" w:fill="auto"/>
          </w:tcPr>
          <w:p w14:paraId="4090EB5F" w14:textId="77777777" w:rsidR="00833634" w:rsidRDefault="00833634">
            <w:pPr>
              <w:rPr>
                <w:rFonts w:ascii="宋体"/>
              </w:rPr>
            </w:pPr>
          </w:p>
        </w:tc>
        <w:tc>
          <w:tcPr>
            <w:tcW w:w="5" w:type="pct"/>
            <w:shd w:val="clear" w:color="auto" w:fill="auto"/>
          </w:tcPr>
          <w:p w14:paraId="4090EB60" w14:textId="77777777" w:rsidR="00833634" w:rsidRDefault="00833634">
            <w:pPr>
              <w:rPr>
                <w:rFonts w:ascii="宋体"/>
              </w:rPr>
            </w:pPr>
          </w:p>
        </w:tc>
        <w:tc>
          <w:tcPr>
            <w:tcW w:w="50" w:type="pct"/>
            <w:shd w:val="clear" w:color="auto" w:fill="auto"/>
          </w:tcPr>
          <w:p w14:paraId="4090EB61" w14:textId="77777777" w:rsidR="00833634" w:rsidRDefault="00833634">
            <w:pPr>
              <w:rPr>
                <w:rFonts w:ascii="宋体"/>
              </w:rPr>
            </w:pPr>
          </w:p>
        </w:tc>
        <w:tc>
          <w:tcPr>
            <w:tcW w:w="513" w:type="pct"/>
            <w:shd w:val="clear" w:color="auto" w:fill="auto"/>
          </w:tcPr>
          <w:p w14:paraId="4090EB62" w14:textId="77777777" w:rsidR="00833634" w:rsidRDefault="00833634">
            <w:pPr>
              <w:rPr>
                <w:rFonts w:ascii="宋体"/>
              </w:rPr>
            </w:pPr>
          </w:p>
        </w:tc>
        <w:tc>
          <w:tcPr>
            <w:tcW w:w="5" w:type="pct"/>
            <w:shd w:val="clear" w:color="auto" w:fill="auto"/>
          </w:tcPr>
          <w:p w14:paraId="4090EB63" w14:textId="77777777" w:rsidR="00833634" w:rsidRDefault="00833634">
            <w:pPr>
              <w:rPr>
                <w:rFonts w:ascii="宋体"/>
              </w:rPr>
            </w:pPr>
          </w:p>
        </w:tc>
        <w:tc>
          <w:tcPr>
            <w:tcW w:w="5" w:type="pct"/>
            <w:shd w:val="clear" w:color="auto" w:fill="auto"/>
          </w:tcPr>
          <w:p w14:paraId="4090EB64" w14:textId="77777777" w:rsidR="00833634" w:rsidRDefault="00833634">
            <w:pPr>
              <w:rPr>
                <w:rFonts w:ascii="宋体"/>
              </w:rPr>
            </w:pPr>
          </w:p>
        </w:tc>
        <w:tc>
          <w:tcPr>
            <w:tcW w:w="22" w:type="pct"/>
            <w:shd w:val="clear" w:color="auto" w:fill="auto"/>
          </w:tcPr>
          <w:p w14:paraId="4090EB65" w14:textId="77777777" w:rsidR="00833634" w:rsidRDefault="00833634">
            <w:pPr>
              <w:rPr>
                <w:rFonts w:ascii="宋体"/>
              </w:rPr>
            </w:pPr>
          </w:p>
        </w:tc>
        <w:tc>
          <w:tcPr>
            <w:tcW w:w="5" w:type="pct"/>
            <w:shd w:val="clear" w:color="auto" w:fill="auto"/>
          </w:tcPr>
          <w:p w14:paraId="4090EB66" w14:textId="77777777" w:rsidR="00833634" w:rsidRDefault="00833634">
            <w:pPr>
              <w:rPr>
                <w:rFonts w:ascii="宋体"/>
              </w:rPr>
            </w:pPr>
          </w:p>
        </w:tc>
        <w:tc>
          <w:tcPr>
            <w:tcW w:w="50" w:type="pct"/>
            <w:shd w:val="clear" w:color="auto" w:fill="auto"/>
          </w:tcPr>
          <w:p w14:paraId="4090EB67" w14:textId="77777777" w:rsidR="00833634" w:rsidRDefault="00833634">
            <w:pPr>
              <w:rPr>
                <w:rFonts w:ascii="宋体"/>
              </w:rPr>
            </w:pPr>
          </w:p>
        </w:tc>
        <w:tc>
          <w:tcPr>
            <w:tcW w:w="513" w:type="pct"/>
            <w:shd w:val="clear" w:color="auto" w:fill="auto"/>
          </w:tcPr>
          <w:p w14:paraId="4090EB68" w14:textId="77777777" w:rsidR="00833634" w:rsidRDefault="00833634">
            <w:pPr>
              <w:rPr>
                <w:rFonts w:ascii="宋体"/>
              </w:rPr>
            </w:pPr>
          </w:p>
        </w:tc>
        <w:tc>
          <w:tcPr>
            <w:tcW w:w="5" w:type="pct"/>
            <w:shd w:val="clear" w:color="auto" w:fill="auto"/>
          </w:tcPr>
          <w:p w14:paraId="4090EB69" w14:textId="77777777" w:rsidR="00833634" w:rsidRDefault="00833634">
            <w:pPr>
              <w:rPr>
                <w:rFonts w:ascii="宋体"/>
              </w:rPr>
            </w:pPr>
          </w:p>
        </w:tc>
        <w:tc>
          <w:tcPr>
            <w:tcW w:w="5" w:type="pct"/>
            <w:shd w:val="clear" w:color="auto" w:fill="auto"/>
          </w:tcPr>
          <w:p w14:paraId="4090EB6A" w14:textId="77777777" w:rsidR="00833634" w:rsidRDefault="00833634">
            <w:pPr>
              <w:rPr>
                <w:rFonts w:ascii="宋体"/>
              </w:rPr>
            </w:pPr>
          </w:p>
        </w:tc>
        <w:tc>
          <w:tcPr>
            <w:tcW w:w="30" w:type="pct"/>
            <w:shd w:val="clear" w:color="auto" w:fill="auto"/>
          </w:tcPr>
          <w:p w14:paraId="4090EB6B" w14:textId="77777777" w:rsidR="00833634" w:rsidRDefault="00833634">
            <w:pPr>
              <w:rPr>
                <w:rFonts w:ascii="宋体"/>
              </w:rPr>
            </w:pPr>
          </w:p>
        </w:tc>
        <w:tc>
          <w:tcPr>
            <w:tcW w:w="5" w:type="pct"/>
            <w:shd w:val="clear" w:color="auto" w:fill="auto"/>
          </w:tcPr>
          <w:p w14:paraId="4090EB6C" w14:textId="77777777" w:rsidR="00833634" w:rsidRDefault="00833634">
            <w:pPr>
              <w:rPr>
                <w:rFonts w:ascii="宋体"/>
              </w:rPr>
            </w:pPr>
          </w:p>
        </w:tc>
        <w:tc>
          <w:tcPr>
            <w:tcW w:w="50" w:type="pct"/>
            <w:shd w:val="clear" w:color="auto" w:fill="auto"/>
          </w:tcPr>
          <w:p w14:paraId="4090EB6D" w14:textId="77777777" w:rsidR="00833634" w:rsidRDefault="00833634">
            <w:pPr>
              <w:rPr>
                <w:rFonts w:ascii="宋体"/>
              </w:rPr>
            </w:pPr>
          </w:p>
        </w:tc>
        <w:tc>
          <w:tcPr>
            <w:tcW w:w="457" w:type="pct"/>
            <w:shd w:val="clear" w:color="auto" w:fill="auto"/>
          </w:tcPr>
          <w:p w14:paraId="4090EB6E" w14:textId="77777777" w:rsidR="00833634" w:rsidRDefault="00833634">
            <w:pPr>
              <w:rPr>
                <w:rFonts w:ascii="宋体"/>
              </w:rPr>
            </w:pPr>
          </w:p>
        </w:tc>
        <w:tc>
          <w:tcPr>
            <w:tcW w:w="5" w:type="pct"/>
            <w:shd w:val="clear" w:color="auto" w:fill="auto"/>
          </w:tcPr>
          <w:p w14:paraId="4090EB6F" w14:textId="77777777" w:rsidR="00833634" w:rsidRDefault="00833634">
            <w:pPr>
              <w:rPr>
                <w:rFonts w:ascii="宋体"/>
              </w:rPr>
            </w:pPr>
          </w:p>
        </w:tc>
      </w:tr>
      <w:tr w:rsidR="00833634" w14:paraId="4090EB75" w14:textId="77777777">
        <w:trPr>
          <w:jc w:val="center"/>
        </w:trPr>
        <w:tc>
          <w:tcPr>
            <w:tcW w:w="0" w:type="auto"/>
            <w:gridSpan w:val="3"/>
            <w:shd w:val="clear" w:color="auto" w:fill="auto"/>
            <w:tcMar>
              <w:top w:w="0" w:type="dxa"/>
              <w:left w:w="20" w:type="dxa"/>
              <w:bottom w:w="0" w:type="dxa"/>
              <w:right w:w="20" w:type="dxa"/>
            </w:tcMar>
          </w:tcPr>
          <w:p w14:paraId="4090EB71"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B72"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EB73"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B74"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B7E"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tcPr>
          <w:p w14:paraId="4090EB76"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B77"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B78"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B79"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EB7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B7B"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B7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B7D" w14:textId="77777777" w:rsidR="00833634" w:rsidRDefault="00E15D51">
            <w:pPr>
              <w:jc w:val="right"/>
              <w:textAlignment w:val="bottom"/>
            </w:pPr>
            <w:r>
              <w:rPr>
                <w:rFonts w:ascii="Arial" w:eastAsia="宋体" w:hAnsi="Arial" w:cs="Arial"/>
                <w:color w:val="000000"/>
                <w:sz w:val="20"/>
                <w:szCs w:val="20"/>
              </w:rPr>
              <w:t>2019</w:t>
            </w:r>
          </w:p>
        </w:tc>
      </w:tr>
      <w:tr w:rsidR="00833634" w14:paraId="4090EB87"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B7F" w14:textId="77777777" w:rsidR="00833634" w:rsidRDefault="00E15D51">
            <w:pPr>
              <w:textAlignment w:val="bottom"/>
            </w:pPr>
            <w:r>
              <w:rPr>
                <w:rFonts w:ascii="Arial" w:eastAsia="宋体" w:hAnsi="Arial" w:cs="Arial"/>
                <w:color w:val="000000"/>
                <w:sz w:val="20"/>
                <w:szCs w:val="20"/>
              </w:rPr>
              <w:t>Foreign exchange contracts</w:t>
            </w:r>
          </w:p>
        </w:tc>
        <w:tc>
          <w:tcPr>
            <w:tcW w:w="0" w:type="auto"/>
            <w:gridSpan w:val="3"/>
            <w:tcBorders>
              <w:top w:val="single" w:sz="8" w:space="0" w:color="000000"/>
            </w:tcBorders>
            <w:shd w:val="clear" w:color="auto" w:fill="CCEEFF"/>
            <w:tcMar>
              <w:top w:w="0" w:type="dxa"/>
              <w:left w:w="20" w:type="dxa"/>
              <w:bottom w:w="0" w:type="dxa"/>
              <w:right w:w="20" w:type="dxa"/>
            </w:tcMar>
          </w:tcPr>
          <w:p w14:paraId="4090EB80"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81"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82"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83"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84"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85"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86" w14:textId="77777777" w:rsidR="00833634" w:rsidRDefault="00833634">
            <w:pPr>
              <w:rPr>
                <w:rFonts w:ascii="宋体"/>
              </w:rPr>
            </w:pPr>
          </w:p>
        </w:tc>
      </w:tr>
      <w:tr w:rsidR="00833634" w14:paraId="4090EB93" w14:textId="77777777">
        <w:trPr>
          <w:jc w:val="center"/>
        </w:trPr>
        <w:tc>
          <w:tcPr>
            <w:tcW w:w="0" w:type="auto"/>
            <w:gridSpan w:val="3"/>
            <w:shd w:val="clear" w:color="auto" w:fill="FFFFFF"/>
            <w:tcMar>
              <w:top w:w="40" w:type="dxa"/>
              <w:left w:w="360" w:type="dxa"/>
              <w:bottom w:w="40" w:type="dxa"/>
              <w:right w:w="20" w:type="dxa"/>
            </w:tcMar>
            <w:vAlign w:val="bottom"/>
          </w:tcPr>
          <w:p w14:paraId="4090EB88" w14:textId="77777777" w:rsidR="00833634" w:rsidRDefault="00E15D51">
            <w:pPr>
              <w:textAlignment w:val="bottom"/>
            </w:pPr>
            <w:r>
              <w:rPr>
                <w:rFonts w:ascii="Arial" w:eastAsia="宋体" w:hAnsi="Arial" w:cs="Arial"/>
                <w:color w:val="000000"/>
                <w:sz w:val="20"/>
                <w:szCs w:val="20"/>
              </w:rPr>
              <w:t>Revenues</w:t>
            </w:r>
          </w:p>
        </w:tc>
        <w:tc>
          <w:tcPr>
            <w:tcW w:w="0" w:type="auto"/>
            <w:gridSpan w:val="2"/>
            <w:shd w:val="clear" w:color="auto" w:fill="FFFFFF"/>
            <w:tcMar>
              <w:top w:w="40" w:type="dxa"/>
              <w:left w:w="20" w:type="dxa"/>
              <w:bottom w:w="40" w:type="dxa"/>
              <w:right w:w="0" w:type="dxa"/>
            </w:tcMar>
            <w:vAlign w:val="bottom"/>
          </w:tcPr>
          <w:p w14:paraId="4090EB89" w14:textId="77777777" w:rsidR="00833634" w:rsidRDefault="00E15D51">
            <w:pPr>
              <w:jc w:val="right"/>
              <w:textAlignment w:val="bottom"/>
            </w:pPr>
            <w:r>
              <w:rPr>
                <w:rFonts w:ascii="Arial" w:eastAsia="宋体" w:hAnsi="Arial" w:cs="Arial"/>
                <w:b/>
                <w:bCs/>
                <w:color w:val="000000"/>
                <w:sz w:val="20"/>
                <w:szCs w:val="20"/>
              </w:rPr>
              <w:t>($2)</w:t>
            </w:r>
          </w:p>
        </w:tc>
        <w:tc>
          <w:tcPr>
            <w:tcW w:w="0" w:type="auto"/>
            <w:shd w:val="clear" w:color="auto" w:fill="FFFFFF"/>
            <w:tcMar>
              <w:top w:w="40" w:type="dxa"/>
              <w:left w:w="0" w:type="dxa"/>
              <w:bottom w:w="40" w:type="dxa"/>
              <w:right w:w="20" w:type="dxa"/>
            </w:tcMar>
            <w:vAlign w:val="bottom"/>
          </w:tcPr>
          <w:p w14:paraId="4090EB8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B8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B8C"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B8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B8E" w14:textId="77777777" w:rsidR="00833634" w:rsidRDefault="00E15D51">
            <w:pPr>
              <w:jc w:val="right"/>
              <w:textAlignment w:val="bottom"/>
            </w:pPr>
            <w:r>
              <w:rPr>
                <w:rFonts w:ascii="Arial" w:eastAsia="宋体" w:hAnsi="Arial" w:cs="Arial"/>
                <w:b/>
                <w:bCs/>
                <w:color w:val="000000"/>
                <w:sz w:val="20"/>
                <w:szCs w:val="20"/>
              </w:rPr>
              <w:t>($1)</w:t>
            </w:r>
          </w:p>
        </w:tc>
        <w:tc>
          <w:tcPr>
            <w:tcW w:w="0" w:type="auto"/>
            <w:shd w:val="clear" w:color="auto" w:fill="FFFFFF"/>
            <w:tcMar>
              <w:top w:w="40" w:type="dxa"/>
              <w:left w:w="0" w:type="dxa"/>
              <w:bottom w:w="40" w:type="dxa"/>
              <w:right w:w="20" w:type="dxa"/>
            </w:tcMar>
            <w:vAlign w:val="bottom"/>
          </w:tcPr>
          <w:p w14:paraId="4090EB8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B9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B91" w14:textId="77777777" w:rsidR="00833634" w:rsidRDefault="00E15D51">
            <w:pPr>
              <w:jc w:val="right"/>
              <w:textAlignment w:val="bottom"/>
            </w:pPr>
            <w:r>
              <w:rPr>
                <w:rFonts w:ascii="Arial" w:eastAsia="宋体" w:hAnsi="Arial" w:cs="Arial"/>
                <w:color w:val="000000"/>
                <w:sz w:val="20"/>
                <w:szCs w:val="20"/>
              </w:rPr>
              <w:t>($6)</w:t>
            </w:r>
          </w:p>
        </w:tc>
        <w:tc>
          <w:tcPr>
            <w:tcW w:w="0" w:type="auto"/>
            <w:shd w:val="clear" w:color="auto" w:fill="FFFFFF"/>
            <w:tcMar>
              <w:top w:w="40" w:type="dxa"/>
              <w:left w:w="0" w:type="dxa"/>
              <w:bottom w:w="40" w:type="dxa"/>
              <w:right w:w="20" w:type="dxa"/>
            </w:tcMar>
            <w:vAlign w:val="bottom"/>
          </w:tcPr>
          <w:p w14:paraId="4090EB92" w14:textId="77777777" w:rsidR="00833634" w:rsidRDefault="00833634">
            <w:pPr>
              <w:jc w:val="right"/>
              <w:rPr>
                <w:rFonts w:ascii="宋体"/>
              </w:rPr>
            </w:pPr>
          </w:p>
        </w:tc>
      </w:tr>
      <w:tr w:rsidR="00833634" w14:paraId="4090EBA0" w14:textId="77777777">
        <w:trPr>
          <w:jc w:val="center"/>
        </w:trPr>
        <w:tc>
          <w:tcPr>
            <w:tcW w:w="0" w:type="auto"/>
            <w:gridSpan w:val="3"/>
            <w:shd w:val="clear" w:color="auto" w:fill="CCEEFF"/>
            <w:tcMar>
              <w:top w:w="40" w:type="dxa"/>
              <w:left w:w="360" w:type="dxa"/>
              <w:bottom w:w="40" w:type="dxa"/>
              <w:right w:w="20" w:type="dxa"/>
            </w:tcMar>
            <w:vAlign w:val="bottom"/>
          </w:tcPr>
          <w:p w14:paraId="4090EB94" w14:textId="77777777" w:rsidR="00833634" w:rsidRDefault="00E15D51">
            <w:pPr>
              <w:textAlignment w:val="bottom"/>
            </w:pPr>
            <w:r>
              <w:rPr>
                <w:rFonts w:ascii="Arial" w:eastAsia="宋体" w:hAnsi="Arial" w:cs="Arial"/>
                <w:color w:val="000000"/>
                <w:sz w:val="20"/>
                <w:szCs w:val="20"/>
              </w:rPr>
              <w:t xml:space="preserve">Costs and </w:t>
            </w:r>
            <w:r>
              <w:rPr>
                <w:rFonts w:ascii="Arial" w:eastAsia="宋体" w:hAnsi="Arial" w:cs="Arial"/>
                <w:color w:val="000000"/>
                <w:sz w:val="20"/>
                <w:szCs w:val="20"/>
              </w:rPr>
              <w:t>expenses</w:t>
            </w:r>
          </w:p>
        </w:tc>
        <w:tc>
          <w:tcPr>
            <w:tcW w:w="0" w:type="auto"/>
            <w:gridSpan w:val="2"/>
            <w:shd w:val="clear" w:color="auto" w:fill="CCEEFF"/>
            <w:tcMar>
              <w:top w:w="40" w:type="dxa"/>
              <w:left w:w="20" w:type="dxa"/>
              <w:bottom w:w="40" w:type="dxa"/>
              <w:right w:w="0" w:type="dxa"/>
            </w:tcMar>
            <w:vAlign w:val="bottom"/>
          </w:tcPr>
          <w:p w14:paraId="4090EB95" w14:textId="77777777" w:rsidR="00833634" w:rsidRDefault="00E15D51">
            <w:pPr>
              <w:jc w:val="right"/>
              <w:textAlignment w:val="bottom"/>
            </w:pPr>
            <w:r>
              <w:rPr>
                <w:rFonts w:ascii="Arial" w:eastAsia="宋体" w:hAnsi="Arial" w:cs="Arial"/>
                <w:b/>
                <w:bCs/>
                <w:color w:val="000000"/>
                <w:sz w:val="20"/>
                <w:szCs w:val="20"/>
              </w:rPr>
              <w:t>(12)</w:t>
            </w:r>
          </w:p>
        </w:tc>
        <w:tc>
          <w:tcPr>
            <w:tcW w:w="0" w:type="auto"/>
            <w:shd w:val="clear" w:color="auto" w:fill="CCEEFF"/>
            <w:tcMar>
              <w:top w:w="40" w:type="dxa"/>
              <w:left w:w="0" w:type="dxa"/>
              <w:bottom w:w="40" w:type="dxa"/>
              <w:right w:w="20" w:type="dxa"/>
            </w:tcMar>
            <w:vAlign w:val="bottom"/>
          </w:tcPr>
          <w:p w14:paraId="4090EB9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B9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B98" w14:textId="77777777" w:rsidR="00833634" w:rsidRDefault="00E15D51">
            <w:pPr>
              <w:jc w:val="right"/>
              <w:textAlignment w:val="bottom"/>
            </w:pPr>
            <w:r>
              <w:rPr>
                <w:rFonts w:ascii="Arial" w:eastAsia="宋体" w:hAnsi="Arial" w:cs="Arial"/>
                <w:color w:val="000000"/>
                <w:sz w:val="20"/>
                <w:szCs w:val="20"/>
              </w:rPr>
              <w:t>(21)</w:t>
            </w:r>
          </w:p>
        </w:tc>
        <w:tc>
          <w:tcPr>
            <w:tcW w:w="0" w:type="auto"/>
            <w:shd w:val="clear" w:color="auto" w:fill="CCEEFF"/>
            <w:tcMar>
              <w:top w:w="40" w:type="dxa"/>
              <w:left w:w="0" w:type="dxa"/>
              <w:bottom w:w="40" w:type="dxa"/>
              <w:right w:w="20" w:type="dxa"/>
            </w:tcMar>
            <w:vAlign w:val="bottom"/>
          </w:tcPr>
          <w:p w14:paraId="4090EB9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B9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B9B" w14:textId="77777777" w:rsidR="00833634" w:rsidRDefault="00E15D51">
            <w:pPr>
              <w:jc w:val="right"/>
              <w:textAlignment w:val="bottom"/>
            </w:pPr>
            <w:r>
              <w:rPr>
                <w:rFonts w:ascii="Arial" w:eastAsia="宋体" w:hAnsi="Arial" w:cs="Arial"/>
                <w:b/>
                <w:bCs/>
                <w:color w:val="000000"/>
                <w:sz w:val="20"/>
                <w:szCs w:val="20"/>
              </w:rPr>
              <w:t>(6)</w:t>
            </w:r>
          </w:p>
        </w:tc>
        <w:tc>
          <w:tcPr>
            <w:tcW w:w="0" w:type="auto"/>
            <w:shd w:val="clear" w:color="auto" w:fill="CCEEFF"/>
            <w:tcMar>
              <w:top w:w="40" w:type="dxa"/>
              <w:left w:w="0" w:type="dxa"/>
              <w:bottom w:w="40" w:type="dxa"/>
              <w:right w:w="20" w:type="dxa"/>
            </w:tcMar>
            <w:vAlign w:val="bottom"/>
          </w:tcPr>
          <w:p w14:paraId="4090EB9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B9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B9E" w14:textId="77777777" w:rsidR="00833634" w:rsidRDefault="00E15D51">
            <w:pPr>
              <w:jc w:val="right"/>
              <w:textAlignment w:val="bottom"/>
            </w:pPr>
            <w:r>
              <w:rPr>
                <w:rFonts w:ascii="Arial" w:eastAsia="宋体" w:hAnsi="Arial" w:cs="Arial"/>
                <w:color w:val="000000"/>
                <w:sz w:val="20"/>
                <w:szCs w:val="20"/>
              </w:rPr>
              <w:t>(9)</w:t>
            </w:r>
          </w:p>
        </w:tc>
        <w:tc>
          <w:tcPr>
            <w:tcW w:w="0" w:type="auto"/>
            <w:shd w:val="clear" w:color="auto" w:fill="CCEEFF"/>
            <w:tcMar>
              <w:top w:w="40" w:type="dxa"/>
              <w:left w:w="0" w:type="dxa"/>
              <w:bottom w:w="40" w:type="dxa"/>
              <w:right w:w="20" w:type="dxa"/>
            </w:tcMar>
            <w:vAlign w:val="bottom"/>
          </w:tcPr>
          <w:p w14:paraId="4090EB9F" w14:textId="77777777" w:rsidR="00833634" w:rsidRDefault="00833634">
            <w:pPr>
              <w:jc w:val="right"/>
              <w:rPr>
                <w:rFonts w:ascii="宋体"/>
              </w:rPr>
            </w:pPr>
          </w:p>
        </w:tc>
      </w:tr>
      <w:tr w:rsidR="00833634" w14:paraId="4090EBAC" w14:textId="77777777">
        <w:trPr>
          <w:jc w:val="center"/>
        </w:trPr>
        <w:tc>
          <w:tcPr>
            <w:tcW w:w="0" w:type="auto"/>
            <w:gridSpan w:val="3"/>
            <w:shd w:val="clear" w:color="auto" w:fill="FFFFFF"/>
            <w:tcMar>
              <w:top w:w="40" w:type="dxa"/>
              <w:left w:w="360" w:type="dxa"/>
              <w:bottom w:w="40" w:type="dxa"/>
              <w:right w:w="20" w:type="dxa"/>
            </w:tcMar>
            <w:vAlign w:val="bottom"/>
          </w:tcPr>
          <w:p w14:paraId="4090EBA1" w14:textId="77777777" w:rsidR="00833634" w:rsidRDefault="00E15D51">
            <w:pPr>
              <w:textAlignment w:val="bottom"/>
            </w:pPr>
            <w:r>
              <w:rPr>
                <w:rFonts w:ascii="Arial" w:eastAsia="宋体" w:hAnsi="Arial" w:cs="Arial"/>
                <w:color w:val="000000"/>
                <w:sz w:val="20"/>
                <w:szCs w:val="20"/>
              </w:rPr>
              <w:t>General and administrative</w:t>
            </w:r>
          </w:p>
        </w:tc>
        <w:tc>
          <w:tcPr>
            <w:tcW w:w="0" w:type="auto"/>
            <w:gridSpan w:val="2"/>
            <w:shd w:val="clear" w:color="auto" w:fill="FFFFFF"/>
            <w:tcMar>
              <w:top w:w="40" w:type="dxa"/>
              <w:left w:w="20" w:type="dxa"/>
              <w:bottom w:w="40" w:type="dxa"/>
              <w:right w:w="0" w:type="dxa"/>
            </w:tcMar>
            <w:vAlign w:val="bottom"/>
          </w:tcPr>
          <w:p w14:paraId="4090EBA2" w14:textId="77777777" w:rsidR="00833634" w:rsidRDefault="00E15D51">
            <w:pPr>
              <w:jc w:val="right"/>
              <w:textAlignment w:val="bottom"/>
            </w:pPr>
            <w:r>
              <w:rPr>
                <w:rFonts w:ascii="Arial" w:eastAsia="宋体" w:hAnsi="Arial" w:cs="Arial"/>
                <w:b/>
                <w:bCs/>
                <w:color w:val="000000"/>
                <w:sz w:val="20"/>
                <w:szCs w:val="20"/>
              </w:rPr>
              <w:t>(5)</w:t>
            </w:r>
          </w:p>
        </w:tc>
        <w:tc>
          <w:tcPr>
            <w:tcW w:w="0" w:type="auto"/>
            <w:shd w:val="clear" w:color="auto" w:fill="FFFFFF"/>
            <w:tcMar>
              <w:top w:w="40" w:type="dxa"/>
              <w:left w:w="0" w:type="dxa"/>
              <w:bottom w:w="40" w:type="dxa"/>
              <w:right w:w="20" w:type="dxa"/>
            </w:tcMar>
            <w:vAlign w:val="bottom"/>
          </w:tcPr>
          <w:p w14:paraId="4090EBA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BA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BA5" w14:textId="77777777" w:rsidR="00833634" w:rsidRDefault="00E15D51">
            <w:pPr>
              <w:jc w:val="right"/>
              <w:textAlignment w:val="bottom"/>
            </w:pPr>
            <w:r>
              <w:rPr>
                <w:rFonts w:ascii="Arial" w:eastAsia="宋体" w:hAnsi="Arial" w:cs="Arial"/>
                <w:color w:val="000000"/>
                <w:sz w:val="20"/>
                <w:szCs w:val="20"/>
              </w:rPr>
              <w:t>(9)</w:t>
            </w:r>
          </w:p>
        </w:tc>
        <w:tc>
          <w:tcPr>
            <w:tcW w:w="0" w:type="auto"/>
            <w:shd w:val="clear" w:color="auto" w:fill="FFFFFF"/>
            <w:tcMar>
              <w:top w:w="40" w:type="dxa"/>
              <w:left w:w="0" w:type="dxa"/>
              <w:bottom w:w="40" w:type="dxa"/>
              <w:right w:w="20" w:type="dxa"/>
            </w:tcMar>
            <w:vAlign w:val="bottom"/>
          </w:tcPr>
          <w:p w14:paraId="4090EBA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BA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BA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BA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BAA" w14:textId="77777777" w:rsidR="00833634" w:rsidRDefault="00E15D51">
            <w:pPr>
              <w:jc w:val="right"/>
              <w:textAlignment w:val="bottom"/>
            </w:pPr>
            <w:r>
              <w:rPr>
                <w:rFonts w:ascii="Arial" w:eastAsia="宋体" w:hAnsi="Arial" w:cs="Arial"/>
                <w:color w:val="000000"/>
                <w:sz w:val="20"/>
                <w:szCs w:val="20"/>
              </w:rPr>
              <w:t>(18)</w:t>
            </w:r>
          </w:p>
        </w:tc>
        <w:tc>
          <w:tcPr>
            <w:tcW w:w="0" w:type="auto"/>
            <w:shd w:val="clear" w:color="auto" w:fill="FFFFFF"/>
            <w:tcMar>
              <w:top w:w="40" w:type="dxa"/>
              <w:left w:w="0" w:type="dxa"/>
              <w:bottom w:w="40" w:type="dxa"/>
              <w:right w:w="20" w:type="dxa"/>
            </w:tcMar>
            <w:vAlign w:val="bottom"/>
          </w:tcPr>
          <w:p w14:paraId="4090EBAB" w14:textId="77777777" w:rsidR="00833634" w:rsidRDefault="00833634">
            <w:pPr>
              <w:jc w:val="right"/>
              <w:rPr>
                <w:rFonts w:ascii="宋体"/>
              </w:rPr>
            </w:pPr>
          </w:p>
        </w:tc>
      </w:tr>
      <w:tr w:rsidR="00833634" w14:paraId="4090EBB5"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BAD" w14:textId="77777777" w:rsidR="00833634" w:rsidRDefault="00E15D51">
            <w:pPr>
              <w:textAlignment w:val="bottom"/>
            </w:pPr>
            <w:r>
              <w:rPr>
                <w:rFonts w:ascii="Arial" w:eastAsia="宋体" w:hAnsi="Arial" w:cs="Arial"/>
                <w:color w:val="000000"/>
                <w:sz w:val="20"/>
                <w:szCs w:val="20"/>
              </w:rPr>
              <w:t xml:space="preserve">Commodity </w:t>
            </w:r>
            <w:r>
              <w:rPr>
                <w:rFonts w:ascii="Arial" w:eastAsia="宋体" w:hAnsi="Arial" w:cs="Arial"/>
                <w:color w:val="000000"/>
                <w:sz w:val="20"/>
                <w:szCs w:val="20"/>
              </w:rPr>
              <w:t>contracts</w:t>
            </w:r>
          </w:p>
        </w:tc>
        <w:tc>
          <w:tcPr>
            <w:tcW w:w="0" w:type="auto"/>
            <w:gridSpan w:val="3"/>
            <w:tcBorders>
              <w:top w:val="single" w:sz="8" w:space="0" w:color="000000"/>
            </w:tcBorders>
            <w:shd w:val="clear" w:color="auto" w:fill="CCEEFF"/>
            <w:tcMar>
              <w:top w:w="0" w:type="dxa"/>
              <w:left w:w="20" w:type="dxa"/>
              <w:bottom w:w="0" w:type="dxa"/>
              <w:right w:w="20" w:type="dxa"/>
            </w:tcMar>
          </w:tcPr>
          <w:p w14:paraId="4090EBAE"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AF"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B0"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B1"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B2"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B3"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BB4" w14:textId="77777777" w:rsidR="00833634" w:rsidRDefault="00833634">
            <w:pPr>
              <w:rPr>
                <w:rFonts w:ascii="宋体"/>
              </w:rPr>
            </w:pPr>
          </w:p>
        </w:tc>
      </w:tr>
      <w:tr w:rsidR="00833634" w14:paraId="4090EBBE" w14:textId="77777777">
        <w:trPr>
          <w:jc w:val="center"/>
          <w:hidden/>
        </w:trPr>
        <w:tc>
          <w:tcPr>
            <w:tcW w:w="0" w:type="auto"/>
            <w:gridSpan w:val="3"/>
            <w:shd w:val="clear" w:color="auto" w:fill="auto"/>
          </w:tcPr>
          <w:p w14:paraId="4090EBB6" w14:textId="77777777" w:rsidR="00833634" w:rsidRDefault="00833634">
            <w:pPr>
              <w:rPr>
                <w:rFonts w:ascii="宋体"/>
                <w:vanish/>
              </w:rPr>
            </w:pPr>
          </w:p>
        </w:tc>
        <w:tc>
          <w:tcPr>
            <w:tcW w:w="0" w:type="auto"/>
            <w:gridSpan w:val="3"/>
            <w:shd w:val="clear" w:color="auto" w:fill="auto"/>
          </w:tcPr>
          <w:p w14:paraId="4090EBB7" w14:textId="77777777" w:rsidR="00833634" w:rsidRDefault="00833634">
            <w:pPr>
              <w:rPr>
                <w:rFonts w:ascii="宋体"/>
                <w:vanish/>
              </w:rPr>
            </w:pPr>
          </w:p>
        </w:tc>
        <w:tc>
          <w:tcPr>
            <w:tcW w:w="0" w:type="auto"/>
            <w:gridSpan w:val="3"/>
            <w:shd w:val="clear" w:color="auto" w:fill="auto"/>
          </w:tcPr>
          <w:p w14:paraId="4090EBB8" w14:textId="77777777" w:rsidR="00833634" w:rsidRDefault="00833634">
            <w:pPr>
              <w:rPr>
                <w:rFonts w:ascii="宋体"/>
                <w:vanish/>
              </w:rPr>
            </w:pPr>
          </w:p>
        </w:tc>
        <w:tc>
          <w:tcPr>
            <w:tcW w:w="0" w:type="auto"/>
            <w:gridSpan w:val="3"/>
            <w:shd w:val="clear" w:color="auto" w:fill="auto"/>
          </w:tcPr>
          <w:p w14:paraId="4090EBB9" w14:textId="77777777" w:rsidR="00833634" w:rsidRDefault="00833634">
            <w:pPr>
              <w:rPr>
                <w:rFonts w:ascii="宋体"/>
                <w:vanish/>
              </w:rPr>
            </w:pPr>
          </w:p>
        </w:tc>
        <w:tc>
          <w:tcPr>
            <w:tcW w:w="0" w:type="auto"/>
            <w:gridSpan w:val="3"/>
            <w:shd w:val="clear" w:color="auto" w:fill="auto"/>
          </w:tcPr>
          <w:p w14:paraId="4090EBBA" w14:textId="77777777" w:rsidR="00833634" w:rsidRDefault="00833634">
            <w:pPr>
              <w:rPr>
                <w:rFonts w:ascii="宋体"/>
                <w:vanish/>
              </w:rPr>
            </w:pPr>
          </w:p>
        </w:tc>
        <w:tc>
          <w:tcPr>
            <w:tcW w:w="0" w:type="auto"/>
            <w:gridSpan w:val="3"/>
            <w:shd w:val="clear" w:color="auto" w:fill="auto"/>
          </w:tcPr>
          <w:p w14:paraId="4090EBBB" w14:textId="77777777" w:rsidR="00833634" w:rsidRDefault="00833634">
            <w:pPr>
              <w:rPr>
                <w:rFonts w:ascii="宋体"/>
                <w:vanish/>
              </w:rPr>
            </w:pPr>
          </w:p>
        </w:tc>
        <w:tc>
          <w:tcPr>
            <w:tcW w:w="0" w:type="auto"/>
            <w:gridSpan w:val="3"/>
            <w:shd w:val="clear" w:color="auto" w:fill="auto"/>
          </w:tcPr>
          <w:p w14:paraId="4090EBBC" w14:textId="77777777" w:rsidR="00833634" w:rsidRDefault="00833634">
            <w:pPr>
              <w:rPr>
                <w:rFonts w:ascii="宋体"/>
                <w:vanish/>
              </w:rPr>
            </w:pPr>
          </w:p>
        </w:tc>
        <w:tc>
          <w:tcPr>
            <w:tcW w:w="0" w:type="auto"/>
            <w:gridSpan w:val="3"/>
            <w:shd w:val="clear" w:color="auto" w:fill="auto"/>
          </w:tcPr>
          <w:p w14:paraId="4090EBBD" w14:textId="77777777" w:rsidR="00833634" w:rsidRDefault="00833634">
            <w:pPr>
              <w:rPr>
                <w:rFonts w:ascii="宋体"/>
                <w:vanish/>
              </w:rPr>
            </w:pPr>
          </w:p>
        </w:tc>
      </w:tr>
      <w:tr w:rsidR="00833634" w14:paraId="4090EBCA" w14:textId="77777777">
        <w:trPr>
          <w:jc w:val="center"/>
        </w:trPr>
        <w:tc>
          <w:tcPr>
            <w:tcW w:w="0" w:type="auto"/>
            <w:gridSpan w:val="3"/>
            <w:shd w:val="clear" w:color="auto" w:fill="FFFFFF"/>
            <w:tcMar>
              <w:top w:w="40" w:type="dxa"/>
              <w:left w:w="360" w:type="dxa"/>
              <w:bottom w:w="40" w:type="dxa"/>
              <w:right w:w="20" w:type="dxa"/>
            </w:tcMar>
            <w:vAlign w:val="bottom"/>
          </w:tcPr>
          <w:p w14:paraId="4090EBBF" w14:textId="77777777" w:rsidR="00833634" w:rsidRDefault="00E15D51">
            <w:pPr>
              <w:textAlignment w:val="bottom"/>
            </w:pPr>
            <w:r>
              <w:rPr>
                <w:rFonts w:ascii="Arial" w:eastAsia="宋体" w:hAnsi="Arial" w:cs="Arial"/>
                <w:color w:val="000000"/>
                <w:sz w:val="20"/>
                <w:szCs w:val="20"/>
              </w:rPr>
              <w:t>Costs and expenses</w:t>
            </w:r>
          </w:p>
        </w:tc>
        <w:tc>
          <w:tcPr>
            <w:tcW w:w="0" w:type="auto"/>
            <w:gridSpan w:val="2"/>
            <w:shd w:val="clear" w:color="auto" w:fill="FFFFFF"/>
            <w:tcMar>
              <w:top w:w="40" w:type="dxa"/>
              <w:left w:w="20" w:type="dxa"/>
              <w:bottom w:w="40" w:type="dxa"/>
              <w:right w:w="0" w:type="dxa"/>
            </w:tcMar>
            <w:vAlign w:val="bottom"/>
          </w:tcPr>
          <w:p w14:paraId="4090EBC0" w14:textId="77777777" w:rsidR="00833634" w:rsidRDefault="00E15D51">
            <w:pPr>
              <w:jc w:val="right"/>
              <w:textAlignment w:val="bottom"/>
            </w:pPr>
            <w:r>
              <w:rPr>
                <w:rFonts w:ascii="Arial" w:eastAsia="宋体" w:hAnsi="Arial" w:cs="Arial"/>
                <w:b/>
                <w:bCs/>
                <w:color w:val="000000"/>
                <w:sz w:val="20"/>
                <w:szCs w:val="20"/>
              </w:rPr>
              <w:t>(6)</w:t>
            </w:r>
          </w:p>
        </w:tc>
        <w:tc>
          <w:tcPr>
            <w:tcW w:w="0" w:type="auto"/>
            <w:shd w:val="clear" w:color="auto" w:fill="FFFFFF"/>
            <w:tcMar>
              <w:top w:w="40" w:type="dxa"/>
              <w:left w:w="0" w:type="dxa"/>
              <w:bottom w:w="40" w:type="dxa"/>
              <w:right w:w="20" w:type="dxa"/>
            </w:tcMar>
            <w:vAlign w:val="bottom"/>
          </w:tcPr>
          <w:p w14:paraId="4090EBC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BC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BC3" w14:textId="77777777" w:rsidR="00833634" w:rsidRDefault="00E15D51">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4090EBC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BC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BC6" w14:textId="77777777" w:rsidR="00833634" w:rsidRDefault="00E15D51">
            <w:pPr>
              <w:jc w:val="right"/>
              <w:textAlignment w:val="bottom"/>
            </w:pPr>
            <w:r>
              <w:rPr>
                <w:rFonts w:ascii="Arial" w:eastAsia="宋体" w:hAnsi="Arial" w:cs="Arial"/>
                <w:b/>
                <w:bCs/>
                <w:color w:val="000000"/>
                <w:sz w:val="20"/>
                <w:szCs w:val="20"/>
              </w:rPr>
              <w:t>(3)</w:t>
            </w:r>
          </w:p>
        </w:tc>
        <w:tc>
          <w:tcPr>
            <w:tcW w:w="0" w:type="auto"/>
            <w:shd w:val="clear" w:color="auto" w:fill="FFFFFF"/>
            <w:tcMar>
              <w:top w:w="40" w:type="dxa"/>
              <w:left w:w="0" w:type="dxa"/>
              <w:bottom w:w="40" w:type="dxa"/>
              <w:right w:w="20" w:type="dxa"/>
            </w:tcMar>
            <w:vAlign w:val="bottom"/>
          </w:tcPr>
          <w:p w14:paraId="4090EBC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BC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BC9" w14:textId="77777777" w:rsidR="00833634" w:rsidRDefault="00833634">
            <w:pPr>
              <w:rPr>
                <w:rFonts w:ascii="宋体"/>
              </w:rPr>
            </w:pPr>
          </w:p>
        </w:tc>
      </w:tr>
      <w:tr w:rsidR="00833634" w14:paraId="4090EBD6" w14:textId="77777777">
        <w:trPr>
          <w:jc w:val="center"/>
        </w:trPr>
        <w:tc>
          <w:tcPr>
            <w:tcW w:w="0" w:type="auto"/>
            <w:gridSpan w:val="3"/>
            <w:tcBorders>
              <w:bottom w:val="single" w:sz="8" w:space="0" w:color="000000"/>
            </w:tcBorders>
            <w:shd w:val="clear" w:color="auto" w:fill="CCEEFF"/>
            <w:tcMar>
              <w:top w:w="40" w:type="dxa"/>
              <w:left w:w="360" w:type="dxa"/>
              <w:bottom w:w="40" w:type="dxa"/>
              <w:right w:w="20" w:type="dxa"/>
            </w:tcMar>
            <w:vAlign w:val="bottom"/>
          </w:tcPr>
          <w:p w14:paraId="4090EBCB" w14:textId="77777777" w:rsidR="00833634" w:rsidRDefault="00E15D51">
            <w:pPr>
              <w:textAlignment w:val="bottom"/>
            </w:pPr>
            <w:r>
              <w:rPr>
                <w:rFonts w:ascii="Arial" w:eastAsia="宋体" w:hAnsi="Arial" w:cs="Arial"/>
                <w:color w:val="000000"/>
                <w:sz w:val="20"/>
                <w:szCs w:val="20"/>
              </w:rPr>
              <w:t>G</w:t>
            </w:r>
            <w:r>
              <w:rPr>
                <w:rFonts w:ascii="Arial" w:eastAsia="宋体" w:hAnsi="Arial" w:cs="Arial"/>
                <w:color w:val="000000"/>
                <w:sz w:val="20"/>
                <w:szCs w:val="20"/>
              </w:rPr>
              <w:t>eneral and administrative expense</w:t>
            </w: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EBCC" w14:textId="77777777" w:rsidR="00833634" w:rsidRDefault="00E15D51">
            <w:pPr>
              <w:jc w:val="right"/>
              <w:textAlignment w:val="bottom"/>
            </w:pPr>
            <w:r>
              <w:rPr>
                <w:rFonts w:ascii="Arial" w:eastAsia="宋体" w:hAnsi="Arial" w:cs="Arial"/>
                <w:b/>
                <w:bCs/>
                <w:color w:val="000000"/>
                <w:sz w:val="20"/>
                <w:szCs w:val="20"/>
              </w:rPr>
              <w:t>(1)</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EBCD"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EBCE"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EBCF" w14:textId="77777777" w:rsidR="00833634" w:rsidRDefault="00E15D51">
            <w:pPr>
              <w:jc w:val="right"/>
              <w:textAlignment w:val="bottom"/>
            </w:pPr>
            <w:r>
              <w:rPr>
                <w:rFonts w:ascii="Arial" w:eastAsia="宋体" w:hAnsi="Arial" w:cs="Arial"/>
                <w:color w:val="000000"/>
                <w:sz w:val="20"/>
                <w:szCs w:val="20"/>
              </w:rPr>
              <w:t>1 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EBD0"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EBD1" w14:textId="77777777" w:rsidR="00833634" w:rsidRDefault="00833634">
            <w:pPr>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EBD2" w14:textId="77777777" w:rsidR="00833634" w:rsidRDefault="00833634">
            <w:pPr>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EBD3"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EBD4" w14:textId="77777777" w:rsidR="00833634" w:rsidRDefault="00E15D51">
            <w:pPr>
              <w:jc w:val="right"/>
              <w:textAlignment w:val="bottom"/>
            </w:pPr>
            <w:r>
              <w:rPr>
                <w:rFonts w:ascii="Arial" w:eastAsia="宋体" w:hAnsi="Arial" w:cs="Arial"/>
                <w:color w:val="000000"/>
                <w:sz w:val="20"/>
                <w:szCs w:val="20"/>
              </w:rPr>
              <w:t>1 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EBD5" w14:textId="77777777" w:rsidR="00833634" w:rsidRDefault="00833634">
            <w:pPr>
              <w:jc w:val="right"/>
              <w:rPr>
                <w:rFonts w:ascii="宋体"/>
              </w:rPr>
            </w:pPr>
          </w:p>
        </w:tc>
      </w:tr>
    </w:tbl>
    <w:p w14:paraId="4090EBD7" w14:textId="77777777" w:rsidR="00833634" w:rsidRDefault="00E15D51">
      <w:pPr>
        <w:spacing w:after="180"/>
        <w:jc w:val="both"/>
      </w:pPr>
      <w:r>
        <w:rPr>
          <w:rFonts w:ascii="Arial" w:eastAsia="宋体" w:hAnsi="Arial" w:cs="Arial"/>
          <w:color w:val="000000"/>
          <w:sz w:val="20"/>
          <w:szCs w:val="20"/>
        </w:rPr>
        <w:t>Gains/(losses) related to undesignated derivatives on foreign exchange and commodity cash flow hedging transactions recognized in Other income, net were gains of $11 and $5 for the nine and three months ended</w:t>
      </w:r>
      <w:r>
        <w:rPr>
          <w:rFonts w:ascii="Arial" w:eastAsia="宋体" w:hAnsi="Arial" w:cs="Arial"/>
          <w:color w:val="000000"/>
          <w:sz w:val="20"/>
          <w:szCs w:val="20"/>
        </w:rPr>
        <w:t xml:space="preserve"> September 30, 2020 and gains of $1 and losses of $1 for the nine and three months ended September 30, 2019.</w:t>
      </w:r>
    </w:p>
    <w:p w14:paraId="4090EBD8" w14:textId="77777777" w:rsidR="00833634" w:rsidRDefault="00E15D51">
      <w:pPr>
        <w:spacing w:after="180"/>
        <w:jc w:val="both"/>
      </w:pPr>
      <w:r>
        <w:rPr>
          <w:rFonts w:ascii="Arial" w:eastAsia="宋体" w:hAnsi="Arial" w:cs="Arial"/>
          <w:color w:val="000000"/>
          <w:sz w:val="20"/>
          <w:szCs w:val="20"/>
        </w:rPr>
        <w:t>Based on our portfolio of cash flow hedges, we expect to reclassify losses of $21 (pre-tax) out of Accumulated other comprehensive loss into earnin</w:t>
      </w:r>
      <w:r>
        <w:rPr>
          <w:rFonts w:ascii="Arial" w:eastAsia="宋体" w:hAnsi="Arial" w:cs="Arial"/>
          <w:color w:val="000000"/>
          <w:sz w:val="20"/>
          <w:szCs w:val="20"/>
        </w:rPr>
        <w:t xml:space="preserve">gs during the next 12 months. </w:t>
      </w:r>
    </w:p>
    <w:p w14:paraId="4090EBD9" w14:textId="77777777" w:rsidR="00833634" w:rsidRDefault="00E15D51">
      <w:pPr>
        <w:spacing w:after="300"/>
        <w:jc w:val="both"/>
      </w:pPr>
      <w:r>
        <w:rPr>
          <w:rFonts w:ascii="Arial" w:eastAsia="宋体" w:hAnsi="Arial" w:cs="Arial"/>
          <w:color w:val="000000"/>
          <w:sz w:val="20"/>
          <w:szCs w:val="20"/>
        </w:rPr>
        <w:t>We have derivative instruments with credit-risk-related contingent features. For foreign exchange and commodity contracts with original maturities of at least five years, our derivative counterparties could require settlement</w:t>
      </w:r>
      <w:r>
        <w:rPr>
          <w:rFonts w:ascii="Arial" w:eastAsia="宋体" w:hAnsi="Arial" w:cs="Arial"/>
          <w:color w:val="000000"/>
          <w:sz w:val="20"/>
          <w:szCs w:val="20"/>
        </w:rPr>
        <w:t xml:space="preserve"> if we default on our five-year credit facility. For certain commodity contracts, our counterparties could require collateral posted in an amount determined by our credit ratings. The fair value of foreign exchange and commodity contracts that have credit-</w:t>
      </w:r>
      <w:r>
        <w:rPr>
          <w:rFonts w:ascii="Arial" w:eastAsia="宋体" w:hAnsi="Arial" w:cs="Arial"/>
          <w:color w:val="000000"/>
          <w:sz w:val="20"/>
          <w:szCs w:val="20"/>
        </w:rPr>
        <w:t>risk-related contingent features that are in a net liability position at September 30, 2020 was $26. At September 30, 2020, there was no collateral posted related to our derivatives.</w:t>
      </w:r>
    </w:p>
    <w:p w14:paraId="4090EBDA" w14:textId="77777777" w:rsidR="00833634" w:rsidRDefault="00E15D51">
      <w:pPr>
        <w:spacing w:after="180"/>
        <w:jc w:val="center"/>
      </w:pPr>
      <w:r>
        <w:rPr>
          <w:rFonts w:ascii="Arial" w:eastAsia="宋体" w:hAnsi="Arial" w:cs="Arial"/>
          <w:color w:val="000000"/>
          <w:sz w:val="18"/>
          <w:szCs w:val="18"/>
        </w:rPr>
        <w:t>28</w:t>
      </w:r>
    </w:p>
    <w:p w14:paraId="4090EBDB" w14:textId="77777777" w:rsidR="00833634" w:rsidRDefault="00E15D51">
      <w:r>
        <w:pict w14:anchorId="4090FE3C">
          <v:rect id="_x0000_i1054" style="width:415.3pt;height:1.5pt" o:hralign="center" o:hrstd="t" o:hr="t" fillcolor="#a0a0a0" stroked="f"/>
        </w:pict>
      </w:r>
    </w:p>
    <w:p w14:paraId="4090EBDC" w14:textId="77777777" w:rsidR="00833634" w:rsidRDefault="00E15D51">
      <w:pPr>
        <w:spacing w:after="180"/>
        <w:jc w:val="both"/>
      </w:pPr>
      <w:hyperlink r:id="rId131" w:anchor="i8d805bfb1e1c4815a1dcd5b6d1e0b117_10" w:history="1">
        <w:r>
          <w:rPr>
            <w:rStyle w:val="a5"/>
            <w:rFonts w:ascii="Arial" w:eastAsia="宋体" w:hAnsi="Arial" w:cs="Arial"/>
            <w:sz w:val="18"/>
            <w:szCs w:val="18"/>
          </w:rPr>
          <w:t>Table of Contents</w:t>
        </w:r>
      </w:hyperlink>
    </w:p>
    <w:p w14:paraId="4090EBDD" w14:textId="77777777" w:rsidR="00833634" w:rsidRDefault="00E15D51">
      <w:pPr>
        <w:spacing w:before="300" w:after="180"/>
        <w:jc w:val="both"/>
      </w:pPr>
      <w:r>
        <w:rPr>
          <w:rFonts w:ascii="Arial" w:eastAsia="宋体" w:hAnsi="Arial" w:cs="Arial"/>
          <w:b/>
          <w:bCs/>
          <w:color w:val="000000"/>
          <w:sz w:val="20"/>
          <w:szCs w:val="20"/>
        </w:rPr>
        <w:t>Note 17 – Fair Value Measurements</w:t>
      </w:r>
    </w:p>
    <w:p w14:paraId="4090EBDE" w14:textId="77777777" w:rsidR="00833634" w:rsidRDefault="00E15D51">
      <w:pPr>
        <w:spacing w:after="180"/>
        <w:jc w:val="both"/>
      </w:pPr>
      <w:r>
        <w:rPr>
          <w:rFonts w:ascii="Arial" w:eastAsia="宋体" w:hAnsi="Arial" w:cs="Arial"/>
          <w:color w:val="000000"/>
          <w:sz w:val="20"/>
          <w:szCs w:val="20"/>
        </w:rPr>
        <w:t xml:space="preserve">The fair value hierarchy has three levels based on </w:t>
      </w:r>
      <w:r>
        <w:rPr>
          <w:rFonts w:ascii="Arial" w:eastAsia="宋体" w:hAnsi="Arial" w:cs="Arial"/>
          <w:color w:val="000000"/>
          <w:sz w:val="20"/>
          <w:szCs w:val="20"/>
        </w:rPr>
        <w:t xml:space="preserve">the reliability of the inputs used to determine fair value. Level 1 refers to fair values determined based on quoted prices in active markets for identical assets. Level 2 refers to fair values estimated using significant other observable inputs and Level </w:t>
      </w:r>
      <w:r>
        <w:rPr>
          <w:rFonts w:ascii="Arial" w:eastAsia="宋体" w:hAnsi="Arial" w:cs="Arial"/>
          <w:color w:val="000000"/>
          <w:sz w:val="20"/>
          <w:szCs w:val="20"/>
        </w:rPr>
        <w:t>3 includes fair values estimated using significant unobservable inputs. The following table presents our assets and liabilities that are measured at fair value on a recurring basis and are categorized using the fair value hierarchy.</w:t>
      </w:r>
    </w:p>
    <w:tbl>
      <w:tblPr>
        <w:tblW w:w="5000" w:type="pct"/>
        <w:tblCellMar>
          <w:top w:w="15" w:type="dxa"/>
          <w:left w:w="15" w:type="dxa"/>
          <w:bottom w:w="15" w:type="dxa"/>
          <w:right w:w="15" w:type="dxa"/>
        </w:tblCellMar>
        <w:tblLook w:val="04A0" w:firstRow="1" w:lastRow="0" w:firstColumn="1" w:lastColumn="0" w:noHBand="0" w:noVBand="1"/>
      </w:tblPr>
      <w:tblGrid>
        <w:gridCol w:w="38"/>
        <w:gridCol w:w="2297"/>
        <w:gridCol w:w="37"/>
        <w:gridCol w:w="80"/>
        <w:gridCol w:w="608"/>
        <w:gridCol w:w="37"/>
        <w:gridCol w:w="37"/>
        <w:gridCol w:w="37"/>
        <w:gridCol w:w="37"/>
        <w:gridCol w:w="82"/>
        <w:gridCol w:w="629"/>
        <w:gridCol w:w="37"/>
        <w:gridCol w:w="36"/>
        <w:gridCol w:w="36"/>
        <w:gridCol w:w="36"/>
        <w:gridCol w:w="82"/>
        <w:gridCol w:w="629"/>
        <w:gridCol w:w="36"/>
        <w:gridCol w:w="36"/>
        <w:gridCol w:w="36"/>
        <w:gridCol w:w="36"/>
        <w:gridCol w:w="36"/>
        <w:gridCol w:w="787"/>
        <w:gridCol w:w="80"/>
        <w:gridCol w:w="608"/>
        <w:gridCol w:w="36"/>
        <w:gridCol w:w="36"/>
        <w:gridCol w:w="36"/>
        <w:gridCol w:w="36"/>
        <w:gridCol w:w="80"/>
        <w:gridCol w:w="608"/>
        <w:gridCol w:w="36"/>
        <w:gridCol w:w="36"/>
        <w:gridCol w:w="36"/>
        <w:gridCol w:w="36"/>
        <w:gridCol w:w="78"/>
        <w:gridCol w:w="600"/>
        <w:gridCol w:w="36"/>
        <w:gridCol w:w="36"/>
        <w:gridCol w:w="36"/>
        <w:gridCol w:w="36"/>
        <w:gridCol w:w="36"/>
        <w:gridCol w:w="36"/>
        <w:gridCol w:w="36"/>
      </w:tblGrid>
      <w:tr w:rsidR="00833634" w14:paraId="4090EC07" w14:textId="77777777">
        <w:tc>
          <w:tcPr>
            <w:tcW w:w="50" w:type="pct"/>
            <w:shd w:val="clear" w:color="auto" w:fill="auto"/>
          </w:tcPr>
          <w:p w14:paraId="4090EBDF" w14:textId="77777777" w:rsidR="00833634" w:rsidRDefault="00833634">
            <w:pPr>
              <w:rPr>
                <w:rFonts w:ascii="宋体"/>
              </w:rPr>
            </w:pPr>
          </w:p>
        </w:tc>
        <w:tc>
          <w:tcPr>
            <w:tcW w:w="2100" w:type="pct"/>
            <w:shd w:val="clear" w:color="auto" w:fill="auto"/>
          </w:tcPr>
          <w:p w14:paraId="4090EBE0" w14:textId="77777777" w:rsidR="00833634" w:rsidRDefault="00833634">
            <w:pPr>
              <w:rPr>
                <w:rFonts w:ascii="宋体"/>
              </w:rPr>
            </w:pPr>
          </w:p>
        </w:tc>
        <w:tc>
          <w:tcPr>
            <w:tcW w:w="5" w:type="pct"/>
            <w:shd w:val="clear" w:color="auto" w:fill="auto"/>
          </w:tcPr>
          <w:p w14:paraId="4090EBE1" w14:textId="77777777" w:rsidR="00833634" w:rsidRDefault="00833634">
            <w:pPr>
              <w:rPr>
                <w:rFonts w:ascii="宋体"/>
              </w:rPr>
            </w:pPr>
          </w:p>
        </w:tc>
        <w:tc>
          <w:tcPr>
            <w:tcW w:w="50" w:type="pct"/>
            <w:shd w:val="clear" w:color="auto" w:fill="auto"/>
          </w:tcPr>
          <w:p w14:paraId="4090EBE2" w14:textId="77777777" w:rsidR="00833634" w:rsidRDefault="00833634">
            <w:pPr>
              <w:rPr>
                <w:rFonts w:ascii="宋体"/>
              </w:rPr>
            </w:pPr>
          </w:p>
        </w:tc>
        <w:tc>
          <w:tcPr>
            <w:tcW w:w="385" w:type="pct"/>
            <w:shd w:val="clear" w:color="auto" w:fill="auto"/>
          </w:tcPr>
          <w:p w14:paraId="4090EBE3" w14:textId="77777777" w:rsidR="00833634" w:rsidRDefault="00833634">
            <w:pPr>
              <w:rPr>
                <w:rFonts w:ascii="宋体"/>
              </w:rPr>
            </w:pPr>
          </w:p>
        </w:tc>
        <w:tc>
          <w:tcPr>
            <w:tcW w:w="5" w:type="pct"/>
            <w:shd w:val="clear" w:color="auto" w:fill="auto"/>
          </w:tcPr>
          <w:p w14:paraId="4090EBE4" w14:textId="77777777" w:rsidR="00833634" w:rsidRDefault="00833634">
            <w:pPr>
              <w:rPr>
                <w:rFonts w:ascii="宋体"/>
              </w:rPr>
            </w:pPr>
          </w:p>
        </w:tc>
        <w:tc>
          <w:tcPr>
            <w:tcW w:w="5" w:type="pct"/>
            <w:shd w:val="clear" w:color="auto" w:fill="auto"/>
          </w:tcPr>
          <w:p w14:paraId="4090EBE5" w14:textId="77777777" w:rsidR="00833634" w:rsidRDefault="00833634">
            <w:pPr>
              <w:rPr>
                <w:rFonts w:ascii="宋体"/>
              </w:rPr>
            </w:pPr>
          </w:p>
        </w:tc>
        <w:tc>
          <w:tcPr>
            <w:tcW w:w="30" w:type="pct"/>
            <w:shd w:val="clear" w:color="auto" w:fill="auto"/>
          </w:tcPr>
          <w:p w14:paraId="4090EBE6" w14:textId="77777777" w:rsidR="00833634" w:rsidRDefault="00833634">
            <w:pPr>
              <w:rPr>
                <w:rFonts w:ascii="宋体"/>
              </w:rPr>
            </w:pPr>
          </w:p>
        </w:tc>
        <w:tc>
          <w:tcPr>
            <w:tcW w:w="5" w:type="pct"/>
            <w:shd w:val="clear" w:color="auto" w:fill="auto"/>
          </w:tcPr>
          <w:p w14:paraId="4090EBE7" w14:textId="77777777" w:rsidR="00833634" w:rsidRDefault="00833634">
            <w:pPr>
              <w:rPr>
                <w:rFonts w:ascii="宋体"/>
              </w:rPr>
            </w:pPr>
          </w:p>
        </w:tc>
        <w:tc>
          <w:tcPr>
            <w:tcW w:w="50" w:type="pct"/>
            <w:shd w:val="clear" w:color="auto" w:fill="auto"/>
          </w:tcPr>
          <w:p w14:paraId="4090EBE8" w14:textId="77777777" w:rsidR="00833634" w:rsidRDefault="00833634">
            <w:pPr>
              <w:rPr>
                <w:rFonts w:ascii="宋体"/>
              </w:rPr>
            </w:pPr>
          </w:p>
        </w:tc>
        <w:tc>
          <w:tcPr>
            <w:tcW w:w="385" w:type="pct"/>
            <w:shd w:val="clear" w:color="auto" w:fill="auto"/>
          </w:tcPr>
          <w:p w14:paraId="4090EBE9" w14:textId="77777777" w:rsidR="00833634" w:rsidRDefault="00833634">
            <w:pPr>
              <w:rPr>
                <w:rFonts w:ascii="宋体"/>
              </w:rPr>
            </w:pPr>
          </w:p>
        </w:tc>
        <w:tc>
          <w:tcPr>
            <w:tcW w:w="5" w:type="pct"/>
            <w:shd w:val="clear" w:color="auto" w:fill="auto"/>
          </w:tcPr>
          <w:p w14:paraId="4090EBEA" w14:textId="77777777" w:rsidR="00833634" w:rsidRDefault="00833634">
            <w:pPr>
              <w:rPr>
                <w:rFonts w:ascii="宋体"/>
              </w:rPr>
            </w:pPr>
          </w:p>
        </w:tc>
        <w:tc>
          <w:tcPr>
            <w:tcW w:w="5" w:type="pct"/>
            <w:shd w:val="clear" w:color="auto" w:fill="auto"/>
          </w:tcPr>
          <w:p w14:paraId="4090EBEB" w14:textId="77777777" w:rsidR="00833634" w:rsidRDefault="00833634">
            <w:pPr>
              <w:rPr>
                <w:rFonts w:ascii="宋体"/>
              </w:rPr>
            </w:pPr>
          </w:p>
        </w:tc>
        <w:tc>
          <w:tcPr>
            <w:tcW w:w="30" w:type="pct"/>
            <w:shd w:val="clear" w:color="auto" w:fill="auto"/>
          </w:tcPr>
          <w:p w14:paraId="4090EBEC" w14:textId="77777777" w:rsidR="00833634" w:rsidRDefault="00833634">
            <w:pPr>
              <w:rPr>
                <w:rFonts w:ascii="宋体"/>
              </w:rPr>
            </w:pPr>
          </w:p>
        </w:tc>
        <w:tc>
          <w:tcPr>
            <w:tcW w:w="5" w:type="pct"/>
            <w:shd w:val="clear" w:color="auto" w:fill="auto"/>
          </w:tcPr>
          <w:p w14:paraId="4090EBED" w14:textId="77777777" w:rsidR="00833634" w:rsidRDefault="00833634">
            <w:pPr>
              <w:rPr>
                <w:rFonts w:ascii="宋体"/>
              </w:rPr>
            </w:pPr>
          </w:p>
        </w:tc>
        <w:tc>
          <w:tcPr>
            <w:tcW w:w="50" w:type="pct"/>
            <w:shd w:val="clear" w:color="auto" w:fill="auto"/>
          </w:tcPr>
          <w:p w14:paraId="4090EBEE" w14:textId="77777777" w:rsidR="00833634" w:rsidRDefault="00833634">
            <w:pPr>
              <w:rPr>
                <w:rFonts w:ascii="宋体"/>
              </w:rPr>
            </w:pPr>
          </w:p>
        </w:tc>
        <w:tc>
          <w:tcPr>
            <w:tcW w:w="385" w:type="pct"/>
            <w:shd w:val="clear" w:color="auto" w:fill="auto"/>
          </w:tcPr>
          <w:p w14:paraId="4090EBEF" w14:textId="77777777" w:rsidR="00833634" w:rsidRDefault="00833634">
            <w:pPr>
              <w:rPr>
                <w:rFonts w:ascii="宋体"/>
              </w:rPr>
            </w:pPr>
          </w:p>
        </w:tc>
        <w:tc>
          <w:tcPr>
            <w:tcW w:w="5" w:type="pct"/>
            <w:shd w:val="clear" w:color="auto" w:fill="auto"/>
          </w:tcPr>
          <w:p w14:paraId="4090EBF0" w14:textId="77777777" w:rsidR="00833634" w:rsidRDefault="00833634">
            <w:pPr>
              <w:rPr>
                <w:rFonts w:ascii="宋体"/>
              </w:rPr>
            </w:pPr>
          </w:p>
        </w:tc>
        <w:tc>
          <w:tcPr>
            <w:tcW w:w="5" w:type="pct"/>
            <w:shd w:val="clear" w:color="auto" w:fill="auto"/>
          </w:tcPr>
          <w:p w14:paraId="4090EBF1" w14:textId="77777777" w:rsidR="00833634" w:rsidRDefault="00833634">
            <w:pPr>
              <w:rPr>
                <w:rFonts w:ascii="宋体"/>
              </w:rPr>
            </w:pPr>
          </w:p>
        </w:tc>
        <w:tc>
          <w:tcPr>
            <w:tcW w:w="30" w:type="pct"/>
            <w:shd w:val="clear" w:color="auto" w:fill="auto"/>
          </w:tcPr>
          <w:p w14:paraId="4090EBF2" w14:textId="77777777" w:rsidR="00833634" w:rsidRDefault="00833634">
            <w:pPr>
              <w:rPr>
                <w:rFonts w:ascii="宋体"/>
              </w:rPr>
            </w:pPr>
          </w:p>
        </w:tc>
        <w:tc>
          <w:tcPr>
            <w:tcW w:w="5" w:type="pct"/>
            <w:shd w:val="clear" w:color="auto" w:fill="auto"/>
          </w:tcPr>
          <w:p w14:paraId="4090EBF3" w14:textId="77777777" w:rsidR="00833634" w:rsidRDefault="00833634">
            <w:pPr>
              <w:rPr>
                <w:rFonts w:ascii="宋体"/>
              </w:rPr>
            </w:pPr>
          </w:p>
        </w:tc>
        <w:tc>
          <w:tcPr>
            <w:tcW w:w="0" w:type="auto"/>
            <w:shd w:val="clear" w:color="auto" w:fill="auto"/>
          </w:tcPr>
          <w:p w14:paraId="4090EBF4" w14:textId="77777777" w:rsidR="00833634" w:rsidRDefault="00833634">
            <w:pPr>
              <w:rPr>
                <w:rFonts w:ascii="宋体"/>
                <w:vanish/>
              </w:rPr>
            </w:pPr>
          </w:p>
        </w:tc>
        <w:tc>
          <w:tcPr>
            <w:tcW w:w="0" w:type="auto"/>
            <w:shd w:val="clear" w:color="auto" w:fill="auto"/>
          </w:tcPr>
          <w:p w14:paraId="4090EBF5" w14:textId="77777777" w:rsidR="00833634" w:rsidRDefault="00833634">
            <w:pPr>
              <w:rPr>
                <w:rFonts w:ascii="宋体"/>
                <w:vanish/>
              </w:rPr>
            </w:pPr>
          </w:p>
        </w:tc>
        <w:tc>
          <w:tcPr>
            <w:tcW w:w="50" w:type="pct"/>
            <w:shd w:val="clear" w:color="auto" w:fill="auto"/>
          </w:tcPr>
          <w:p w14:paraId="4090EBF6" w14:textId="77777777" w:rsidR="00833634" w:rsidRDefault="00833634">
            <w:pPr>
              <w:rPr>
                <w:rFonts w:ascii="宋体"/>
              </w:rPr>
            </w:pPr>
          </w:p>
        </w:tc>
        <w:tc>
          <w:tcPr>
            <w:tcW w:w="385" w:type="pct"/>
            <w:shd w:val="clear" w:color="auto" w:fill="auto"/>
          </w:tcPr>
          <w:p w14:paraId="4090EBF7" w14:textId="77777777" w:rsidR="00833634" w:rsidRDefault="00833634">
            <w:pPr>
              <w:rPr>
                <w:rFonts w:ascii="宋体"/>
              </w:rPr>
            </w:pPr>
          </w:p>
        </w:tc>
        <w:tc>
          <w:tcPr>
            <w:tcW w:w="5" w:type="pct"/>
            <w:shd w:val="clear" w:color="auto" w:fill="auto"/>
          </w:tcPr>
          <w:p w14:paraId="4090EBF8" w14:textId="77777777" w:rsidR="00833634" w:rsidRDefault="00833634">
            <w:pPr>
              <w:rPr>
                <w:rFonts w:ascii="宋体"/>
              </w:rPr>
            </w:pPr>
          </w:p>
        </w:tc>
        <w:tc>
          <w:tcPr>
            <w:tcW w:w="5" w:type="pct"/>
            <w:shd w:val="clear" w:color="auto" w:fill="auto"/>
          </w:tcPr>
          <w:p w14:paraId="4090EBF9" w14:textId="77777777" w:rsidR="00833634" w:rsidRDefault="00833634">
            <w:pPr>
              <w:rPr>
                <w:rFonts w:ascii="宋体"/>
              </w:rPr>
            </w:pPr>
          </w:p>
        </w:tc>
        <w:tc>
          <w:tcPr>
            <w:tcW w:w="30" w:type="pct"/>
            <w:shd w:val="clear" w:color="auto" w:fill="auto"/>
          </w:tcPr>
          <w:p w14:paraId="4090EBFA" w14:textId="77777777" w:rsidR="00833634" w:rsidRDefault="00833634">
            <w:pPr>
              <w:rPr>
                <w:rFonts w:ascii="宋体"/>
              </w:rPr>
            </w:pPr>
          </w:p>
        </w:tc>
        <w:tc>
          <w:tcPr>
            <w:tcW w:w="5" w:type="pct"/>
            <w:shd w:val="clear" w:color="auto" w:fill="auto"/>
          </w:tcPr>
          <w:p w14:paraId="4090EBFB" w14:textId="77777777" w:rsidR="00833634" w:rsidRDefault="00833634">
            <w:pPr>
              <w:rPr>
                <w:rFonts w:ascii="宋体"/>
              </w:rPr>
            </w:pPr>
          </w:p>
        </w:tc>
        <w:tc>
          <w:tcPr>
            <w:tcW w:w="50" w:type="pct"/>
            <w:shd w:val="clear" w:color="auto" w:fill="auto"/>
          </w:tcPr>
          <w:p w14:paraId="4090EBFC" w14:textId="77777777" w:rsidR="00833634" w:rsidRDefault="00833634">
            <w:pPr>
              <w:rPr>
                <w:rFonts w:ascii="宋体"/>
              </w:rPr>
            </w:pPr>
          </w:p>
        </w:tc>
        <w:tc>
          <w:tcPr>
            <w:tcW w:w="385" w:type="pct"/>
            <w:shd w:val="clear" w:color="auto" w:fill="auto"/>
          </w:tcPr>
          <w:p w14:paraId="4090EBFD" w14:textId="77777777" w:rsidR="00833634" w:rsidRDefault="00833634">
            <w:pPr>
              <w:rPr>
                <w:rFonts w:ascii="宋体"/>
              </w:rPr>
            </w:pPr>
          </w:p>
        </w:tc>
        <w:tc>
          <w:tcPr>
            <w:tcW w:w="5" w:type="pct"/>
            <w:shd w:val="clear" w:color="auto" w:fill="auto"/>
          </w:tcPr>
          <w:p w14:paraId="4090EBFE" w14:textId="77777777" w:rsidR="00833634" w:rsidRDefault="00833634">
            <w:pPr>
              <w:rPr>
                <w:rFonts w:ascii="宋体"/>
              </w:rPr>
            </w:pPr>
          </w:p>
        </w:tc>
        <w:tc>
          <w:tcPr>
            <w:tcW w:w="5" w:type="pct"/>
            <w:shd w:val="clear" w:color="auto" w:fill="auto"/>
          </w:tcPr>
          <w:p w14:paraId="4090EBFF" w14:textId="77777777" w:rsidR="00833634" w:rsidRDefault="00833634">
            <w:pPr>
              <w:rPr>
                <w:rFonts w:ascii="宋体"/>
              </w:rPr>
            </w:pPr>
          </w:p>
        </w:tc>
        <w:tc>
          <w:tcPr>
            <w:tcW w:w="30" w:type="pct"/>
            <w:shd w:val="clear" w:color="auto" w:fill="auto"/>
          </w:tcPr>
          <w:p w14:paraId="4090EC00" w14:textId="77777777" w:rsidR="00833634" w:rsidRDefault="00833634">
            <w:pPr>
              <w:rPr>
                <w:rFonts w:ascii="宋体"/>
              </w:rPr>
            </w:pPr>
          </w:p>
        </w:tc>
        <w:tc>
          <w:tcPr>
            <w:tcW w:w="5" w:type="pct"/>
            <w:shd w:val="clear" w:color="auto" w:fill="auto"/>
          </w:tcPr>
          <w:p w14:paraId="4090EC01" w14:textId="77777777" w:rsidR="00833634" w:rsidRDefault="00833634">
            <w:pPr>
              <w:rPr>
                <w:rFonts w:ascii="宋体"/>
              </w:rPr>
            </w:pPr>
          </w:p>
        </w:tc>
        <w:tc>
          <w:tcPr>
            <w:tcW w:w="50" w:type="pct"/>
            <w:shd w:val="clear" w:color="auto" w:fill="auto"/>
          </w:tcPr>
          <w:p w14:paraId="4090EC02" w14:textId="77777777" w:rsidR="00833634" w:rsidRDefault="00833634">
            <w:pPr>
              <w:rPr>
                <w:rFonts w:ascii="宋体"/>
              </w:rPr>
            </w:pPr>
          </w:p>
        </w:tc>
        <w:tc>
          <w:tcPr>
            <w:tcW w:w="385" w:type="pct"/>
            <w:shd w:val="clear" w:color="auto" w:fill="auto"/>
          </w:tcPr>
          <w:p w14:paraId="4090EC03" w14:textId="77777777" w:rsidR="00833634" w:rsidRDefault="00833634">
            <w:pPr>
              <w:rPr>
                <w:rFonts w:ascii="宋体"/>
              </w:rPr>
            </w:pPr>
          </w:p>
        </w:tc>
        <w:tc>
          <w:tcPr>
            <w:tcW w:w="5" w:type="pct"/>
            <w:shd w:val="clear" w:color="auto" w:fill="auto"/>
          </w:tcPr>
          <w:p w14:paraId="4090EC04" w14:textId="77777777" w:rsidR="00833634" w:rsidRDefault="00833634">
            <w:pPr>
              <w:rPr>
                <w:rFonts w:ascii="宋体"/>
              </w:rPr>
            </w:pPr>
          </w:p>
        </w:tc>
        <w:tc>
          <w:tcPr>
            <w:tcW w:w="0" w:type="auto"/>
            <w:gridSpan w:val="3"/>
            <w:shd w:val="clear" w:color="auto" w:fill="auto"/>
          </w:tcPr>
          <w:p w14:paraId="4090EC05" w14:textId="77777777" w:rsidR="00833634" w:rsidRDefault="00833634">
            <w:pPr>
              <w:rPr>
                <w:rFonts w:ascii="宋体"/>
                <w:vanish/>
              </w:rPr>
            </w:pPr>
          </w:p>
        </w:tc>
        <w:tc>
          <w:tcPr>
            <w:tcW w:w="0" w:type="auto"/>
            <w:gridSpan w:val="3"/>
            <w:shd w:val="clear" w:color="auto" w:fill="auto"/>
          </w:tcPr>
          <w:p w14:paraId="4090EC06" w14:textId="77777777" w:rsidR="00833634" w:rsidRDefault="00833634">
            <w:pPr>
              <w:rPr>
                <w:rFonts w:ascii="宋体"/>
                <w:vanish/>
              </w:rPr>
            </w:pPr>
          </w:p>
        </w:tc>
      </w:tr>
      <w:tr w:rsidR="00833634" w14:paraId="4090EC15" w14:textId="77777777">
        <w:tc>
          <w:tcPr>
            <w:tcW w:w="0" w:type="auto"/>
            <w:gridSpan w:val="3"/>
            <w:shd w:val="clear" w:color="auto" w:fill="auto"/>
            <w:tcMar>
              <w:top w:w="0" w:type="dxa"/>
              <w:left w:w="20" w:type="dxa"/>
              <w:bottom w:w="0" w:type="dxa"/>
              <w:right w:w="20" w:type="dxa"/>
            </w:tcMar>
          </w:tcPr>
          <w:p w14:paraId="4090EC08" w14:textId="77777777" w:rsidR="00833634" w:rsidRDefault="00833634">
            <w:pPr>
              <w:rPr>
                <w:rFonts w:ascii="宋体"/>
              </w:rPr>
            </w:pPr>
          </w:p>
        </w:tc>
        <w:tc>
          <w:tcPr>
            <w:tcW w:w="0" w:type="auto"/>
            <w:gridSpan w:val="18"/>
            <w:shd w:val="clear" w:color="auto" w:fill="auto"/>
            <w:tcMar>
              <w:top w:w="40" w:type="dxa"/>
              <w:left w:w="20" w:type="dxa"/>
              <w:bottom w:w="40" w:type="dxa"/>
              <w:right w:w="20" w:type="dxa"/>
            </w:tcMar>
            <w:vAlign w:val="bottom"/>
          </w:tcPr>
          <w:p w14:paraId="4090EC09" w14:textId="77777777" w:rsidR="00833634" w:rsidRDefault="00E15D51">
            <w:pPr>
              <w:jc w:val="center"/>
              <w:textAlignment w:val="bottom"/>
            </w:pPr>
            <w:r>
              <w:rPr>
                <w:rFonts w:ascii="Arial" w:eastAsia="宋体" w:hAnsi="Arial" w:cs="Arial"/>
                <w:b/>
                <w:bCs/>
                <w:color w:val="000000"/>
                <w:sz w:val="20"/>
                <w:szCs w:val="20"/>
              </w:rPr>
              <w:t>September 30, 2020</w:t>
            </w:r>
          </w:p>
        </w:tc>
        <w:tc>
          <w:tcPr>
            <w:tcW w:w="0" w:type="auto"/>
            <w:shd w:val="clear" w:color="auto" w:fill="auto"/>
          </w:tcPr>
          <w:p w14:paraId="4090EC0A" w14:textId="77777777" w:rsidR="00833634" w:rsidRDefault="00833634">
            <w:pPr>
              <w:rPr>
                <w:rFonts w:ascii="宋体"/>
                <w:vanish/>
              </w:rPr>
            </w:pPr>
          </w:p>
        </w:tc>
        <w:tc>
          <w:tcPr>
            <w:tcW w:w="0" w:type="auto"/>
            <w:gridSpan w:val="13"/>
            <w:shd w:val="clear" w:color="auto" w:fill="auto"/>
            <w:tcMar>
              <w:top w:w="40" w:type="dxa"/>
              <w:left w:w="20" w:type="dxa"/>
              <w:bottom w:w="40" w:type="dxa"/>
              <w:right w:w="20" w:type="dxa"/>
            </w:tcMar>
            <w:vAlign w:val="bottom"/>
          </w:tcPr>
          <w:p w14:paraId="4090EC0B" w14:textId="77777777" w:rsidR="00833634" w:rsidRDefault="00E15D51">
            <w:pPr>
              <w:jc w:val="center"/>
              <w:textAlignment w:val="bottom"/>
            </w:pPr>
            <w:r>
              <w:rPr>
                <w:rFonts w:ascii="Arial" w:eastAsia="宋体" w:hAnsi="Arial" w:cs="Arial"/>
                <w:color w:val="000000"/>
                <w:sz w:val="20"/>
                <w:szCs w:val="20"/>
              </w:rPr>
              <w:t>December 31, 2019</w:t>
            </w:r>
          </w:p>
        </w:tc>
        <w:tc>
          <w:tcPr>
            <w:tcW w:w="0" w:type="auto"/>
            <w:shd w:val="clear" w:color="auto" w:fill="auto"/>
          </w:tcPr>
          <w:p w14:paraId="4090EC0C" w14:textId="77777777" w:rsidR="00833634" w:rsidRDefault="00833634">
            <w:pPr>
              <w:rPr>
                <w:rFonts w:ascii="宋体"/>
              </w:rPr>
            </w:pPr>
          </w:p>
        </w:tc>
        <w:tc>
          <w:tcPr>
            <w:tcW w:w="0" w:type="auto"/>
            <w:shd w:val="clear" w:color="auto" w:fill="auto"/>
          </w:tcPr>
          <w:p w14:paraId="4090EC0D" w14:textId="77777777" w:rsidR="00833634" w:rsidRDefault="00833634">
            <w:pPr>
              <w:rPr>
                <w:rFonts w:ascii="宋体"/>
              </w:rPr>
            </w:pPr>
          </w:p>
        </w:tc>
        <w:tc>
          <w:tcPr>
            <w:tcW w:w="0" w:type="auto"/>
            <w:shd w:val="clear" w:color="auto" w:fill="auto"/>
          </w:tcPr>
          <w:p w14:paraId="4090EC0E" w14:textId="77777777" w:rsidR="00833634" w:rsidRDefault="00833634">
            <w:pPr>
              <w:rPr>
                <w:rFonts w:ascii="宋体"/>
              </w:rPr>
            </w:pPr>
          </w:p>
        </w:tc>
        <w:tc>
          <w:tcPr>
            <w:tcW w:w="0" w:type="auto"/>
            <w:shd w:val="clear" w:color="auto" w:fill="auto"/>
          </w:tcPr>
          <w:p w14:paraId="4090EC0F" w14:textId="77777777" w:rsidR="00833634" w:rsidRDefault="00833634">
            <w:pPr>
              <w:rPr>
                <w:rFonts w:ascii="宋体"/>
              </w:rPr>
            </w:pPr>
          </w:p>
        </w:tc>
        <w:tc>
          <w:tcPr>
            <w:tcW w:w="0" w:type="auto"/>
            <w:shd w:val="clear" w:color="auto" w:fill="auto"/>
          </w:tcPr>
          <w:p w14:paraId="4090EC10" w14:textId="77777777" w:rsidR="00833634" w:rsidRDefault="00833634">
            <w:pPr>
              <w:rPr>
                <w:rFonts w:ascii="宋体"/>
              </w:rPr>
            </w:pPr>
          </w:p>
        </w:tc>
        <w:tc>
          <w:tcPr>
            <w:tcW w:w="0" w:type="auto"/>
            <w:shd w:val="clear" w:color="auto" w:fill="auto"/>
          </w:tcPr>
          <w:p w14:paraId="4090EC11" w14:textId="77777777" w:rsidR="00833634" w:rsidRDefault="00833634">
            <w:pPr>
              <w:rPr>
                <w:rFonts w:ascii="宋体"/>
              </w:rPr>
            </w:pPr>
          </w:p>
        </w:tc>
        <w:tc>
          <w:tcPr>
            <w:tcW w:w="0" w:type="auto"/>
            <w:shd w:val="clear" w:color="auto" w:fill="auto"/>
          </w:tcPr>
          <w:p w14:paraId="4090EC12" w14:textId="77777777" w:rsidR="00833634" w:rsidRDefault="00833634">
            <w:pPr>
              <w:rPr>
                <w:rFonts w:ascii="宋体"/>
              </w:rPr>
            </w:pPr>
          </w:p>
        </w:tc>
        <w:tc>
          <w:tcPr>
            <w:tcW w:w="0" w:type="auto"/>
            <w:shd w:val="clear" w:color="auto" w:fill="auto"/>
          </w:tcPr>
          <w:p w14:paraId="4090EC13" w14:textId="77777777" w:rsidR="00833634" w:rsidRDefault="00833634">
            <w:pPr>
              <w:rPr>
                <w:rFonts w:ascii="宋体"/>
              </w:rPr>
            </w:pPr>
          </w:p>
        </w:tc>
        <w:tc>
          <w:tcPr>
            <w:tcW w:w="0" w:type="auto"/>
            <w:shd w:val="clear" w:color="auto" w:fill="auto"/>
          </w:tcPr>
          <w:p w14:paraId="4090EC14" w14:textId="77777777" w:rsidR="00833634" w:rsidRDefault="00833634">
            <w:pPr>
              <w:rPr>
                <w:rFonts w:ascii="宋体"/>
              </w:rPr>
            </w:pPr>
          </w:p>
        </w:tc>
      </w:tr>
      <w:tr w:rsidR="00833634" w14:paraId="4090EC26"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C16"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C17" w14:textId="77777777" w:rsidR="00833634" w:rsidRDefault="00E15D51">
            <w:pPr>
              <w:jc w:val="right"/>
              <w:textAlignment w:val="bottom"/>
            </w:pPr>
            <w:r>
              <w:rPr>
                <w:rFonts w:ascii="Arial" w:eastAsia="宋体" w:hAnsi="Arial" w:cs="Arial"/>
                <w:b/>
                <w:bCs/>
                <w:color w:val="000000"/>
                <w:sz w:val="20"/>
                <w:szCs w:val="20"/>
              </w:rPr>
              <w:t>Total</w:t>
            </w:r>
          </w:p>
        </w:tc>
        <w:tc>
          <w:tcPr>
            <w:tcW w:w="0" w:type="auto"/>
            <w:gridSpan w:val="3"/>
            <w:tcBorders>
              <w:top w:val="single" w:sz="8" w:space="0" w:color="000000"/>
            </w:tcBorders>
            <w:shd w:val="clear" w:color="auto" w:fill="auto"/>
            <w:tcMar>
              <w:top w:w="0" w:type="dxa"/>
              <w:left w:w="20" w:type="dxa"/>
              <w:bottom w:w="0" w:type="dxa"/>
              <w:right w:w="20" w:type="dxa"/>
            </w:tcMar>
          </w:tcPr>
          <w:p w14:paraId="4090EC18"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C19" w14:textId="77777777" w:rsidR="00833634" w:rsidRDefault="00E15D51">
            <w:pPr>
              <w:jc w:val="right"/>
              <w:textAlignment w:val="bottom"/>
            </w:pPr>
            <w:r>
              <w:rPr>
                <w:rFonts w:ascii="Arial" w:eastAsia="宋体" w:hAnsi="Arial" w:cs="Arial"/>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4090EC1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C1B" w14:textId="77777777" w:rsidR="00833634" w:rsidRDefault="00E15D51">
            <w:pPr>
              <w:jc w:val="right"/>
              <w:textAlignment w:val="bottom"/>
            </w:pPr>
            <w:r>
              <w:rPr>
                <w:rFonts w:ascii="Arial" w:eastAsia="宋体" w:hAnsi="Arial" w:cs="Arial"/>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tcPr>
          <w:p w14:paraId="4090EC1C" w14:textId="77777777" w:rsidR="00833634" w:rsidRDefault="00833634">
            <w:pPr>
              <w:rPr>
                <w:rFonts w:ascii="宋体"/>
              </w:rPr>
            </w:pPr>
          </w:p>
        </w:tc>
        <w:tc>
          <w:tcPr>
            <w:tcW w:w="0" w:type="auto"/>
            <w:shd w:val="clear" w:color="auto" w:fill="auto"/>
          </w:tcPr>
          <w:p w14:paraId="4090EC1D" w14:textId="77777777" w:rsidR="00833634" w:rsidRDefault="00833634">
            <w:pPr>
              <w:rPr>
                <w:rFonts w:ascii="宋体"/>
                <w:vanish/>
              </w:rPr>
            </w:pPr>
          </w:p>
        </w:tc>
        <w:tc>
          <w:tcPr>
            <w:tcW w:w="0" w:type="auto"/>
            <w:shd w:val="clear" w:color="auto" w:fill="auto"/>
          </w:tcPr>
          <w:p w14:paraId="4090EC1E" w14:textId="77777777" w:rsidR="00833634" w:rsidRDefault="00833634">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C1F" w14:textId="77777777" w:rsidR="00833634" w:rsidRDefault="00E15D51">
            <w:pPr>
              <w:jc w:val="right"/>
              <w:textAlignment w:val="bottom"/>
            </w:pPr>
            <w:r>
              <w:rPr>
                <w:rFonts w:ascii="Arial" w:eastAsia="宋体" w:hAnsi="Arial" w:cs="Arial"/>
                <w:color w:val="000000"/>
                <w:sz w:val="20"/>
                <w:szCs w:val="20"/>
              </w:rPr>
              <w:t>Total</w:t>
            </w:r>
          </w:p>
        </w:tc>
        <w:tc>
          <w:tcPr>
            <w:tcW w:w="0" w:type="auto"/>
            <w:gridSpan w:val="3"/>
            <w:tcBorders>
              <w:top w:val="single" w:sz="8" w:space="0" w:color="000000"/>
            </w:tcBorders>
            <w:shd w:val="clear" w:color="auto" w:fill="auto"/>
            <w:tcMar>
              <w:top w:w="0" w:type="dxa"/>
              <w:left w:w="20" w:type="dxa"/>
              <w:bottom w:w="0" w:type="dxa"/>
              <w:right w:w="20" w:type="dxa"/>
            </w:tcMar>
          </w:tcPr>
          <w:p w14:paraId="4090EC2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C21" w14:textId="77777777" w:rsidR="00833634" w:rsidRDefault="00E15D51">
            <w:pPr>
              <w:jc w:val="right"/>
              <w:textAlignment w:val="bottom"/>
            </w:pPr>
            <w:r>
              <w:rPr>
                <w:rFonts w:ascii="Arial" w:eastAsia="宋体" w:hAnsi="Arial" w:cs="Arial"/>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tcPr>
          <w:p w14:paraId="4090EC2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C23" w14:textId="77777777" w:rsidR="00833634" w:rsidRDefault="00E15D51">
            <w:pPr>
              <w:jc w:val="right"/>
              <w:textAlignment w:val="bottom"/>
            </w:pPr>
            <w:r>
              <w:rPr>
                <w:rFonts w:ascii="Arial" w:eastAsia="宋体" w:hAnsi="Arial" w:cs="Arial"/>
                <w:color w:val="000000"/>
                <w:sz w:val="20"/>
                <w:szCs w:val="20"/>
              </w:rPr>
              <w:t>Level 2</w:t>
            </w:r>
          </w:p>
        </w:tc>
        <w:tc>
          <w:tcPr>
            <w:tcW w:w="0" w:type="auto"/>
            <w:gridSpan w:val="3"/>
            <w:shd w:val="clear" w:color="auto" w:fill="auto"/>
          </w:tcPr>
          <w:p w14:paraId="4090EC24" w14:textId="77777777" w:rsidR="00833634" w:rsidRDefault="00833634">
            <w:pPr>
              <w:rPr>
                <w:rFonts w:ascii="宋体"/>
                <w:vanish/>
              </w:rPr>
            </w:pPr>
          </w:p>
        </w:tc>
        <w:tc>
          <w:tcPr>
            <w:tcW w:w="0" w:type="auto"/>
            <w:gridSpan w:val="3"/>
            <w:shd w:val="clear" w:color="auto" w:fill="auto"/>
          </w:tcPr>
          <w:p w14:paraId="4090EC25" w14:textId="77777777" w:rsidR="00833634" w:rsidRDefault="00833634">
            <w:pPr>
              <w:rPr>
                <w:rFonts w:ascii="宋体"/>
                <w:vanish/>
              </w:rPr>
            </w:pPr>
          </w:p>
        </w:tc>
      </w:tr>
      <w:tr w:rsidR="00833634" w14:paraId="4090EC37"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C27" w14:textId="77777777" w:rsidR="00833634" w:rsidRDefault="00E15D51">
            <w:pPr>
              <w:textAlignment w:val="bottom"/>
            </w:pPr>
            <w:r>
              <w:rPr>
                <w:rFonts w:ascii="Arial" w:eastAsia="宋体"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4090EC28"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29"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2A"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2B"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2C"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2D" w14:textId="77777777" w:rsidR="00833634" w:rsidRDefault="00833634">
            <w:pPr>
              <w:rPr>
                <w:rFonts w:ascii="宋体"/>
              </w:rPr>
            </w:pPr>
          </w:p>
        </w:tc>
        <w:tc>
          <w:tcPr>
            <w:tcW w:w="0" w:type="auto"/>
            <w:shd w:val="clear" w:color="auto" w:fill="auto"/>
          </w:tcPr>
          <w:p w14:paraId="4090EC2E" w14:textId="77777777" w:rsidR="00833634" w:rsidRDefault="00833634">
            <w:pPr>
              <w:rPr>
                <w:rFonts w:ascii="宋体"/>
                <w:vanish/>
              </w:rPr>
            </w:pPr>
          </w:p>
        </w:tc>
        <w:tc>
          <w:tcPr>
            <w:tcW w:w="0" w:type="auto"/>
            <w:shd w:val="clear" w:color="auto" w:fill="auto"/>
          </w:tcPr>
          <w:p w14:paraId="4090EC2F" w14:textId="77777777" w:rsidR="00833634" w:rsidRDefault="00833634">
            <w:pPr>
              <w:rPr>
                <w:rFonts w:ascii="宋体"/>
                <w:vanish/>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30"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31"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32"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33"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34" w14:textId="77777777" w:rsidR="00833634" w:rsidRDefault="00833634">
            <w:pPr>
              <w:rPr>
                <w:rFonts w:ascii="宋体"/>
              </w:rPr>
            </w:pPr>
          </w:p>
        </w:tc>
        <w:tc>
          <w:tcPr>
            <w:tcW w:w="0" w:type="auto"/>
            <w:gridSpan w:val="3"/>
            <w:shd w:val="clear" w:color="auto" w:fill="auto"/>
          </w:tcPr>
          <w:p w14:paraId="4090EC35" w14:textId="77777777" w:rsidR="00833634" w:rsidRDefault="00833634">
            <w:pPr>
              <w:rPr>
                <w:rFonts w:ascii="宋体"/>
                <w:vanish/>
              </w:rPr>
            </w:pPr>
          </w:p>
        </w:tc>
        <w:tc>
          <w:tcPr>
            <w:tcW w:w="0" w:type="auto"/>
            <w:gridSpan w:val="3"/>
            <w:shd w:val="clear" w:color="auto" w:fill="auto"/>
          </w:tcPr>
          <w:p w14:paraId="4090EC36" w14:textId="77777777" w:rsidR="00833634" w:rsidRDefault="00833634">
            <w:pPr>
              <w:rPr>
                <w:rFonts w:ascii="宋体"/>
                <w:vanish/>
              </w:rPr>
            </w:pPr>
          </w:p>
        </w:tc>
      </w:tr>
      <w:tr w:rsidR="00833634" w14:paraId="4090EC4C" w14:textId="77777777">
        <w:tc>
          <w:tcPr>
            <w:tcW w:w="0" w:type="auto"/>
            <w:gridSpan w:val="3"/>
            <w:shd w:val="clear" w:color="auto" w:fill="FFFFFF"/>
            <w:tcMar>
              <w:top w:w="40" w:type="dxa"/>
              <w:left w:w="20" w:type="dxa"/>
              <w:bottom w:w="40" w:type="dxa"/>
              <w:right w:w="20" w:type="dxa"/>
            </w:tcMar>
            <w:vAlign w:val="bottom"/>
          </w:tcPr>
          <w:p w14:paraId="4090EC38" w14:textId="77777777" w:rsidR="00833634" w:rsidRDefault="00E15D51">
            <w:pPr>
              <w:textAlignment w:val="bottom"/>
            </w:pPr>
            <w:r>
              <w:rPr>
                <w:rFonts w:ascii="Arial" w:eastAsia="宋体" w:hAnsi="Arial" w:cs="Arial"/>
                <w:color w:val="000000"/>
                <w:sz w:val="20"/>
                <w:szCs w:val="20"/>
              </w:rPr>
              <w:t>Money market funds</w:t>
            </w:r>
          </w:p>
        </w:tc>
        <w:tc>
          <w:tcPr>
            <w:tcW w:w="0" w:type="auto"/>
            <w:gridSpan w:val="2"/>
            <w:shd w:val="clear" w:color="auto" w:fill="FFFFFF"/>
            <w:tcMar>
              <w:top w:w="40" w:type="dxa"/>
              <w:left w:w="20" w:type="dxa"/>
              <w:bottom w:w="40" w:type="dxa"/>
              <w:right w:w="0" w:type="dxa"/>
            </w:tcMar>
            <w:vAlign w:val="bottom"/>
          </w:tcPr>
          <w:p w14:paraId="4090EC39" w14:textId="77777777" w:rsidR="00833634" w:rsidRDefault="00E15D51">
            <w:pPr>
              <w:jc w:val="right"/>
              <w:textAlignment w:val="bottom"/>
            </w:pPr>
            <w:r>
              <w:rPr>
                <w:rFonts w:ascii="Arial" w:eastAsia="宋体" w:hAnsi="Arial" w:cs="Arial"/>
                <w:b/>
                <w:bCs/>
                <w:color w:val="000000"/>
                <w:sz w:val="20"/>
                <w:szCs w:val="20"/>
              </w:rPr>
              <w:t>$4,018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C3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3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C3C" w14:textId="77777777" w:rsidR="00833634" w:rsidRDefault="00E15D51">
            <w:pPr>
              <w:jc w:val="right"/>
              <w:textAlignment w:val="bottom"/>
            </w:pPr>
            <w:r>
              <w:rPr>
                <w:rFonts w:ascii="Arial" w:eastAsia="宋体" w:hAnsi="Arial" w:cs="Arial"/>
                <w:b/>
                <w:bCs/>
                <w:color w:val="000000"/>
                <w:sz w:val="20"/>
                <w:szCs w:val="20"/>
              </w:rPr>
              <w:t>$4,018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C3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3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3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40" w14:textId="77777777" w:rsidR="00833634" w:rsidRDefault="00833634">
            <w:pPr>
              <w:rPr>
                <w:rFonts w:ascii="宋体"/>
              </w:rPr>
            </w:pPr>
          </w:p>
        </w:tc>
        <w:tc>
          <w:tcPr>
            <w:tcW w:w="0" w:type="auto"/>
            <w:shd w:val="clear" w:color="auto" w:fill="auto"/>
          </w:tcPr>
          <w:p w14:paraId="4090EC41" w14:textId="77777777" w:rsidR="00833634" w:rsidRDefault="00833634">
            <w:pPr>
              <w:rPr>
                <w:rFonts w:ascii="宋体"/>
                <w:vanish/>
              </w:rPr>
            </w:pPr>
          </w:p>
        </w:tc>
        <w:tc>
          <w:tcPr>
            <w:tcW w:w="0" w:type="auto"/>
            <w:shd w:val="clear" w:color="auto" w:fill="auto"/>
          </w:tcPr>
          <w:p w14:paraId="4090EC42" w14:textId="77777777" w:rsidR="00833634" w:rsidRDefault="00833634">
            <w:pPr>
              <w:rPr>
                <w:rFonts w:ascii="宋体"/>
                <w:vanish/>
              </w:rPr>
            </w:pPr>
          </w:p>
        </w:tc>
        <w:tc>
          <w:tcPr>
            <w:tcW w:w="0" w:type="auto"/>
            <w:gridSpan w:val="2"/>
            <w:shd w:val="clear" w:color="auto" w:fill="FFFFFF"/>
            <w:tcMar>
              <w:top w:w="40" w:type="dxa"/>
              <w:left w:w="20" w:type="dxa"/>
              <w:bottom w:w="40" w:type="dxa"/>
              <w:right w:w="0" w:type="dxa"/>
            </w:tcMar>
            <w:vAlign w:val="bottom"/>
          </w:tcPr>
          <w:p w14:paraId="4090EC43" w14:textId="77777777" w:rsidR="00833634" w:rsidRDefault="00E15D51">
            <w:pPr>
              <w:jc w:val="right"/>
              <w:textAlignment w:val="bottom"/>
            </w:pPr>
            <w:r>
              <w:rPr>
                <w:rFonts w:ascii="Arial" w:eastAsia="宋体" w:hAnsi="Arial" w:cs="Arial"/>
                <w:color w:val="000000"/>
                <w:sz w:val="20"/>
                <w:szCs w:val="20"/>
              </w:rPr>
              <w:t>$2,562 </w:t>
            </w:r>
          </w:p>
        </w:tc>
        <w:tc>
          <w:tcPr>
            <w:tcW w:w="0" w:type="auto"/>
            <w:shd w:val="clear" w:color="auto" w:fill="FFFFFF"/>
            <w:tcMar>
              <w:top w:w="40" w:type="dxa"/>
              <w:left w:w="0" w:type="dxa"/>
              <w:bottom w:w="40" w:type="dxa"/>
              <w:right w:w="20" w:type="dxa"/>
            </w:tcMar>
            <w:vAlign w:val="bottom"/>
          </w:tcPr>
          <w:p w14:paraId="4090EC4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4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C46" w14:textId="77777777" w:rsidR="00833634" w:rsidRDefault="00E15D51">
            <w:pPr>
              <w:jc w:val="right"/>
              <w:textAlignment w:val="bottom"/>
            </w:pPr>
            <w:r>
              <w:rPr>
                <w:rFonts w:ascii="Arial" w:eastAsia="宋体" w:hAnsi="Arial" w:cs="Arial"/>
                <w:color w:val="000000"/>
                <w:sz w:val="20"/>
                <w:szCs w:val="20"/>
              </w:rPr>
              <w:t>$2,562 </w:t>
            </w:r>
          </w:p>
        </w:tc>
        <w:tc>
          <w:tcPr>
            <w:tcW w:w="0" w:type="auto"/>
            <w:shd w:val="clear" w:color="auto" w:fill="FFFFFF"/>
            <w:tcMar>
              <w:top w:w="40" w:type="dxa"/>
              <w:left w:w="0" w:type="dxa"/>
              <w:bottom w:w="40" w:type="dxa"/>
              <w:right w:w="20" w:type="dxa"/>
            </w:tcMar>
            <w:vAlign w:val="bottom"/>
          </w:tcPr>
          <w:p w14:paraId="4090EC4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4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49" w14:textId="77777777" w:rsidR="00833634" w:rsidRDefault="00833634">
            <w:pPr>
              <w:rPr>
                <w:rFonts w:ascii="宋体"/>
              </w:rPr>
            </w:pPr>
          </w:p>
        </w:tc>
        <w:tc>
          <w:tcPr>
            <w:tcW w:w="0" w:type="auto"/>
            <w:gridSpan w:val="3"/>
            <w:shd w:val="clear" w:color="auto" w:fill="auto"/>
          </w:tcPr>
          <w:p w14:paraId="4090EC4A" w14:textId="77777777" w:rsidR="00833634" w:rsidRDefault="00833634">
            <w:pPr>
              <w:rPr>
                <w:rFonts w:ascii="宋体"/>
                <w:vanish/>
              </w:rPr>
            </w:pPr>
          </w:p>
        </w:tc>
        <w:tc>
          <w:tcPr>
            <w:tcW w:w="0" w:type="auto"/>
            <w:gridSpan w:val="3"/>
            <w:shd w:val="clear" w:color="auto" w:fill="auto"/>
          </w:tcPr>
          <w:p w14:paraId="4090EC4B" w14:textId="77777777" w:rsidR="00833634" w:rsidRDefault="00833634">
            <w:pPr>
              <w:rPr>
                <w:rFonts w:ascii="宋体"/>
                <w:vanish/>
              </w:rPr>
            </w:pPr>
          </w:p>
        </w:tc>
      </w:tr>
      <w:tr w:rsidR="00833634" w14:paraId="4090EC5D" w14:textId="77777777">
        <w:tc>
          <w:tcPr>
            <w:tcW w:w="0" w:type="auto"/>
            <w:gridSpan w:val="3"/>
            <w:shd w:val="clear" w:color="auto" w:fill="CCEEFF"/>
            <w:tcMar>
              <w:top w:w="40" w:type="dxa"/>
              <w:left w:w="20" w:type="dxa"/>
              <w:bottom w:w="40" w:type="dxa"/>
              <w:right w:w="20" w:type="dxa"/>
            </w:tcMar>
            <w:vAlign w:val="bottom"/>
          </w:tcPr>
          <w:p w14:paraId="4090EC4D" w14:textId="77777777" w:rsidR="00833634" w:rsidRDefault="00E15D51">
            <w:pPr>
              <w:ind w:hanging="180"/>
              <w:textAlignment w:val="bottom"/>
            </w:pPr>
            <w:r>
              <w:rPr>
                <w:rFonts w:ascii="Arial" w:eastAsia="宋体" w:hAnsi="Arial" w:cs="Arial"/>
                <w:color w:val="000000"/>
                <w:sz w:val="20"/>
                <w:szCs w:val="20"/>
              </w:rPr>
              <w:t>Available-for-sale debt investments:</w:t>
            </w:r>
          </w:p>
        </w:tc>
        <w:tc>
          <w:tcPr>
            <w:tcW w:w="0" w:type="auto"/>
            <w:gridSpan w:val="3"/>
            <w:shd w:val="clear" w:color="auto" w:fill="CCEEFF"/>
            <w:tcMar>
              <w:top w:w="0" w:type="dxa"/>
              <w:left w:w="20" w:type="dxa"/>
              <w:bottom w:w="0" w:type="dxa"/>
              <w:right w:w="20" w:type="dxa"/>
            </w:tcMar>
          </w:tcPr>
          <w:p w14:paraId="4090EC4E"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4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5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5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52"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53" w14:textId="77777777" w:rsidR="00833634" w:rsidRDefault="00833634">
            <w:pPr>
              <w:rPr>
                <w:rFonts w:ascii="宋体"/>
              </w:rPr>
            </w:pPr>
          </w:p>
        </w:tc>
        <w:tc>
          <w:tcPr>
            <w:tcW w:w="0" w:type="auto"/>
            <w:shd w:val="clear" w:color="auto" w:fill="auto"/>
          </w:tcPr>
          <w:p w14:paraId="4090EC54" w14:textId="77777777" w:rsidR="00833634" w:rsidRDefault="00833634">
            <w:pPr>
              <w:rPr>
                <w:rFonts w:ascii="宋体"/>
                <w:vanish/>
              </w:rPr>
            </w:pPr>
          </w:p>
        </w:tc>
        <w:tc>
          <w:tcPr>
            <w:tcW w:w="0" w:type="auto"/>
            <w:shd w:val="clear" w:color="auto" w:fill="auto"/>
          </w:tcPr>
          <w:p w14:paraId="4090EC55" w14:textId="77777777" w:rsidR="00833634" w:rsidRDefault="00833634">
            <w:pPr>
              <w:rPr>
                <w:rFonts w:ascii="宋体"/>
                <w:vanish/>
              </w:rPr>
            </w:pPr>
          </w:p>
        </w:tc>
        <w:tc>
          <w:tcPr>
            <w:tcW w:w="0" w:type="auto"/>
            <w:gridSpan w:val="3"/>
            <w:shd w:val="clear" w:color="auto" w:fill="CCEEFF"/>
            <w:tcMar>
              <w:top w:w="0" w:type="dxa"/>
              <w:left w:w="20" w:type="dxa"/>
              <w:bottom w:w="0" w:type="dxa"/>
              <w:right w:w="20" w:type="dxa"/>
            </w:tcMar>
          </w:tcPr>
          <w:p w14:paraId="4090EC5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5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5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5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5A" w14:textId="77777777" w:rsidR="00833634" w:rsidRDefault="00833634">
            <w:pPr>
              <w:rPr>
                <w:rFonts w:ascii="宋体"/>
              </w:rPr>
            </w:pPr>
          </w:p>
        </w:tc>
        <w:tc>
          <w:tcPr>
            <w:tcW w:w="0" w:type="auto"/>
            <w:gridSpan w:val="3"/>
            <w:shd w:val="clear" w:color="auto" w:fill="auto"/>
          </w:tcPr>
          <w:p w14:paraId="4090EC5B" w14:textId="77777777" w:rsidR="00833634" w:rsidRDefault="00833634">
            <w:pPr>
              <w:rPr>
                <w:rFonts w:ascii="宋体"/>
                <w:vanish/>
              </w:rPr>
            </w:pPr>
          </w:p>
        </w:tc>
        <w:tc>
          <w:tcPr>
            <w:tcW w:w="0" w:type="auto"/>
            <w:gridSpan w:val="3"/>
            <w:shd w:val="clear" w:color="auto" w:fill="auto"/>
          </w:tcPr>
          <w:p w14:paraId="4090EC5C" w14:textId="77777777" w:rsidR="00833634" w:rsidRDefault="00833634">
            <w:pPr>
              <w:rPr>
                <w:rFonts w:ascii="宋体"/>
                <w:vanish/>
              </w:rPr>
            </w:pPr>
          </w:p>
        </w:tc>
      </w:tr>
      <w:tr w:rsidR="00833634" w14:paraId="4090EC72" w14:textId="77777777">
        <w:tc>
          <w:tcPr>
            <w:tcW w:w="0" w:type="auto"/>
            <w:gridSpan w:val="3"/>
            <w:shd w:val="clear" w:color="auto" w:fill="FFFFFF"/>
            <w:tcMar>
              <w:top w:w="40" w:type="dxa"/>
              <w:left w:w="225" w:type="dxa"/>
              <w:bottom w:w="40" w:type="dxa"/>
              <w:right w:w="20" w:type="dxa"/>
            </w:tcMar>
            <w:vAlign w:val="bottom"/>
          </w:tcPr>
          <w:p w14:paraId="4090EC5E" w14:textId="77777777" w:rsidR="00833634" w:rsidRDefault="00E15D51">
            <w:pPr>
              <w:textAlignment w:val="bottom"/>
            </w:pPr>
            <w:r>
              <w:rPr>
                <w:rFonts w:ascii="Arial" w:eastAsia="宋体" w:hAnsi="Arial" w:cs="Arial"/>
                <w:color w:val="000000"/>
                <w:sz w:val="20"/>
                <w:szCs w:val="20"/>
              </w:rPr>
              <w:t>Commercial paper</w:t>
            </w:r>
          </w:p>
        </w:tc>
        <w:tc>
          <w:tcPr>
            <w:tcW w:w="0" w:type="auto"/>
            <w:gridSpan w:val="2"/>
            <w:shd w:val="clear" w:color="auto" w:fill="FFFFFF"/>
            <w:tcMar>
              <w:top w:w="40" w:type="dxa"/>
              <w:left w:w="20" w:type="dxa"/>
              <w:bottom w:w="40" w:type="dxa"/>
              <w:right w:w="0" w:type="dxa"/>
            </w:tcMar>
            <w:vAlign w:val="bottom"/>
          </w:tcPr>
          <w:p w14:paraId="4090EC5F" w14:textId="77777777" w:rsidR="00833634" w:rsidRDefault="00E15D51">
            <w:pPr>
              <w:jc w:val="right"/>
              <w:textAlignment w:val="bottom"/>
            </w:pPr>
            <w:r>
              <w:rPr>
                <w:rFonts w:ascii="Arial" w:eastAsia="宋体" w:hAnsi="Arial" w:cs="Arial"/>
                <w:b/>
                <w:bCs/>
                <w:color w:val="000000"/>
                <w:sz w:val="20"/>
                <w:szCs w:val="20"/>
              </w:rPr>
              <w:t>142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C6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6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62"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6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C64" w14:textId="77777777" w:rsidR="00833634" w:rsidRDefault="00E15D51">
            <w:pPr>
              <w:jc w:val="right"/>
              <w:textAlignment w:val="bottom"/>
            </w:pPr>
            <w:r>
              <w:rPr>
                <w:rFonts w:ascii="Arial" w:eastAsia="宋体" w:hAnsi="Arial" w:cs="Arial"/>
                <w:b/>
                <w:bCs/>
                <w:color w:val="000000"/>
                <w:sz w:val="20"/>
                <w:szCs w:val="20"/>
              </w:rPr>
              <w:t>$142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C6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66" w14:textId="77777777" w:rsidR="00833634" w:rsidRDefault="00833634">
            <w:pPr>
              <w:rPr>
                <w:rFonts w:ascii="宋体"/>
              </w:rPr>
            </w:pPr>
          </w:p>
        </w:tc>
        <w:tc>
          <w:tcPr>
            <w:tcW w:w="0" w:type="auto"/>
            <w:shd w:val="clear" w:color="auto" w:fill="auto"/>
          </w:tcPr>
          <w:p w14:paraId="4090EC67" w14:textId="77777777" w:rsidR="00833634" w:rsidRDefault="00833634">
            <w:pPr>
              <w:rPr>
                <w:rFonts w:ascii="宋体"/>
                <w:vanish/>
              </w:rPr>
            </w:pPr>
          </w:p>
        </w:tc>
        <w:tc>
          <w:tcPr>
            <w:tcW w:w="0" w:type="auto"/>
            <w:shd w:val="clear" w:color="auto" w:fill="auto"/>
          </w:tcPr>
          <w:p w14:paraId="4090EC68" w14:textId="77777777" w:rsidR="00833634" w:rsidRDefault="00833634">
            <w:pPr>
              <w:rPr>
                <w:rFonts w:ascii="宋体"/>
                <w:vanish/>
              </w:rPr>
            </w:pPr>
          </w:p>
        </w:tc>
        <w:tc>
          <w:tcPr>
            <w:tcW w:w="0" w:type="auto"/>
            <w:gridSpan w:val="2"/>
            <w:shd w:val="clear" w:color="auto" w:fill="FFFFFF"/>
            <w:tcMar>
              <w:top w:w="40" w:type="dxa"/>
              <w:left w:w="20" w:type="dxa"/>
              <w:bottom w:w="40" w:type="dxa"/>
              <w:right w:w="0" w:type="dxa"/>
            </w:tcMar>
            <w:vAlign w:val="bottom"/>
          </w:tcPr>
          <w:p w14:paraId="4090EC69" w14:textId="77777777" w:rsidR="00833634" w:rsidRDefault="00E15D51">
            <w:pPr>
              <w:jc w:val="right"/>
              <w:textAlignment w:val="bottom"/>
            </w:pPr>
            <w:r>
              <w:rPr>
                <w:rFonts w:ascii="Arial" w:eastAsia="宋体" w:hAnsi="Arial" w:cs="Arial"/>
                <w:color w:val="000000"/>
                <w:sz w:val="20"/>
                <w:szCs w:val="20"/>
              </w:rPr>
              <w:t>108 </w:t>
            </w:r>
          </w:p>
        </w:tc>
        <w:tc>
          <w:tcPr>
            <w:tcW w:w="0" w:type="auto"/>
            <w:shd w:val="clear" w:color="auto" w:fill="FFFFFF"/>
            <w:tcMar>
              <w:top w:w="40" w:type="dxa"/>
              <w:left w:w="0" w:type="dxa"/>
              <w:bottom w:w="40" w:type="dxa"/>
              <w:right w:w="20" w:type="dxa"/>
            </w:tcMar>
            <w:vAlign w:val="bottom"/>
          </w:tcPr>
          <w:p w14:paraId="4090EC6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6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6C"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6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C6E" w14:textId="77777777" w:rsidR="00833634" w:rsidRDefault="00E15D51">
            <w:pPr>
              <w:jc w:val="right"/>
              <w:textAlignment w:val="bottom"/>
            </w:pPr>
            <w:r>
              <w:rPr>
                <w:rFonts w:ascii="Arial" w:eastAsia="宋体" w:hAnsi="Arial" w:cs="Arial"/>
                <w:color w:val="000000"/>
                <w:sz w:val="20"/>
                <w:szCs w:val="20"/>
              </w:rPr>
              <w:t>$108 </w:t>
            </w:r>
          </w:p>
        </w:tc>
        <w:tc>
          <w:tcPr>
            <w:tcW w:w="0" w:type="auto"/>
            <w:shd w:val="clear" w:color="auto" w:fill="FFFFFF"/>
            <w:tcMar>
              <w:top w:w="40" w:type="dxa"/>
              <w:left w:w="0" w:type="dxa"/>
              <w:bottom w:w="40" w:type="dxa"/>
              <w:right w:w="20" w:type="dxa"/>
            </w:tcMar>
            <w:vAlign w:val="bottom"/>
          </w:tcPr>
          <w:p w14:paraId="4090EC6F" w14:textId="77777777" w:rsidR="00833634" w:rsidRDefault="00833634">
            <w:pPr>
              <w:jc w:val="right"/>
              <w:rPr>
                <w:rFonts w:ascii="宋体"/>
              </w:rPr>
            </w:pPr>
          </w:p>
        </w:tc>
        <w:tc>
          <w:tcPr>
            <w:tcW w:w="0" w:type="auto"/>
            <w:gridSpan w:val="3"/>
            <w:shd w:val="clear" w:color="auto" w:fill="auto"/>
          </w:tcPr>
          <w:p w14:paraId="4090EC70" w14:textId="77777777" w:rsidR="00833634" w:rsidRDefault="00833634">
            <w:pPr>
              <w:rPr>
                <w:rFonts w:ascii="宋体"/>
                <w:vanish/>
              </w:rPr>
            </w:pPr>
          </w:p>
        </w:tc>
        <w:tc>
          <w:tcPr>
            <w:tcW w:w="0" w:type="auto"/>
            <w:gridSpan w:val="3"/>
            <w:shd w:val="clear" w:color="auto" w:fill="auto"/>
          </w:tcPr>
          <w:p w14:paraId="4090EC71" w14:textId="77777777" w:rsidR="00833634" w:rsidRDefault="00833634">
            <w:pPr>
              <w:rPr>
                <w:rFonts w:ascii="宋体"/>
                <w:vanish/>
              </w:rPr>
            </w:pPr>
          </w:p>
        </w:tc>
      </w:tr>
      <w:tr w:rsidR="00833634" w14:paraId="4090EC87" w14:textId="77777777">
        <w:tc>
          <w:tcPr>
            <w:tcW w:w="0" w:type="auto"/>
            <w:gridSpan w:val="3"/>
            <w:shd w:val="clear" w:color="auto" w:fill="CCEEFF"/>
            <w:tcMar>
              <w:top w:w="40" w:type="dxa"/>
              <w:left w:w="225" w:type="dxa"/>
              <w:bottom w:w="40" w:type="dxa"/>
              <w:right w:w="20" w:type="dxa"/>
            </w:tcMar>
            <w:vAlign w:val="bottom"/>
          </w:tcPr>
          <w:p w14:paraId="4090EC73" w14:textId="77777777" w:rsidR="00833634" w:rsidRDefault="00E15D51">
            <w:pPr>
              <w:textAlignment w:val="bottom"/>
            </w:pPr>
            <w:r>
              <w:rPr>
                <w:rFonts w:ascii="Arial" w:eastAsia="宋体" w:hAnsi="Arial" w:cs="Arial"/>
                <w:color w:val="000000"/>
                <w:sz w:val="20"/>
                <w:szCs w:val="20"/>
              </w:rPr>
              <w:t>Corporate notes</w:t>
            </w:r>
          </w:p>
        </w:tc>
        <w:tc>
          <w:tcPr>
            <w:tcW w:w="0" w:type="auto"/>
            <w:gridSpan w:val="2"/>
            <w:shd w:val="clear" w:color="auto" w:fill="CCEEFF"/>
            <w:tcMar>
              <w:top w:w="40" w:type="dxa"/>
              <w:left w:w="20" w:type="dxa"/>
              <w:bottom w:w="40" w:type="dxa"/>
              <w:right w:w="0" w:type="dxa"/>
            </w:tcMar>
            <w:vAlign w:val="bottom"/>
          </w:tcPr>
          <w:p w14:paraId="4090EC74" w14:textId="77777777" w:rsidR="00833634" w:rsidRDefault="00E15D51">
            <w:pPr>
              <w:jc w:val="right"/>
              <w:textAlignment w:val="bottom"/>
            </w:pPr>
            <w:r>
              <w:rPr>
                <w:rFonts w:ascii="Arial" w:eastAsia="宋体" w:hAnsi="Arial" w:cs="Arial"/>
                <w:b/>
                <w:bCs/>
                <w:color w:val="000000"/>
                <w:sz w:val="20"/>
                <w:szCs w:val="20"/>
              </w:rPr>
              <w:t>341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C7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7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7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7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C79" w14:textId="77777777" w:rsidR="00833634" w:rsidRDefault="00E15D51">
            <w:pPr>
              <w:jc w:val="right"/>
              <w:textAlignment w:val="bottom"/>
            </w:pPr>
            <w:r>
              <w:rPr>
                <w:rFonts w:ascii="Arial" w:eastAsia="宋体" w:hAnsi="Arial" w:cs="Arial"/>
                <w:b/>
                <w:bCs/>
                <w:color w:val="000000"/>
                <w:sz w:val="20"/>
                <w:szCs w:val="20"/>
              </w:rPr>
              <w:t>341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C7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7B" w14:textId="77777777" w:rsidR="00833634" w:rsidRDefault="00833634">
            <w:pPr>
              <w:rPr>
                <w:rFonts w:ascii="宋体"/>
              </w:rPr>
            </w:pPr>
          </w:p>
        </w:tc>
        <w:tc>
          <w:tcPr>
            <w:tcW w:w="0" w:type="auto"/>
            <w:shd w:val="clear" w:color="auto" w:fill="auto"/>
          </w:tcPr>
          <w:p w14:paraId="4090EC7C" w14:textId="77777777" w:rsidR="00833634" w:rsidRDefault="00833634">
            <w:pPr>
              <w:rPr>
                <w:rFonts w:ascii="宋体"/>
                <w:vanish/>
              </w:rPr>
            </w:pPr>
          </w:p>
        </w:tc>
        <w:tc>
          <w:tcPr>
            <w:tcW w:w="0" w:type="auto"/>
            <w:shd w:val="clear" w:color="auto" w:fill="auto"/>
          </w:tcPr>
          <w:p w14:paraId="4090EC7D" w14:textId="77777777" w:rsidR="00833634" w:rsidRDefault="00833634">
            <w:pPr>
              <w:rPr>
                <w:rFonts w:ascii="宋体"/>
                <w:vanish/>
              </w:rPr>
            </w:pPr>
          </w:p>
        </w:tc>
        <w:tc>
          <w:tcPr>
            <w:tcW w:w="0" w:type="auto"/>
            <w:gridSpan w:val="2"/>
            <w:shd w:val="clear" w:color="auto" w:fill="CCEEFF"/>
            <w:tcMar>
              <w:top w:w="40" w:type="dxa"/>
              <w:left w:w="20" w:type="dxa"/>
              <w:bottom w:w="40" w:type="dxa"/>
              <w:right w:w="0" w:type="dxa"/>
            </w:tcMar>
            <w:vAlign w:val="bottom"/>
          </w:tcPr>
          <w:p w14:paraId="4090EC7E" w14:textId="77777777" w:rsidR="00833634" w:rsidRDefault="00E15D51">
            <w:pPr>
              <w:jc w:val="right"/>
              <w:textAlignment w:val="bottom"/>
            </w:pPr>
            <w:r>
              <w:rPr>
                <w:rFonts w:ascii="Arial" w:eastAsia="宋体" w:hAnsi="Arial" w:cs="Arial"/>
                <w:color w:val="000000"/>
                <w:sz w:val="20"/>
                <w:szCs w:val="20"/>
              </w:rPr>
              <w:t>242 </w:t>
            </w:r>
          </w:p>
        </w:tc>
        <w:tc>
          <w:tcPr>
            <w:tcW w:w="0" w:type="auto"/>
            <w:shd w:val="clear" w:color="auto" w:fill="CCEEFF"/>
            <w:tcMar>
              <w:top w:w="40" w:type="dxa"/>
              <w:left w:w="0" w:type="dxa"/>
              <w:bottom w:w="40" w:type="dxa"/>
              <w:right w:w="20" w:type="dxa"/>
            </w:tcMar>
            <w:vAlign w:val="bottom"/>
          </w:tcPr>
          <w:p w14:paraId="4090EC7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8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8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8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C83" w14:textId="77777777" w:rsidR="00833634" w:rsidRDefault="00E15D51">
            <w:pPr>
              <w:jc w:val="right"/>
              <w:textAlignment w:val="bottom"/>
            </w:pPr>
            <w:r>
              <w:rPr>
                <w:rFonts w:ascii="Arial" w:eastAsia="宋体" w:hAnsi="Arial" w:cs="Arial"/>
                <w:color w:val="000000"/>
                <w:sz w:val="20"/>
                <w:szCs w:val="20"/>
              </w:rPr>
              <w:t>242 </w:t>
            </w:r>
          </w:p>
        </w:tc>
        <w:tc>
          <w:tcPr>
            <w:tcW w:w="0" w:type="auto"/>
            <w:shd w:val="clear" w:color="auto" w:fill="CCEEFF"/>
            <w:tcMar>
              <w:top w:w="40" w:type="dxa"/>
              <w:left w:w="0" w:type="dxa"/>
              <w:bottom w:w="40" w:type="dxa"/>
              <w:right w:w="20" w:type="dxa"/>
            </w:tcMar>
            <w:vAlign w:val="bottom"/>
          </w:tcPr>
          <w:p w14:paraId="4090EC84" w14:textId="77777777" w:rsidR="00833634" w:rsidRDefault="00833634">
            <w:pPr>
              <w:jc w:val="right"/>
              <w:rPr>
                <w:rFonts w:ascii="宋体"/>
              </w:rPr>
            </w:pPr>
          </w:p>
        </w:tc>
        <w:tc>
          <w:tcPr>
            <w:tcW w:w="0" w:type="auto"/>
            <w:gridSpan w:val="3"/>
            <w:shd w:val="clear" w:color="auto" w:fill="auto"/>
          </w:tcPr>
          <w:p w14:paraId="4090EC85" w14:textId="77777777" w:rsidR="00833634" w:rsidRDefault="00833634">
            <w:pPr>
              <w:rPr>
                <w:rFonts w:ascii="宋体"/>
                <w:vanish/>
              </w:rPr>
            </w:pPr>
          </w:p>
        </w:tc>
        <w:tc>
          <w:tcPr>
            <w:tcW w:w="0" w:type="auto"/>
            <w:gridSpan w:val="3"/>
            <w:shd w:val="clear" w:color="auto" w:fill="auto"/>
          </w:tcPr>
          <w:p w14:paraId="4090EC86" w14:textId="77777777" w:rsidR="00833634" w:rsidRDefault="00833634">
            <w:pPr>
              <w:rPr>
                <w:rFonts w:ascii="宋体"/>
                <w:vanish/>
              </w:rPr>
            </w:pPr>
          </w:p>
        </w:tc>
      </w:tr>
      <w:tr w:rsidR="00833634" w14:paraId="4090EC9B" w14:textId="77777777">
        <w:tc>
          <w:tcPr>
            <w:tcW w:w="0" w:type="auto"/>
            <w:gridSpan w:val="3"/>
            <w:shd w:val="clear" w:color="auto" w:fill="FFFFFF"/>
            <w:tcMar>
              <w:top w:w="40" w:type="dxa"/>
              <w:left w:w="225" w:type="dxa"/>
              <w:bottom w:w="40" w:type="dxa"/>
              <w:right w:w="20" w:type="dxa"/>
            </w:tcMar>
            <w:vAlign w:val="bottom"/>
          </w:tcPr>
          <w:p w14:paraId="4090EC88" w14:textId="77777777" w:rsidR="00833634" w:rsidRDefault="00E15D51">
            <w:pPr>
              <w:textAlignment w:val="bottom"/>
            </w:pPr>
            <w:r>
              <w:rPr>
                <w:rFonts w:ascii="Arial" w:eastAsia="宋体" w:hAnsi="Arial" w:cs="Arial"/>
                <w:color w:val="000000"/>
                <w:sz w:val="20"/>
                <w:szCs w:val="20"/>
              </w:rPr>
              <w:t>U.S. government agencies</w:t>
            </w:r>
          </w:p>
        </w:tc>
        <w:tc>
          <w:tcPr>
            <w:tcW w:w="0" w:type="auto"/>
            <w:gridSpan w:val="2"/>
            <w:shd w:val="clear" w:color="auto" w:fill="FFFFFF"/>
            <w:tcMar>
              <w:top w:w="40" w:type="dxa"/>
              <w:left w:w="20" w:type="dxa"/>
              <w:bottom w:w="40" w:type="dxa"/>
              <w:right w:w="0" w:type="dxa"/>
            </w:tcMar>
            <w:vAlign w:val="bottom"/>
          </w:tcPr>
          <w:p w14:paraId="4090EC89" w14:textId="77777777" w:rsidR="00833634" w:rsidRDefault="00E15D51">
            <w:pPr>
              <w:jc w:val="right"/>
              <w:textAlignment w:val="bottom"/>
            </w:pPr>
            <w:r>
              <w:rPr>
                <w:rFonts w:ascii="Arial" w:eastAsia="宋体" w:hAnsi="Arial" w:cs="Arial"/>
                <w:b/>
                <w:bCs/>
                <w:color w:val="000000"/>
                <w:sz w:val="20"/>
                <w:szCs w:val="20"/>
              </w:rPr>
              <w:t>113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C8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8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8C"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8D"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EC8E" w14:textId="77777777" w:rsidR="00833634" w:rsidRDefault="00E15D51">
            <w:pPr>
              <w:jc w:val="right"/>
              <w:textAlignment w:val="bottom"/>
            </w:pPr>
            <w:r>
              <w:rPr>
                <w:rFonts w:ascii="Arial" w:eastAsia="宋体" w:hAnsi="Arial" w:cs="Arial"/>
                <w:b/>
                <w:bCs/>
                <w:color w:val="000000"/>
                <w:sz w:val="20"/>
                <w:szCs w:val="20"/>
              </w:rPr>
              <w:t>113</w:t>
            </w:r>
          </w:p>
        </w:tc>
        <w:tc>
          <w:tcPr>
            <w:tcW w:w="0" w:type="auto"/>
            <w:gridSpan w:val="3"/>
            <w:shd w:val="clear" w:color="auto" w:fill="FFFFFF"/>
            <w:tcMar>
              <w:top w:w="0" w:type="dxa"/>
              <w:left w:w="20" w:type="dxa"/>
              <w:bottom w:w="0" w:type="dxa"/>
              <w:right w:w="20" w:type="dxa"/>
            </w:tcMar>
          </w:tcPr>
          <w:p w14:paraId="4090EC8F" w14:textId="77777777" w:rsidR="00833634" w:rsidRDefault="00833634">
            <w:pPr>
              <w:rPr>
                <w:rFonts w:ascii="宋体"/>
              </w:rPr>
            </w:pPr>
          </w:p>
        </w:tc>
        <w:tc>
          <w:tcPr>
            <w:tcW w:w="0" w:type="auto"/>
            <w:shd w:val="clear" w:color="auto" w:fill="auto"/>
          </w:tcPr>
          <w:p w14:paraId="4090EC90" w14:textId="77777777" w:rsidR="00833634" w:rsidRDefault="00833634">
            <w:pPr>
              <w:rPr>
                <w:rFonts w:ascii="宋体"/>
                <w:vanish/>
              </w:rPr>
            </w:pPr>
          </w:p>
        </w:tc>
        <w:tc>
          <w:tcPr>
            <w:tcW w:w="0" w:type="auto"/>
            <w:shd w:val="clear" w:color="auto" w:fill="auto"/>
          </w:tcPr>
          <w:p w14:paraId="4090EC91" w14:textId="77777777" w:rsidR="00833634" w:rsidRDefault="00833634">
            <w:pPr>
              <w:rPr>
                <w:rFonts w:ascii="宋体"/>
                <w:vanish/>
              </w:rPr>
            </w:pPr>
          </w:p>
        </w:tc>
        <w:tc>
          <w:tcPr>
            <w:tcW w:w="0" w:type="auto"/>
            <w:gridSpan w:val="2"/>
            <w:shd w:val="clear" w:color="auto" w:fill="FFFFFF"/>
            <w:tcMar>
              <w:top w:w="40" w:type="dxa"/>
              <w:left w:w="20" w:type="dxa"/>
              <w:bottom w:w="40" w:type="dxa"/>
              <w:right w:w="0" w:type="dxa"/>
            </w:tcMar>
            <w:vAlign w:val="bottom"/>
          </w:tcPr>
          <w:p w14:paraId="4090EC92" w14:textId="77777777" w:rsidR="00833634" w:rsidRDefault="00E15D51">
            <w:pPr>
              <w:jc w:val="right"/>
              <w:textAlignment w:val="bottom"/>
            </w:pPr>
            <w:r>
              <w:rPr>
                <w:rFonts w:ascii="Arial" w:eastAsia="宋体" w:hAnsi="Arial" w:cs="Arial"/>
                <w:color w:val="000000"/>
                <w:sz w:val="20"/>
                <w:szCs w:val="20"/>
              </w:rPr>
              <w:t>55 </w:t>
            </w:r>
          </w:p>
        </w:tc>
        <w:tc>
          <w:tcPr>
            <w:tcW w:w="0" w:type="auto"/>
            <w:shd w:val="clear" w:color="auto" w:fill="FFFFFF"/>
            <w:tcMar>
              <w:top w:w="40" w:type="dxa"/>
              <w:left w:w="0" w:type="dxa"/>
              <w:bottom w:w="40" w:type="dxa"/>
              <w:right w:w="20" w:type="dxa"/>
            </w:tcMar>
            <w:vAlign w:val="bottom"/>
          </w:tcPr>
          <w:p w14:paraId="4090EC9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9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C95" w14:textId="77777777" w:rsidR="00833634" w:rsidRDefault="00E15D51">
            <w:pPr>
              <w:jc w:val="right"/>
              <w:textAlignment w:val="bottom"/>
            </w:pPr>
            <w:r>
              <w:rPr>
                <w:rFonts w:ascii="Arial" w:eastAsia="宋体" w:hAnsi="Arial" w:cs="Arial"/>
                <w:color w:val="000000"/>
                <w:sz w:val="20"/>
                <w:szCs w:val="20"/>
              </w:rPr>
              <w:t>55 </w:t>
            </w:r>
          </w:p>
        </w:tc>
        <w:tc>
          <w:tcPr>
            <w:tcW w:w="0" w:type="auto"/>
            <w:shd w:val="clear" w:color="auto" w:fill="FFFFFF"/>
            <w:tcMar>
              <w:top w:w="40" w:type="dxa"/>
              <w:left w:w="0" w:type="dxa"/>
              <w:bottom w:w="40" w:type="dxa"/>
              <w:right w:w="20" w:type="dxa"/>
            </w:tcMar>
            <w:vAlign w:val="bottom"/>
          </w:tcPr>
          <w:p w14:paraId="4090EC9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9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98" w14:textId="77777777" w:rsidR="00833634" w:rsidRDefault="00833634">
            <w:pPr>
              <w:rPr>
                <w:rFonts w:ascii="宋体"/>
              </w:rPr>
            </w:pPr>
          </w:p>
        </w:tc>
        <w:tc>
          <w:tcPr>
            <w:tcW w:w="0" w:type="auto"/>
            <w:gridSpan w:val="3"/>
            <w:shd w:val="clear" w:color="auto" w:fill="auto"/>
          </w:tcPr>
          <w:p w14:paraId="4090EC99" w14:textId="77777777" w:rsidR="00833634" w:rsidRDefault="00833634">
            <w:pPr>
              <w:rPr>
                <w:rFonts w:ascii="宋体"/>
                <w:vanish/>
              </w:rPr>
            </w:pPr>
          </w:p>
        </w:tc>
        <w:tc>
          <w:tcPr>
            <w:tcW w:w="0" w:type="auto"/>
            <w:gridSpan w:val="3"/>
            <w:shd w:val="clear" w:color="auto" w:fill="auto"/>
          </w:tcPr>
          <w:p w14:paraId="4090EC9A" w14:textId="77777777" w:rsidR="00833634" w:rsidRDefault="00833634">
            <w:pPr>
              <w:rPr>
                <w:rFonts w:ascii="宋体"/>
                <w:vanish/>
              </w:rPr>
            </w:pPr>
          </w:p>
        </w:tc>
      </w:tr>
      <w:tr w:rsidR="00833634" w14:paraId="4090ECB0" w14:textId="77777777">
        <w:tc>
          <w:tcPr>
            <w:tcW w:w="0" w:type="auto"/>
            <w:gridSpan w:val="3"/>
            <w:shd w:val="clear" w:color="auto" w:fill="CCEEFF"/>
            <w:tcMar>
              <w:top w:w="40" w:type="dxa"/>
              <w:left w:w="20" w:type="dxa"/>
              <w:bottom w:w="40" w:type="dxa"/>
              <w:right w:w="20" w:type="dxa"/>
            </w:tcMar>
            <w:vAlign w:val="bottom"/>
          </w:tcPr>
          <w:p w14:paraId="4090EC9C" w14:textId="77777777" w:rsidR="00833634" w:rsidRDefault="00E15D51">
            <w:pPr>
              <w:textAlignment w:val="bottom"/>
            </w:pPr>
            <w:r>
              <w:rPr>
                <w:rFonts w:ascii="Arial" w:eastAsia="宋体" w:hAnsi="Arial" w:cs="Arial"/>
                <w:color w:val="000000"/>
                <w:sz w:val="20"/>
                <w:szCs w:val="20"/>
              </w:rPr>
              <w:t>Other equity investments</w:t>
            </w:r>
          </w:p>
        </w:tc>
        <w:tc>
          <w:tcPr>
            <w:tcW w:w="0" w:type="auto"/>
            <w:gridSpan w:val="2"/>
            <w:shd w:val="clear" w:color="auto" w:fill="CCEEFF"/>
            <w:tcMar>
              <w:top w:w="40" w:type="dxa"/>
              <w:left w:w="20" w:type="dxa"/>
              <w:bottom w:w="40" w:type="dxa"/>
              <w:right w:w="0" w:type="dxa"/>
            </w:tcMar>
            <w:vAlign w:val="bottom"/>
          </w:tcPr>
          <w:p w14:paraId="4090EC9D" w14:textId="77777777" w:rsidR="00833634" w:rsidRDefault="00E15D51">
            <w:pPr>
              <w:jc w:val="right"/>
              <w:textAlignment w:val="bottom"/>
            </w:pPr>
            <w:r>
              <w:rPr>
                <w:rFonts w:ascii="Arial" w:eastAsia="宋体" w:hAnsi="Arial" w:cs="Arial"/>
                <w:b/>
                <w:bCs/>
                <w:color w:val="000000"/>
                <w:sz w:val="20"/>
                <w:szCs w:val="20"/>
              </w:rPr>
              <w:t>45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C9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9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CA0" w14:textId="77777777" w:rsidR="00833634" w:rsidRDefault="00E15D51">
            <w:pPr>
              <w:jc w:val="right"/>
              <w:textAlignment w:val="bottom"/>
            </w:pPr>
            <w:r>
              <w:rPr>
                <w:rFonts w:ascii="Arial" w:eastAsia="宋体" w:hAnsi="Arial" w:cs="Arial"/>
                <w:b/>
                <w:bCs/>
                <w:color w:val="000000"/>
                <w:sz w:val="20"/>
                <w:szCs w:val="20"/>
              </w:rPr>
              <w:t>45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CA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A2"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A3"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A4" w14:textId="77777777" w:rsidR="00833634" w:rsidRDefault="00833634">
            <w:pPr>
              <w:rPr>
                <w:rFonts w:ascii="宋体"/>
              </w:rPr>
            </w:pPr>
          </w:p>
        </w:tc>
        <w:tc>
          <w:tcPr>
            <w:tcW w:w="0" w:type="auto"/>
            <w:shd w:val="clear" w:color="auto" w:fill="auto"/>
          </w:tcPr>
          <w:p w14:paraId="4090ECA5" w14:textId="77777777" w:rsidR="00833634" w:rsidRDefault="00833634">
            <w:pPr>
              <w:rPr>
                <w:rFonts w:ascii="宋体"/>
                <w:vanish/>
              </w:rPr>
            </w:pPr>
          </w:p>
        </w:tc>
        <w:tc>
          <w:tcPr>
            <w:tcW w:w="0" w:type="auto"/>
            <w:shd w:val="clear" w:color="auto" w:fill="auto"/>
          </w:tcPr>
          <w:p w14:paraId="4090ECA6" w14:textId="77777777" w:rsidR="00833634" w:rsidRDefault="00833634">
            <w:pPr>
              <w:rPr>
                <w:rFonts w:ascii="宋体"/>
                <w:vanish/>
              </w:rPr>
            </w:pPr>
          </w:p>
        </w:tc>
        <w:tc>
          <w:tcPr>
            <w:tcW w:w="0" w:type="auto"/>
            <w:gridSpan w:val="2"/>
            <w:shd w:val="clear" w:color="auto" w:fill="CCEEFF"/>
            <w:tcMar>
              <w:top w:w="40" w:type="dxa"/>
              <w:left w:w="20" w:type="dxa"/>
              <w:bottom w:w="40" w:type="dxa"/>
              <w:right w:w="0" w:type="dxa"/>
            </w:tcMar>
            <w:vAlign w:val="bottom"/>
          </w:tcPr>
          <w:p w14:paraId="4090ECA7" w14:textId="77777777" w:rsidR="00833634" w:rsidRDefault="00E15D51">
            <w:pPr>
              <w:jc w:val="right"/>
              <w:textAlignment w:val="bottom"/>
            </w:pPr>
            <w:r>
              <w:rPr>
                <w:rFonts w:ascii="Arial" w:eastAsia="宋体" w:hAnsi="Arial" w:cs="Arial"/>
                <w:color w:val="000000"/>
                <w:sz w:val="20"/>
                <w:szCs w:val="20"/>
              </w:rPr>
              <w:t>33 </w:t>
            </w:r>
          </w:p>
        </w:tc>
        <w:tc>
          <w:tcPr>
            <w:tcW w:w="0" w:type="auto"/>
            <w:shd w:val="clear" w:color="auto" w:fill="CCEEFF"/>
            <w:tcMar>
              <w:top w:w="40" w:type="dxa"/>
              <w:left w:w="0" w:type="dxa"/>
              <w:bottom w:w="40" w:type="dxa"/>
              <w:right w:w="20" w:type="dxa"/>
            </w:tcMar>
            <w:vAlign w:val="bottom"/>
          </w:tcPr>
          <w:p w14:paraId="4090ECA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A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CAA" w14:textId="77777777" w:rsidR="00833634" w:rsidRDefault="00E15D51">
            <w:pPr>
              <w:jc w:val="right"/>
              <w:textAlignment w:val="bottom"/>
            </w:pPr>
            <w:r>
              <w:rPr>
                <w:rFonts w:ascii="Arial" w:eastAsia="宋体" w:hAnsi="Arial" w:cs="Arial"/>
                <w:color w:val="000000"/>
                <w:sz w:val="20"/>
                <w:szCs w:val="20"/>
              </w:rPr>
              <w:t>33 </w:t>
            </w:r>
          </w:p>
        </w:tc>
        <w:tc>
          <w:tcPr>
            <w:tcW w:w="0" w:type="auto"/>
            <w:shd w:val="clear" w:color="auto" w:fill="CCEEFF"/>
            <w:tcMar>
              <w:top w:w="40" w:type="dxa"/>
              <w:left w:w="0" w:type="dxa"/>
              <w:bottom w:w="40" w:type="dxa"/>
              <w:right w:w="20" w:type="dxa"/>
            </w:tcMar>
            <w:vAlign w:val="bottom"/>
          </w:tcPr>
          <w:p w14:paraId="4090ECA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AC"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AD" w14:textId="77777777" w:rsidR="00833634" w:rsidRDefault="00833634">
            <w:pPr>
              <w:rPr>
                <w:rFonts w:ascii="宋体"/>
              </w:rPr>
            </w:pPr>
          </w:p>
        </w:tc>
        <w:tc>
          <w:tcPr>
            <w:tcW w:w="0" w:type="auto"/>
            <w:gridSpan w:val="3"/>
            <w:shd w:val="clear" w:color="auto" w:fill="auto"/>
          </w:tcPr>
          <w:p w14:paraId="4090ECAE" w14:textId="77777777" w:rsidR="00833634" w:rsidRDefault="00833634">
            <w:pPr>
              <w:rPr>
                <w:rFonts w:ascii="宋体"/>
                <w:vanish/>
              </w:rPr>
            </w:pPr>
          </w:p>
        </w:tc>
        <w:tc>
          <w:tcPr>
            <w:tcW w:w="0" w:type="auto"/>
            <w:gridSpan w:val="3"/>
            <w:shd w:val="clear" w:color="auto" w:fill="auto"/>
          </w:tcPr>
          <w:p w14:paraId="4090ECAF" w14:textId="77777777" w:rsidR="00833634" w:rsidRDefault="00833634">
            <w:pPr>
              <w:rPr>
                <w:rFonts w:ascii="宋体"/>
                <w:vanish/>
              </w:rPr>
            </w:pPr>
          </w:p>
        </w:tc>
      </w:tr>
      <w:tr w:rsidR="00833634" w14:paraId="4090ECC5" w14:textId="77777777">
        <w:tc>
          <w:tcPr>
            <w:tcW w:w="0" w:type="auto"/>
            <w:gridSpan w:val="3"/>
            <w:shd w:val="clear" w:color="auto" w:fill="FFFFFF"/>
            <w:tcMar>
              <w:top w:w="40" w:type="dxa"/>
              <w:left w:w="20" w:type="dxa"/>
              <w:bottom w:w="40" w:type="dxa"/>
              <w:right w:w="20" w:type="dxa"/>
            </w:tcMar>
            <w:vAlign w:val="bottom"/>
          </w:tcPr>
          <w:p w14:paraId="4090ECB1" w14:textId="77777777" w:rsidR="00833634" w:rsidRDefault="00E15D51">
            <w:pPr>
              <w:textAlignment w:val="bottom"/>
            </w:pPr>
            <w:r>
              <w:rPr>
                <w:rFonts w:ascii="Arial" w:eastAsia="宋体" w:hAnsi="Arial" w:cs="Arial"/>
                <w:color w:val="000000"/>
                <w:sz w:val="20"/>
                <w:szCs w:val="20"/>
              </w:rPr>
              <w:t>Derivatives</w:t>
            </w:r>
          </w:p>
        </w:tc>
        <w:tc>
          <w:tcPr>
            <w:tcW w:w="0" w:type="auto"/>
            <w:gridSpan w:val="2"/>
            <w:shd w:val="clear" w:color="auto" w:fill="FFFFFF"/>
            <w:tcMar>
              <w:top w:w="40" w:type="dxa"/>
              <w:left w:w="20" w:type="dxa"/>
              <w:bottom w:w="40" w:type="dxa"/>
              <w:right w:w="0" w:type="dxa"/>
            </w:tcMar>
            <w:vAlign w:val="bottom"/>
          </w:tcPr>
          <w:p w14:paraId="4090ECB2" w14:textId="77777777" w:rsidR="00833634" w:rsidRDefault="00E15D51">
            <w:pPr>
              <w:jc w:val="right"/>
              <w:textAlignment w:val="bottom"/>
            </w:pPr>
            <w:r>
              <w:rPr>
                <w:rFonts w:ascii="Arial" w:eastAsia="宋体" w:hAnsi="Arial" w:cs="Arial"/>
                <w:b/>
                <w:bCs/>
                <w:color w:val="000000"/>
                <w:sz w:val="20"/>
                <w:szCs w:val="20"/>
              </w:rPr>
              <w:t>17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CB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B4"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B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B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CB7" w14:textId="77777777" w:rsidR="00833634" w:rsidRDefault="00E15D51">
            <w:pPr>
              <w:jc w:val="right"/>
              <w:textAlignment w:val="bottom"/>
            </w:pPr>
            <w:r>
              <w:rPr>
                <w:rFonts w:ascii="Arial" w:eastAsia="宋体" w:hAnsi="Arial" w:cs="Arial"/>
                <w:b/>
                <w:bCs/>
                <w:color w:val="000000"/>
                <w:sz w:val="20"/>
                <w:szCs w:val="20"/>
              </w:rPr>
              <w:t>17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CB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B9" w14:textId="77777777" w:rsidR="00833634" w:rsidRDefault="00833634">
            <w:pPr>
              <w:rPr>
                <w:rFonts w:ascii="宋体"/>
              </w:rPr>
            </w:pPr>
          </w:p>
        </w:tc>
        <w:tc>
          <w:tcPr>
            <w:tcW w:w="0" w:type="auto"/>
            <w:shd w:val="clear" w:color="auto" w:fill="auto"/>
          </w:tcPr>
          <w:p w14:paraId="4090ECBA" w14:textId="77777777" w:rsidR="00833634" w:rsidRDefault="00833634">
            <w:pPr>
              <w:rPr>
                <w:rFonts w:ascii="宋体"/>
                <w:vanish/>
              </w:rPr>
            </w:pPr>
          </w:p>
        </w:tc>
        <w:tc>
          <w:tcPr>
            <w:tcW w:w="0" w:type="auto"/>
            <w:shd w:val="clear" w:color="auto" w:fill="auto"/>
          </w:tcPr>
          <w:p w14:paraId="4090ECBB" w14:textId="77777777" w:rsidR="00833634" w:rsidRDefault="00833634">
            <w:pPr>
              <w:rPr>
                <w:rFonts w:ascii="宋体"/>
                <w:vanish/>
              </w:rPr>
            </w:pPr>
          </w:p>
        </w:tc>
        <w:tc>
          <w:tcPr>
            <w:tcW w:w="0" w:type="auto"/>
            <w:gridSpan w:val="2"/>
            <w:shd w:val="clear" w:color="auto" w:fill="FFFFFF"/>
            <w:tcMar>
              <w:top w:w="40" w:type="dxa"/>
              <w:left w:w="20" w:type="dxa"/>
              <w:bottom w:w="40" w:type="dxa"/>
              <w:right w:w="0" w:type="dxa"/>
            </w:tcMar>
            <w:vAlign w:val="bottom"/>
          </w:tcPr>
          <w:p w14:paraId="4090ECBC" w14:textId="77777777" w:rsidR="00833634" w:rsidRDefault="00E15D51">
            <w:pPr>
              <w:jc w:val="right"/>
              <w:textAlignment w:val="bottom"/>
            </w:pPr>
            <w:r>
              <w:rPr>
                <w:rFonts w:ascii="Arial" w:eastAsia="宋体" w:hAnsi="Arial" w:cs="Arial"/>
                <w:color w:val="000000"/>
                <w:sz w:val="20"/>
                <w:szCs w:val="20"/>
              </w:rPr>
              <w:t>14 </w:t>
            </w:r>
          </w:p>
        </w:tc>
        <w:tc>
          <w:tcPr>
            <w:tcW w:w="0" w:type="auto"/>
            <w:shd w:val="clear" w:color="auto" w:fill="FFFFFF"/>
            <w:tcMar>
              <w:top w:w="40" w:type="dxa"/>
              <w:left w:w="0" w:type="dxa"/>
              <w:bottom w:w="40" w:type="dxa"/>
              <w:right w:w="20" w:type="dxa"/>
            </w:tcMar>
            <w:vAlign w:val="bottom"/>
          </w:tcPr>
          <w:p w14:paraId="4090ECB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CB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B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CC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CC1" w14:textId="77777777" w:rsidR="00833634" w:rsidRDefault="00E15D51">
            <w:pPr>
              <w:jc w:val="right"/>
              <w:textAlignment w:val="bottom"/>
            </w:pPr>
            <w:r>
              <w:rPr>
                <w:rFonts w:ascii="Arial" w:eastAsia="宋体" w:hAnsi="Arial" w:cs="Arial"/>
                <w:color w:val="000000"/>
                <w:sz w:val="20"/>
                <w:szCs w:val="20"/>
              </w:rPr>
              <w:t>14 </w:t>
            </w:r>
          </w:p>
        </w:tc>
        <w:tc>
          <w:tcPr>
            <w:tcW w:w="0" w:type="auto"/>
            <w:shd w:val="clear" w:color="auto" w:fill="FFFFFF"/>
            <w:tcMar>
              <w:top w:w="40" w:type="dxa"/>
              <w:left w:w="0" w:type="dxa"/>
              <w:bottom w:w="40" w:type="dxa"/>
              <w:right w:w="20" w:type="dxa"/>
            </w:tcMar>
            <w:vAlign w:val="bottom"/>
          </w:tcPr>
          <w:p w14:paraId="4090ECC2" w14:textId="77777777" w:rsidR="00833634" w:rsidRDefault="00833634">
            <w:pPr>
              <w:jc w:val="right"/>
              <w:rPr>
                <w:rFonts w:ascii="宋体"/>
              </w:rPr>
            </w:pPr>
          </w:p>
        </w:tc>
        <w:tc>
          <w:tcPr>
            <w:tcW w:w="0" w:type="auto"/>
            <w:gridSpan w:val="3"/>
            <w:shd w:val="clear" w:color="auto" w:fill="auto"/>
          </w:tcPr>
          <w:p w14:paraId="4090ECC3" w14:textId="77777777" w:rsidR="00833634" w:rsidRDefault="00833634">
            <w:pPr>
              <w:rPr>
                <w:rFonts w:ascii="宋体"/>
                <w:vanish/>
              </w:rPr>
            </w:pPr>
          </w:p>
        </w:tc>
        <w:tc>
          <w:tcPr>
            <w:tcW w:w="0" w:type="auto"/>
            <w:gridSpan w:val="3"/>
            <w:shd w:val="clear" w:color="auto" w:fill="auto"/>
          </w:tcPr>
          <w:p w14:paraId="4090ECC4" w14:textId="77777777" w:rsidR="00833634" w:rsidRDefault="00833634">
            <w:pPr>
              <w:rPr>
                <w:rFonts w:ascii="宋体"/>
                <w:vanish/>
              </w:rPr>
            </w:pPr>
          </w:p>
        </w:tc>
      </w:tr>
      <w:tr w:rsidR="00833634" w14:paraId="4090ECD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CC6" w14:textId="77777777" w:rsidR="00833634" w:rsidRDefault="00E15D51">
            <w:pPr>
              <w:textAlignment w:val="bottom"/>
            </w:pPr>
            <w:r>
              <w:rPr>
                <w:rFonts w:ascii="Arial" w:eastAsia="宋体" w:hAnsi="Arial" w:cs="Arial"/>
                <w:color w:val="000000"/>
                <w:sz w:val="20"/>
                <w:szCs w:val="20"/>
              </w:rPr>
              <w:t>Total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CC7" w14:textId="77777777" w:rsidR="00833634" w:rsidRDefault="00E15D51">
            <w:pPr>
              <w:jc w:val="right"/>
              <w:textAlignment w:val="bottom"/>
            </w:pPr>
            <w:r>
              <w:rPr>
                <w:rFonts w:ascii="Arial" w:eastAsia="宋体" w:hAnsi="Arial" w:cs="Arial"/>
                <w:b/>
                <w:bCs/>
                <w:color w:val="000000"/>
                <w:sz w:val="20"/>
                <w:szCs w:val="20"/>
              </w:rPr>
              <w:t>$4,676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CC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C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CCA" w14:textId="77777777" w:rsidR="00833634" w:rsidRDefault="00E15D51">
            <w:pPr>
              <w:jc w:val="right"/>
              <w:textAlignment w:val="bottom"/>
            </w:pPr>
            <w:r>
              <w:rPr>
                <w:rFonts w:ascii="Arial" w:eastAsia="宋体" w:hAnsi="Arial" w:cs="Arial"/>
                <w:b/>
                <w:bCs/>
                <w:color w:val="000000"/>
                <w:sz w:val="20"/>
                <w:szCs w:val="20"/>
              </w:rPr>
              <w:t>$4,063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CC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C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CCD" w14:textId="77777777" w:rsidR="00833634" w:rsidRDefault="00E15D51">
            <w:pPr>
              <w:jc w:val="right"/>
              <w:textAlignment w:val="bottom"/>
            </w:pPr>
            <w:r>
              <w:rPr>
                <w:rFonts w:ascii="Arial" w:eastAsia="宋体" w:hAnsi="Arial" w:cs="Arial"/>
                <w:b/>
                <w:bCs/>
                <w:color w:val="000000"/>
                <w:sz w:val="20"/>
                <w:szCs w:val="20"/>
              </w:rPr>
              <w:t>$613</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CC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CF" w14:textId="77777777" w:rsidR="00833634" w:rsidRDefault="00833634">
            <w:pPr>
              <w:rPr>
                <w:rFonts w:ascii="宋体"/>
              </w:rPr>
            </w:pPr>
          </w:p>
        </w:tc>
        <w:tc>
          <w:tcPr>
            <w:tcW w:w="0" w:type="auto"/>
            <w:shd w:val="clear" w:color="auto" w:fill="auto"/>
          </w:tcPr>
          <w:p w14:paraId="4090ECD0" w14:textId="77777777" w:rsidR="00833634" w:rsidRDefault="00833634">
            <w:pPr>
              <w:rPr>
                <w:rFonts w:ascii="宋体"/>
                <w:vanish/>
              </w:rPr>
            </w:pPr>
          </w:p>
        </w:tc>
        <w:tc>
          <w:tcPr>
            <w:tcW w:w="0" w:type="auto"/>
            <w:shd w:val="clear" w:color="auto" w:fill="auto"/>
          </w:tcPr>
          <w:p w14:paraId="4090ECD1" w14:textId="77777777" w:rsidR="00833634" w:rsidRDefault="00833634">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CD2" w14:textId="77777777" w:rsidR="00833634" w:rsidRDefault="00E15D51">
            <w:pPr>
              <w:jc w:val="right"/>
              <w:textAlignment w:val="bottom"/>
            </w:pPr>
            <w:r>
              <w:rPr>
                <w:rFonts w:ascii="Arial" w:eastAsia="宋体" w:hAnsi="Arial" w:cs="Arial"/>
                <w:color w:val="000000"/>
                <w:sz w:val="20"/>
                <w:szCs w:val="20"/>
              </w:rPr>
              <w:t>$3,014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CD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D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CD5" w14:textId="77777777" w:rsidR="00833634" w:rsidRDefault="00E15D51">
            <w:pPr>
              <w:jc w:val="right"/>
              <w:textAlignment w:val="bottom"/>
            </w:pPr>
            <w:r>
              <w:rPr>
                <w:rFonts w:ascii="Arial" w:eastAsia="宋体" w:hAnsi="Arial" w:cs="Arial"/>
                <w:color w:val="000000"/>
                <w:sz w:val="20"/>
                <w:szCs w:val="20"/>
              </w:rPr>
              <w:t>$2,650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CD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CD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CD8" w14:textId="77777777" w:rsidR="00833634" w:rsidRDefault="00E15D51">
            <w:pPr>
              <w:jc w:val="right"/>
              <w:textAlignment w:val="bottom"/>
            </w:pPr>
            <w:r>
              <w:rPr>
                <w:rFonts w:ascii="Arial" w:eastAsia="宋体" w:hAnsi="Arial" w:cs="Arial"/>
                <w:color w:val="000000"/>
                <w:sz w:val="20"/>
                <w:szCs w:val="20"/>
              </w:rPr>
              <w:t>$364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CD9" w14:textId="77777777" w:rsidR="00833634" w:rsidRDefault="00833634">
            <w:pPr>
              <w:jc w:val="right"/>
              <w:rPr>
                <w:rFonts w:ascii="宋体"/>
              </w:rPr>
            </w:pPr>
          </w:p>
        </w:tc>
        <w:tc>
          <w:tcPr>
            <w:tcW w:w="0" w:type="auto"/>
            <w:gridSpan w:val="3"/>
            <w:shd w:val="clear" w:color="auto" w:fill="auto"/>
          </w:tcPr>
          <w:p w14:paraId="4090ECDA" w14:textId="77777777" w:rsidR="00833634" w:rsidRDefault="00833634">
            <w:pPr>
              <w:rPr>
                <w:rFonts w:ascii="宋体"/>
                <w:vanish/>
              </w:rPr>
            </w:pPr>
          </w:p>
        </w:tc>
        <w:tc>
          <w:tcPr>
            <w:tcW w:w="0" w:type="auto"/>
            <w:gridSpan w:val="3"/>
            <w:shd w:val="clear" w:color="auto" w:fill="auto"/>
          </w:tcPr>
          <w:p w14:paraId="4090ECDB" w14:textId="77777777" w:rsidR="00833634" w:rsidRDefault="00833634">
            <w:pPr>
              <w:rPr>
                <w:rFonts w:ascii="宋体"/>
                <w:vanish/>
              </w:rPr>
            </w:pPr>
          </w:p>
        </w:tc>
      </w:tr>
      <w:tr w:rsidR="00833634" w14:paraId="4090ECED" w14:textId="77777777">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4090ECDD" w14:textId="77777777" w:rsidR="00833634" w:rsidRDefault="00E15D51">
            <w:pPr>
              <w:textAlignment w:val="bottom"/>
            </w:pPr>
            <w:r>
              <w:rPr>
                <w:rFonts w:ascii="Arial" w:eastAsia="宋体" w:hAnsi="Arial" w:cs="Arial"/>
                <w:b/>
                <w:bCs/>
                <w:color w:val="000000"/>
                <w:sz w:val="20"/>
                <w:szCs w:val="20"/>
              </w:rPr>
              <w:t>Liabilities</w:t>
            </w:r>
          </w:p>
        </w:tc>
        <w:tc>
          <w:tcPr>
            <w:tcW w:w="0" w:type="auto"/>
            <w:gridSpan w:val="3"/>
            <w:tcBorders>
              <w:top w:val="double" w:sz="6" w:space="0" w:color="000000"/>
            </w:tcBorders>
            <w:shd w:val="clear" w:color="auto" w:fill="FFFFFF"/>
            <w:tcMar>
              <w:top w:w="0" w:type="dxa"/>
              <w:left w:w="20" w:type="dxa"/>
              <w:bottom w:w="0" w:type="dxa"/>
              <w:right w:w="20" w:type="dxa"/>
            </w:tcMar>
          </w:tcPr>
          <w:p w14:paraId="4090ECDE"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DF"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E0"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E1"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E2"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E3" w14:textId="77777777" w:rsidR="00833634" w:rsidRDefault="00833634">
            <w:pPr>
              <w:rPr>
                <w:rFonts w:ascii="宋体"/>
              </w:rPr>
            </w:pPr>
          </w:p>
        </w:tc>
        <w:tc>
          <w:tcPr>
            <w:tcW w:w="0" w:type="auto"/>
            <w:shd w:val="clear" w:color="auto" w:fill="auto"/>
          </w:tcPr>
          <w:p w14:paraId="4090ECE4" w14:textId="77777777" w:rsidR="00833634" w:rsidRDefault="00833634">
            <w:pPr>
              <w:rPr>
                <w:rFonts w:ascii="宋体"/>
                <w:vanish/>
              </w:rPr>
            </w:pPr>
          </w:p>
        </w:tc>
        <w:tc>
          <w:tcPr>
            <w:tcW w:w="0" w:type="auto"/>
            <w:shd w:val="clear" w:color="auto" w:fill="auto"/>
          </w:tcPr>
          <w:p w14:paraId="4090ECE5" w14:textId="77777777" w:rsidR="00833634" w:rsidRDefault="00833634">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E6"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E7"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E8"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E9"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CEA" w14:textId="77777777" w:rsidR="00833634" w:rsidRDefault="00833634">
            <w:pPr>
              <w:rPr>
                <w:rFonts w:ascii="宋体"/>
              </w:rPr>
            </w:pPr>
          </w:p>
        </w:tc>
        <w:tc>
          <w:tcPr>
            <w:tcW w:w="0" w:type="auto"/>
            <w:gridSpan w:val="3"/>
            <w:shd w:val="clear" w:color="auto" w:fill="auto"/>
          </w:tcPr>
          <w:p w14:paraId="4090ECEB" w14:textId="77777777" w:rsidR="00833634" w:rsidRDefault="00833634">
            <w:pPr>
              <w:rPr>
                <w:rFonts w:ascii="宋体"/>
                <w:vanish/>
              </w:rPr>
            </w:pPr>
          </w:p>
        </w:tc>
        <w:tc>
          <w:tcPr>
            <w:tcW w:w="0" w:type="auto"/>
            <w:gridSpan w:val="3"/>
            <w:shd w:val="clear" w:color="auto" w:fill="auto"/>
          </w:tcPr>
          <w:p w14:paraId="4090ECEC" w14:textId="77777777" w:rsidR="00833634" w:rsidRDefault="00833634">
            <w:pPr>
              <w:rPr>
                <w:rFonts w:ascii="宋体"/>
                <w:vanish/>
              </w:rPr>
            </w:pPr>
          </w:p>
        </w:tc>
      </w:tr>
      <w:tr w:rsidR="00833634" w14:paraId="4090ED02" w14:textId="77777777">
        <w:tc>
          <w:tcPr>
            <w:tcW w:w="0" w:type="auto"/>
            <w:gridSpan w:val="3"/>
            <w:shd w:val="clear" w:color="auto" w:fill="CCEEFF"/>
            <w:tcMar>
              <w:top w:w="40" w:type="dxa"/>
              <w:left w:w="20" w:type="dxa"/>
              <w:bottom w:w="40" w:type="dxa"/>
              <w:right w:w="20" w:type="dxa"/>
            </w:tcMar>
            <w:vAlign w:val="bottom"/>
          </w:tcPr>
          <w:p w14:paraId="4090ECEE" w14:textId="77777777" w:rsidR="00833634" w:rsidRDefault="00E15D51">
            <w:pPr>
              <w:textAlignment w:val="bottom"/>
            </w:pPr>
            <w:r>
              <w:rPr>
                <w:rFonts w:ascii="Arial" w:eastAsia="宋体" w:hAnsi="Arial" w:cs="Arial"/>
                <w:color w:val="000000"/>
                <w:sz w:val="20"/>
                <w:szCs w:val="20"/>
              </w:rPr>
              <w:t>Derivatives</w:t>
            </w:r>
          </w:p>
        </w:tc>
        <w:tc>
          <w:tcPr>
            <w:tcW w:w="0" w:type="auto"/>
            <w:gridSpan w:val="2"/>
            <w:shd w:val="clear" w:color="auto" w:fill="CCEEFF"/>
            <w:tcMar>
              <w:top w:w="40" w:type="dxa"/>
              <w:left w:w="20" w:type="dxa"/>
              <w:bottom w:w="40" w:type="dxa"/>
              <w:right w:w="0" w:type="dxa"/>
            </w:tcMar>
            <w:vAlign w:val="bottom"/>
          </w:tcPr>
          <w:p w14:paraId="4090ECEF" w14:textId="77777777" w:rsidR="00833634" w:rsidRDefault="00E15D51">
            <w:pPr>
              <w:jc w:val="right"/>
              <w:textAlignment w:val="bottom"/>
            </w:pPr>
            <w:r>
              <w:rPr>
                <w:rFonts w:ascii="Arial" w:eastAsia="宋体" w:hAnsi="Arial" w:cs="Arial"/>
                <w:b/>
                <w:bCs/>
                <w:color w:val="000000"/>
                <w:sz w:val="20"/>
                <w:szCs w:val="20"/>
              </w:rPr>
              <w:t>($183)</w:t>
            </w:r>
          </w:p>
        </w:tc>
        <w:tc>
          <w:tcPr>
            <w:tcW w:w="0" w:type="auto"/>
            <w:shd w:val="clear" w:color="auto" w:fill="CCEEFF"/>
            <w:tcMar>
              <w:top w:w="40" w:type="dxa"/>
              <w:left w:w="0" w:type="dxa"/>
              <w:bottom w:w="40" w:type="dxa"/>
              <w:right w:w="20" w:type="dxa"/>
            </w:tcMar>
            <w:vAlign w:val="bottom"/>
          </w:tcPr>
          <w:p w14:paraId="4090ECF0"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F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F2"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F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CF4" w14:textId="77777777" w:rsidR="00833634" w:rsidRDefault="00E15D51">
            <w:pPr>
              <w:jc w:val="right"/>
              <w:textAlignment w:val="bottom"/>
            </w:pPr>
            <w:r>
              <w:rPr>
                <w:rFonts w:ascii="Arial" w:eastAsia="宋体" w:hAnsi="Arial" w:cs="Arial"/>
                <w:b/>
                <w:bCs/>
                <w:color w:val="000000"/>
                <w:sz w:val="20"/>
                <w:szCs w:val="20"/>
              </w:rPr>
              <w:t>($183)</w:t>
            </w:r>
          </w:p>
        </w:tc>
        <w:tc>
          <w:tcPr>
            <w:tcW w:w="0" w:type="auto"/>
            <w:shd w:val="clear" w:color="auto" w:fill="CCEEFF"/>
            <w:tcMar>
              <w:top w:w="40" w:type="dxa"/>
              <w:left w:w="0" w:type="dxa"/>
              <w:bottom w:w="40" w:type="dxa"/>
              <w:right w:w="20" w:type="dxa"/>
            </w:tcMar>
            <w:vAlign w:val="bottom"/>
          </w:tcPr>
          <w:p w14:paraId="4090ECF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F6" w14:textId="77777777" w:rsidR="00833634" w:rsidRDefault="00833634">
            <w:pPr>
              <w:rPr>
                <w:rFonts w:ascii="宋体"/>
              </w:rPr>
            </w:pPr>
          </w:p>
        </w:tc>
        <w:tc>
          <w:tcPr>
            <w:tcW w:w="0" w:type="auto"/>
            <w:shd w:val="clear" w:color="auto" w:fill="auto"/>
          </w:tcPr>
          <w:p w14:paraId="4090ECF7" w14:textId="77777777" w:rsidR="00833634" w:rsidRDefault="00833634">
            <w:pPr>
              <w:rPr>
                <w:rFonts w:ascii="宋体"/>
                <w:vanish/>
              </w:rPr>
            </w:pPr>
          </w:p>
        </w:tc>
        <w:tc>
          <w:tcPr>
            <w:tcW w:w="0" w:type="auto"/>
            <w:shd w:val="clear" w:color="auto" w:fill="auto"/>
          </w:tcPr>
          <w:p w14:paraId="4090ECF8" w14:textId="77777777" w:rsidR="00833634" w:rsidRDefault="00833634">
            <w:pPr>
              <w:rPr>
                <w:rFonts w:ascii="宋体"/>
                <w:vanish/>
              </w:rPr>
            </w:pPr>
          </w:p>
        </w:tc>
        <w:tc>
          <w:tcPr>
            <w:tcW w:w="0" w:type="auto"/>
            <w:gridSpan w:val="2"/>
            <w:shd w:val="clear" w:color="auto" w:fill="CCEEFF"/>
            <w:tcMar>
              <w:top w:w="40" w:type="dxa"/>
              <w:left w:w="20" w:type="dxa"/>
              <w:bottom w:w="40" w:type="dxa"/>
              <w:right w:w="0" w:type="dxa"/>
            </w:tcMar>
            <w:vAlign w:val="bottom"/>
          </w:tcPr>
          <w:p w14:paraId="4090ECF9" w14:textId="77777777" w:rsidR="00833634" w:rsidRDefault="00E15D51">
            <w:pPr>
              <w:jc w:val="right"/>
              <w:textAlignment w:val="bottom"/>
            </w:pPr>
            <w:r>
              <w:rPr>
                <w:rFonts w:ascii="Arial" w:eastAsia="宋体" w:hAnsi="Arial" w:cs="Arial"/>
                <w:color w:val="000000"/>
                <w:sz w:val="20"/>
                <w:szCs w:val="20"/>
              </w:rPr>
              <w:t>($118)</w:t>
            </w:r>
          </w:p>
        </w:tc>
        <w:tc>
          <w:tcPr>
            <w:tcW w:w="0" w:type="auto"/>
            <w:shd w:val="clear" w:color="auto" w:fill="CCEEFF"/>
            <w:tcMar>
              <w:top w:w="40" w:type="dxa"/>
              <w:left w:w="0" w:type="dxa"/>
              <w:bottom w:w="40" w:type="dxa"/>
              <w:right w:w="20" w:type="dxa"/>
            </w:tcMar>
            <w:vAlign w:val="bottom"/>
          </w:tcPr>
          <w:p w14:paraId="4090ECF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CF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FC"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CF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CFE" w14:textId="77777777" w:rsidR="00833634" w:rsidRDefault="00E15D51">
            <w:pPr>
              <w:jc w:val="right"/>
              <w:textAlignment w:val="bottom"/>
            </w:pPr>
            <w:r>
              <w:rPr>
                <w:rFonts w:ascii="Arial" w:eastAsia="宋体" w:hAnsi="Arial" w:cs="Arial"/>
                <w:color w:val="000000"/>
                <w:sz w:val="20"/>
                <w:szCs w:val="20"/>
              </w:rPr>
              <w:t>($118)</w:t>
            </w:r>
          </w:p>
        </w:tc>
        <w:tc>
          <w:tcPr>
            <w:tcW w:w="0" w:type="auto"/>
            <w:shd w:val="clear" w:color="auto" w:fill="CCEEFF"/>
            <w:tcMar>
              <w:top w:w="40" w:type="dxa"/>
              <w:left w:w="0" w:type="dxa"/>
              <w:bottom w:w="40" w:type="dxa"/>
              <w:right w:w="20" w:type="dxa"/>
            </w:tcMar>
            <w:vAlign w:val="bottom"/>
          </w:tcPr>
          <w:p w14:paraId="4090ECFF" w14:textId="77777777" w:rsidR="00833634" w:rsidRDefault="00833634">
            <w:pPr>
              <w:jc w:val="right"/>
              <w:rPr>
                <w:rFonts w:ascii="宋体"/>
              </w:rPr>
            </w:pPr>
          </w:p>
        </w:tc>
        <w:tc>
          <w:tcPr>
            <w:tcW w:w="0" w:type="auto"/>
            <w:gridSpan w:val="3"/>
            <w:shd w:val="clear" w:color="auto" w:fill="auto"/>
          </w:tcPr>
          <w:p w14:paraId="4090ED00" w14:textId="77777777" w:rsidR="00833634" w:rsidRDefault="00833634">
            <w:pPr>
              <w:rPr>
                <w:rFonts w:ascii="宋体"/>
                <w:vanish/>
              </w:rPr>
            </w:pPr>
          </w:p>
        </w:tc>
        <w:tc>
          <w:tcPr>
            <w:tcW w:w="0" w:type="auto"/>
            <w:gridSpan w:val="3"/>
            <w:shd w:val="clear" w:color="auto" w:fill="auto"/>
          </w:tcPr>
          <w:p w14:paraId="4090ED01" w14:textId="77777777" w:rsidR="00833634" w:rsidRDefault="00833634">
            <w:pPr>
              <w:rPr>
                <w:rFonts w:ascii="宋体"/>
                <w:vanish/>
              </w:rPr>
            </w:pPr>
          </w:p>
        </w:tc>
      </w:tr>
      <w:tr w:rsidR="00833634" w14:paraId="4090ED17"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ED03" w14:textId="77777777" w:rsidR="00833634" w:rsidRDefault="00E15D51">
            <w:pPr>
              <w:textAlignment w:val="bottom"/>
            </w:pPr>
            <w:r>
              <w:rPr>
                <w:rFonts w:ascii="Arial" w:eastAsia="宋体" w:hAnsi="Arial" w:cs="Arial"/>
                <w:color w:val="000000"/>
                <w:sz w:val="20"/>
                <w:szCs w:val="20"/>
              </w:rPr>
              <w:t>Total liabilities</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D04" w14:textId="77777777" w:rsidR="00833634" w:rsidRDefault="00E15D51">
            <w:pPr>
              <w:jc w:val="right"/>
              <w:textAlignment w:val="bottom"/>
            </w:pPr>
            <w:r>
              <w:rPr>
                <w:rFonts w:ascii="Arial" w:eastAsia="宋体" w:hAnsi="Arial" w:cs="Arial"/>
                <w:b/>
                <w:bCs/>
                <w:color w:val="000000"/>
                <w:sz w:val="20"/>
                <w:szCs w:val="20"/>
              </w:rPr>
              <w:t>($183)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D05"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D06"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D07"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D08"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D09" w14:textId="77777777" w:rsidR="00833634" w:rsidRDefault="00E15D51">
            <w:pPr>
              <w:jc w:val="right"/>
              <w:textAlignment w:val="bottom"/>
            </w:pPr>
            <w:r>
              <w:rPr>
                <w:rFonts w:ascii="Arial" w:eastAsia="宋体" w:hAnsi="Arial" w:cs="Arial"/>
                <w:b/>
                <w:bCs/>
                <w:color w:val="000000"/>
                <w:sz w:val="20"/>
                <w:szCs w:val="20"/>
              </w:rPr>
              <w:t>($183)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D0A"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D0B" w14:textId="77777777" w:rsidR="00833634" w:rsidRDefault="00833634">
            <w:pPr>
              <w:rPr>
                <w:rFonts w:ascii="宋体"/>
              </w:rPr>
            </w:pPr>
          </w:p>
        </w:tc>
        <w:tc>
          <w:tcPr>
            <w:tcW w:w="0" w:type="auto"/>
            <w:shd w:val="clear" w:color="auto" w:fill="auto"/>
          </w:tcPr>
          <w:p w14:paraId="4090ED0C" w14:textId="77777777" w:rsidR="00833634" w:rsidRDefault="00833634">
            <w:pPr>
              <w:rPr>
                <w:rFonts w:ascii="宋体"/>
                <w:vanish/>
              </w:rPr>
            </w:pPr>
          </w:p>
        </w:tc>
        <w:tc>
          <w:tcPr>
            <w:tcW w:w="0" w:type="auto"/>
            <w:shd w:val="clear" w:color="auto" w:fill="auto"/>
          </w:tcPr>
          <w:p w14:paraId="4090ED0D" w14:textId="77777777" w:rsidR="00833634" w:rsidRDefault="00833634">
            <w:pPr>
              <w:rPr>
                <w:rFonts w:ascii="宋体"/>
                <w:vanish/>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D0E" w14:textId="77777777" w:rsidR="00833634" w:rsidRDefault="00E15D51">
            <w:pPr>
              <w:jc w:val="right"/>
              <w:textAlignment w:val="bottom"/>
            </w:pPr>
            <w:r>
              <w:rPr>
                <w:rFonts w:ascii="Arial" w:eastAsia="宋体" w:hAnsi="Arial" w:cs="Arial"/>
                <w:color w:val="000000"/>
                <w:sz w:val="20"/>
                <w:szCs w:val="20"/>
              </w:rPr>
              <w:t>($118)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D0F"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D10"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D11"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ED12"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ED13" w14:textId="77777777" w:rsidR="00833634" w:rsidRDefault="00E15D51">
            <w:pPr>
              <w:jc w:val="right"/>
              <w:textAlignment w:val="bottom"/>
            </w:pPr>
            <w:r>
              <w:rPr>
                <w:rFonts w:ascii="Arial" w:eastAsia="宋体" w:hAnsi="Arial" w:cs="Arial"/>
                <w:color w:val="000000"/>
                <w:sz w:val="20"/>
                <w:szCs w:val="20"/>
              </w:rPr>
              <w:t>($118)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ED14" w14:textId="77777777" w:rsidR="00833634" w:rsidRDefault="00833634">
            <w:pPr>
              <w:jc w:val="right"/>
              <w:rPr>
                <w:rFonts w:ascii="宋体"/>
              </w:rPr>
            </w:pPr>
          </w:p>
        </w:tc>
        <w:tc>
          <w:tcPr>
            <w:tcW w:w="0" w:type="auto"/>
            <w:gridSpan w:val="3"/>
            <w:shd w:val="clear" w:color="auto" w:fill="auto"/>
          </w:tcPr>
          <w:p w14:paraId="4090ED15" w14:textId="77777777" w:rsidR="00833634" w:rsidRDefault="00833634">
            <w:pPr>
              <w:rPr>
                <w:rFonts w:ascii="宋体"/>
                <w:vanish/>
              </w:rPr>
            </w:pPr>
          </w:p>
        </w:tc>
        <w:tc>
          <w:tcPr>
            <w:tcW w:w="0" w:type="auto"/>
            <w:gridSpan w:val="3"/>
            <w:shd w:val="clear" w:color="auto" w:fill="auto"/>
          </w:tcPr>
          <w:p w14:paraId="4090ED16" w14:textId="77777777" w:rsidR="00833634" w:rsidRDefault="00833634">
            <w:pPr>
              <w:rPr>
                <w:rFonts w:ascii="宋体"/>
                <w:vanish/>
              </w:rPr>
            </w:pPr>
          </w:p>
        </w:tc>
      </w:tr>
    </w:tbl>
    <w:p w14:paraId="4090ED18" w14:textId="77777777" w:rsidR="00833634" w:rsidRDefault="00E15D51">
      <w:pPr>
        <w:spacing w:after="180"/>
        <w:jc w:val="both"/>
      </w:pPr>
      <w:r>
        <w:rPr>
          <w:rFonts w:ascii="Arial" w:eastAsia="宋体" w:hAnsi="Arial" w:cs="Arial"/>
          <w:color w:val="000000"/>
          <w:sz w:val="20"/>
          <w:szCs w:val="20"/>
        </w:rPr>
        <w:t>Money market funds, available-for-sale debt investments and equity securities are valued using a market approach based on the quoted mark</w:t>
      </w:r>
      <w:r>
        <w:rPr>
          <w:rFonts w:ascii="Arial" w:eastAsia="宋体" w:hAnsi="Arial" w:cs="Arial"/>
          <w:color w:val="000000"/>
          <w:sz w:val="20"/>
          <w:szCs w:val="20"/>
        </w:rPr>
        <w:t xml:space="preserve">et prices or broker/dealer quotes of identical or comparable instruments. </w:t>
      </w:r>
    </w:p>
    <w:p w14:paraId="4090ED19" w14:textId="77777777" w:rsidR="00833634" w:rsidRDefault="00E15D51">
      <w:pPr>
        <w:spacing w:after="180"/>
        <w:jc w:val="both"/>
      </w:pPr>
      <w:r>
        <w:rPr>
          <w:rFonts w:ascii="Arial" w:eastAsia="宋体" w:hAnsi="Arial" w:cs="Arial"/>
          <w:color w:val="000000"/>
          <w:sz w:val="20"/>
          <w:szCs w:val="20"/>
        </w:rPr>
        <w:t>Derivatives include foreign currency and commodity contracts. Our foreign currency forward contracts are valued using an income approach based on the present value of the forward ra</w:t>
      </w:r>
      <w:r>
        <w:rPr>
          <w:rFonts w:ascii="Arial" w:eastAsia="宋体" w:hAnsi="Arial" w:cs="Arial"/>
          <w:color w:val="000000"/>
          <w:sz w:val="20"/>
          <w:szCs w:val="20"/>
        </w:rPr>
        <w:t xml:space="preserve">te less the contract rate multiplied by the notional amount. Commodity derivatives are valued using an income approach based on the present value of the commodity index prices less the contract rate multiplied by the notional amount. </w:t>
      </w:r>
    </w:p>
    <w:p w14:paraId="4090ED1A" w14:textId="77777777" w:rsidR="00833634" w:rsidRDefault="00E15D51">
      <w:pPr>
        <w:jc w:val="both"/>
      </w:pPr>
      <w:r>
        <w:rPr>
          <w:rFonts w:ascii="Arial" w:eastAsia="宋体" w:hAnsi="Arial" w:cs="Arial"/>
          <w:color w:val="000000"/>
          <w:sz w:val="20"/>
          <w:szCs w:val="20"/>
        </w:rPr>
        <w:t>Certain assets have b</w:t>
      </w:r>
      <w:r>
        <w:rPr>
          <w:rFonts w:ascii="Arial" w:eastAsia="宋体" w:hAnsi="Arial" w:cs="Arial"/>
          <w:color w:val="000000"/>
          <w:sz w:val="20"/>
          <w:szCs w:val="20"/>
        </w:rPr>
        <w:t>een measured at fair value on a nonrecurring basis using significant unobservable inputs (Level 3). The following table presents the nonrecurring losses recognized for the nine months ended September 30 due to long-lived asset impairment and the fair value</w:t>
      </w:r>
      <w:r>
        <w:rPr>
          <w:rFonts w:ascii="Arial" w:eastAsia="宋体" w:hAnsi="Arial" w:cs="Arial"/>
          <w:color w:val="000000"/>
          <w:sz w:val="20"/>
          <w:szCs w:val="20"/>
        </w:rPr>
        <w:t xml:space="preserve"> and asset classification of the related assets as of the impairment date:</w:t>
      </w:r>
    </w:p>
    <w:tbl>
      <w:tblPr>
        <w:tblW w:w="4984" w:type="pct"/>
        <w:tblCellMar>
          <w:top w:w="15" w:type="dxa"/>
          <w:left w:w="15" w:type="dxa"/>
          <w:bottom w:w="15" w:type="dxa"/>
          <w:right w:w="15" w:type="dxa"/>
        </w:tblCellMar>
        <w:tblLook w:val="04A0" w:firstRow="1" w:lastRow="0" w:firstColumn="1" w:lastColumn="0" w:noHBand="0" w:noVBand="1"/>
      </w:tblPr>
      <w:tblGrid>
        <w:gridCol w:w="59"/>
        <w:gridCol w:w="4735"/>
        <w:gridCol w:w="37"/>
        <w:gridCol w:w="59"/>
        <w:gridCol w:w="699"/>
        <w:gridCol w:w="37"/>
        <w:gridCol w:w="37"/>
        <w:gridCol w:w="37"/>
        <w:gridCol w:w="36"/>
        <w:gridCol w:w="75"/>
        <w:gridCol w:w="672"/>
        <w:gridCol w:w="36"/>
        <w:gridCol w:w="36"/>
        <w:gridCol w:w="36"/>
        <w:gridCol w:w="36"/>
        <w:gridCol w:w="57"/>
        <w:gridCol w:w="692"/>
        <w:gridCol w:w="37"/>
        <w:gridCol w:w="37"/>
        <w:gridCol w:w="37"/>
        <w:gridCol w:w="36"/>
        <w:gridCol w:w="69"/>
        <w:gridCol w:w="681"/>
        <w:gridCol w:w="36"/>
      </w:tblGrid>
      <w:tr w:rsidR="00833634" w14:paraId="4090ED33" w14:textId="77777777">
        <w:tc>
          <w:tcPr>
            <w:tcW w:w="50" w:type="pct"/>
            <w:shd w:val="clear" w:color="auto" w:fill="auto"/>
          </w:tcPr>
          <w:p w14:paraId="4090ED1B" w14:textId="77777777" w:rsidR="00833634" w:rsidRDefault="00833634">
            <w:pPr>
              <w:rPr>
                <w:rFonts w:ascii="宋体"/>
              </w:rPr>
            </w:pPr>
          </w:p>
        </w:tc>
        <w:tc>
          <w:tcPr>
            <w:tcW w:w="2863" w:type="pct"/>
            <w:shd w:val="clear" w:color="auto" w:fill="auto"/>
          </w:tcPr>
          <w:p w14:paraId="4090ED1C" w14:textId="77777777" w:rsidR="00833634" w:rsidRDefault="00833634">
            <w:pPr>
              <w:rPr>
                <w:rFonts w:ascii="宋体"/>
              </w:rPr>
            </w:pPr>
          </w:p>
        </w:tc>
        <w:tc>
          <w:tcPr>
            <w:tcW w:w="5" w:type="pct"/>
            <w:shd w:val="clear" w:color="auto" w:fill="auto"/>
          </w:tcPr>
          <w:p w14:paraId="4090ED1D" w14:textId="77777777" w:rsidR="00833634" w:rsidRDefault="00833634">
            <w:pPr>
              <w:rPr>
                <w:rFonts w:ascii="宋体"/>
              </w:rPr>
            </w:pPr>
          </w:p>
        </w:tc>
        <w:tc>
          <w:tcPr>
            <w:tcW w:w="50" w:type="pct"/>
            <w:shd w:val="clear" w:color="auto" w:fill="auto"/>
          </w:tcPr>
          <w:p w14:paraId="4090ED1E" w14:textId="77777777" w:rsidR="00833634" w:rsidRDefault="00833634">
            <w:pPr>
              <w:rPr>
                <w:rFonts w:ascii="宋体"/>
              </w:rPr>
            </w:pPr>
          </w:p>
        </w:tc>
        <w:tc>
          <w:tcPr>
            <w:tcW w:w="435" w:type="pct"/>
            <w:shd w:val="clear" w:color="auto" w:fill="auto"/>
          </w:tcPr>
          <w:p w14:paraId="4090ED1F" w14:textId="77777777" w:rsidR="00833634" w:rsidRDefault="00833634">
            <w:pPr>
              <w:rPr>
                <w:rFonts w:ascii="宋体"/>
              </w:rPr>
            </w:pPr>
          </w:p>
        </w:tc>
        <w:tc>
          <w:tcPr>
            <w:tcW w:w="5" w:type="pct"/>
            <w:shd w:val="clear" w:color="auto" w:fill="auto"/>
          </w:tcPr>
          <w:p w14:paraId="4090ED20" w14:textId="77777777" w:rsidR="00833634" w:rsidRDefault="00833634">
            <w:pPr>
              <w:rPr>
                <w:rFonts w:ascii="宋体"/>
              </w:rPr>
            </w:pPr>
          </w:p>
        </w:tc>
        <w:tc>
          <w:tcPr>
            <w:tcW w:w="5" w:type="pct"/>
            <w:shd w:val="clear" w:color="auto" w:fill="auto"/>
          </w:tcPr>
          <w:p w14:paraId="4090ED21" w14:textId="77777777" w:rsidR="00833634" w:rsidRDefault="00833634">
            <w:pPr>
              <w:rPr>
                <w:rFonts w:ascii="宋体"/>
              </w:rPr>
            </w:pPr>
          </w:p>
        </w:tc>
        <w:tc>
          <w:tcPr>
            <w:tcW w:w="30" w:type="pct"/>
            <w:shd w:val="clear" w:color="auto" w:fill="auto"/>
          </w:tcPr>
          <w:p w14:paraId="4090ED22" w14:textId="77777777" w:rsidR="00833634" w:rsidRDefault="00833634">
            <w:pPr>
              <w:rPr>
                <w:rFonts w:ascii="宋体"/>
              </w:rPr>
            </w:pPr>
          </w:p>
        </w:tc>
        <w:tc>
          <w:tcPr>
            <w:tcW w:w="5" w:type="pct"/>
            <w:shd w:val="clear" w:color="auto" w:fill="auto"/>
          </w:tcPr>
          <w:p w14:paraId="4090ED23" w14:textId="77777777" w:rsidR="00833634" w:rsidRDefault="00833634">
            <w:pPr>
              <w:rPr>
                <w:rFonts w:ascii="宋体"/>
              </w:rPr>
            </w:pPr>
          </w:p>
        </w:tc>
        <w:tc>
          <w:tcPr>
            <w:tcW w:w="50" w:type="pct"/>
            <w:shd w:val="clear" w:color="auto" w:fill="auto"/>
          </w:tcPr>
          <w:p w14:paraId="4090ED24" w14:textId="77777777" w:rsidR="00833634" w:rsidRDefault="00833634">
            <w:pPr>
              <w:rPr>
                <w:rFonts w:ascii="宋体"/>
              </w:rPr>
            </w:pPr>
          </w:p>
        </w:tc>
        <w:tc>
          <w:tcPr>
            <w:tcW w:w="435" w:type="pct"/>
            <w:shd w:val="clear" w:color="auto" w:fill="auto"/>
          </w:tcPr>
          <w:p w14:paraId="4090ED25" w14:textId="77777777" w:rsidR="00833634" w:rsidRDefault="00833634">
            <w:pPr>
              <w:rPr>
                <w:rFonts w:ascii="宋体"/>
              </w:rPr>
            </w:pPr>
          </w:p>
        </w:tc>
        <w:tc>
          <w:tcPr>
            <w:tcW w:w="5" w:type="pct"/>
            <w:shd w:val="clear" w:color="auto" w:fill="auto"/>
          </w:tcPr>
          <w:p w14:paraId="4090ED26" w14:textId="77777777" w:rsidR="00833634" w:rsidRDefault="00833634">
            <w:pPr>
              <w:rPr>
                <w:rFonts w:ascii="宋体"/>
              </w:rPr>
            </w:pPr>
          </w:p>
        </w:tc>
        <w:tc>
          <w:tcPr>
            <w:tcW w:w="5" w:type="pct"/>
            <w:shd w:val="clear" w:color="auto" w:fill="auto"/>
          </w:tcPr>
          <w:p w14:paraId="4090ED27" w14:textId="77777777" w:rsidR="00833634" w:rsidRDefault="00833634">
            <w:pPr>
              <w:rPr>
                <w:rFonts w:ascii="宋体"/>
              </w:rPr>
            </w:pPr>
          </w:p>
        </w:tc>
        <w:tc>
          <w:tcPr>
            <w:tcW w:w="30" w:type="pct"/>
            <w:shd w:val="clear" w:color="auto" w:fill="auto"/>
          </w:tcPr>
          <w:p w14:paraId="4090ED28" w14:textId="77777777" w:rsidR="00833634" w:rsidRDefault="00833634">
            <w:pPr>
              <w:rPr>
                <w:rFonts w:ascii="宋体"/>
              </w:rPr>
            </w:pPr>
          </w:p>
        </w:tc>
        <w:tc>
          <w:tcPr>
            <w:tcW w:w="5" w:type="pct"/>
            <w:shd w:val="clear" w:color="auto" w:fill="auto"/>
          </w:tcPr>
          <w:p w14:paraId="4090ED29" w14:textId="77777777" w:rsidR="00833634" w:rsidRDefault="00833634">
            <w:pPr>
              <w:rPr>
                <w:rFonts w:ascii="宋体"/>
              </w:rPr>
            </w:pPr>
          </w:p>
        </w:tc>
        <w:tc>
          <w:tcPr>
            <w:tcW w:w="50" w:type="pct"/>
            <w:shd w:val="clear" w:color="auto" w:fill="auto"/>
          </w:tcPr>
          <w:p w14:paraId="4090ED2A" w14:textId="77777777" w:rsidR="00833634" w:rsidRDefault="00833634">
            <w:pPr>
              <w:rPr>
                <w:rFonts w:ascii="宋体"/>
              </w:rPr>
            </w:pPr>
          </w:p>
        </w:tc>
        <w:tc>
          <w:tcPr>
            <w:tcW w:w="435" w:type="pct"/>
            <w:shd w:val="clear" w:color="auto" w:fill="auto"/>
          </w:tcPr>
          <w:p w14:paraId="4090ED2B" w14:textId="77777777" w:rsidR="00833634" w:rsidRDefault="00833634">
            <w:pPr>
              <w:rPr>
                <w:rFonts w:ascii="宋体"/>
              </w:rPr>
            </w:pPr>
          </w:p>
        </w:tc>
        <w:tc>
          <w:tcPr>
            <w:tcW w:w="5" w:type="pct"/>
            <w:shd w:val="clear" w:color="auto" w:fill="auto"/>
          </w:tcPr>
          <w:p w14:paraId="4090ED2C" w14:textId="77777777" w:rsidR="00833634" w:rsidRDefault="00833634">
            <w:pPr>
              <w:rPr>
                <w:rFonts w:ascii="宋体"/>
              </w:rPr>
            </w:pPr>
          </w:p>
        </w:tc>
        <w:tc>
          <w:tcPr>
            <w:tcW w:w="5" w:type="pct"/>
            <w:shd w:val="clear" w:color="auto" w:fill="auto"/>
          </w:tcPr>
          <w:p w14:paraId="4090ED2D" w14:textId="77777777" w:rsidR="00833634" w:rsidRDefault="00833634">
            <w:pPr>
              <w:rPr>
                <w:rFonts w:ascii="宋体"/>
              </w:rPr>
            </w:pPr>
          </w:p>
        </w:tc>
        <w:tc>
          <w:tcPr>
            <w:tcW w:w="30" w:type="pct"/>
            <w:shd w:val="clear" w:color="auto" w:fill="auto"/>
          </w:tcPr>
          <w:p w14:paraId="4090ED2E" w14:textId="77777777" w:rsidR="00833634" w:rsidRDefault="00833634">
            <w:pPr>
              <w:rPr>
                <w:rFonts w:ascii="宋体"/>
              </w:rPr>
            </w:pPr>
          </w:p>
        </w:tc>
        <w:tc>
          <w:tcPr>
            <w:tcW w:w="5" w:type="pct"/>
            <w:shd w:val="clear" w:color="auto" w:fill="auto"/>
          </w:tcPr>
          <w:p w14:paraId="4090ED2F" w14:textId="77777777" w:rsidR="00833634" w:rsidRDefault="00833634">
            <w:pPr>
              <w:rPr>
                <w:rFonts w:ascii="宋体"/>
              </w:rPr>
            </w:pPr>
          </w:p>
        </w:tc>
        <w:tc>
          <w:tcPr>
            <w:tcW w:w="50" w:type="pct"/>
            <w:shd w:val="clear" w:color="auto" w:fill="auto"/>
          </w:tcPr>
          <w:p w14:paraId="4090ED30" w14:textId="77777777" w:rsidR="00833634" w:rsidRDefault="00833634">
            <w:pPr>
              <w:rPr>
                <w:rFonts w:ascii="宋体"/>
              </w:rPr>
            </w:pPr>
          </w:p>
        </w:tc>
        <w:tc>
          <w:tcPr>
            <w:tcW w:w="435" w:type="pct"/>
            <w:shd w:val="clear" w:color="auto" w:fill="auto"/>
          </w:tcPr>
          <w:p w14:paraId="4090ED31" w14:textId="77777777" w:rsidR="00833634" w:rsidRDefault="00833634">
            <w:pPr>
              <w:rPr>
                <w:rFonts w:ascii="宋体"/>
              </w:rPr>
            </w:pPr>
          </w:p>
        </w:tc>
        <w:tc>
          <w:tcPr>
            <w:tcW w:w="5" w:type="pct"/>
            <w:shd w:val="clear" w:color="auto" w:fill="auto"/>
          </w:tcPr>
          <w:p w14:paraId="4090ED32" w14:textId="77777777" w:rsidR="00833634" w:rsidRDefault="00833634">
            <w:pPr>
              <w:rPr>
                <w:rFonts w:ascii="宋体"/>
              </w:rPr>
            </w:pPr>
          </w:p>
        </w:tc>
      </w:tr>
      <w:tr w:rsidR="00833634" w14:paraId="4090ED38" w14:textId="77777777">
        <w:tc>
          <w:tcPr>
            <w:tcW w:w="0" w:type="auto"/>
            <w:gridSpan w:val="3"/>
            <w:shd w:val="clear" w:color="auto" w:fill="auto"/>
            <w:tcMar>
              <w:top w:w="0" w:type="dxa"/>
              <w:left w:w="20" w:type="dxa"/>
              <w:bottom w:w="0" w:type="dxa"/>
              <w:right w:w="20" w:type="dxa"/>
            </w:tcMar>
          </w:tcPr>
          <w:p w14:paraId="4090ED34"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D35" w14:textId="77777777" w:rsidR="00833634" w:rsidRDefault="00E15D51">
            <w:pPr>
              <w:jc w:val="center"/>
              <w:textAlignment w:val="bottom"/>
            </w:pPr>
            <w:r>
              <w:rPr>
                <w:rFonts w:ascii="Arial" w:eastAsia="宋体" w:hAnsi="Arial" w:cs="Arial"/>
                <w:b/>
                <w:bCs/>
                <w:color w:val="000000"/>
                <w:sz w:val="20"/>
                <w:szCs w:val="20"/>
              </w:rPr>
              <w:t>2020</w:t>
            </w:r>
          </w:p>
        </w:tc>
        <w:tc>
          <w:tcPr>
            <w:tcW w:w="0" w:type="auto"/>
            <w:gridSpan w:val="3"/>
            <w:shd w:val="clear" w:color="auto" w:fill="auto"/>
            <w:tcMar>
              <w:top w:w="0" w:type="dxa"/>
              <w:left w:w="20" w:type="dxa"/>
              <w:bottom w:w="0" w:type="dxa"/>
              <w:right w:w="20" w:type="dxa"/>
            </w:tcMar>
          </w:tcPr>
          <w:p w14:paraId="4090ED36"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D37" w14:textId="77777777" w:rsidR="00833634" w:rsidRDefault="00E15D51">
            <w:pPr>
              <w:jc w:val="center"/>
              <w:textAlignment w:val="bottom"/>
            </w:pPr>
            <w:r>
              <w:rPr>
                <w:rFonts w:ascii="Arial" w:eastAsia="宋体" w:hAnsi="Arial" w:cs="Arial"/>
                <w:color w:val="000000"/>
                <w:sz w:val="20"/>
                <w:szCs w:val="20"/>
              </w:rPr>
              <w:t>2019</w:t>
            </w:r>
          </w:p>
        </w:tc>
      </w:tr>
      <w:tr w:rsidR="00833634" w14:paraId="4090ED41"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D39"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D3A" w14:textId="77777777" w:rsidR="00833634" w:rsidRDefault="00E15D51">
            <w:pPr>
              <w:jc w:val="right"/>
              <w:textAlignment w:val="bottom"/>
            </w:pPr>
            <w:r>
              <w:rPr>
                <w:rFonts w:ascii="Arial" w:eastAsia="宋体" w:hAnsi="Arial" w:cs="Arial"/>
                <w:b/>
                <w:bCs/>
                <w:color w:val="000000"/>
                <w:sz w:val="20"/>
                <w:szCs w:val="20"/>
              </w:rPr>
              <w:t>Fair</w:t>
            </w:r>
            <w:r>
              <w:rPr>
                <w:rFonts w:ascii="Arial" w:eastAsia="宋体" w:hAnsi="Arial" w:cs="Arial"/>
                <w:b/>
                <w:bCs/>
                <w:color w:val="000000"/>
                <w:sz w:val="20"/>
                <w:szCs w:val="20"/>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4090ED3B"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D3C" w14:textId="77777777" w:rsidR="00833634" w:rsidRDefault="00E15D51">
            <w:pPr>
              <w:jc w:val="right"/>
              <w:textAlignment w:val="bottom"/>
            </w:pPr>
            <w:r>
              <w:rPr>
                <w:rFonts w:ascii="Arial" w:eastAsia="宋体" w:hAnsi="Arial" w:cs="Arial"/>
                <w:b/>
                <w:bCs/>
                <w:color w:val="000000"/>
                <w:sz w:val="20"/>
                <w:szCs w:val="20"/>
              </w:rPr>
              <w:t>Total</w:t>
            </w:r>
            <w:r>
              <w:rPr>
                <w:rFonts w:ascii="Arial" w:eastAsia="宋体" w:hAnsi="Arial" w:cs="Arial"/>
                <w:b/>
                <w:bCs/>
                <w:color w:val="000000"/>
                <w:sz w:val="20"/>
                <w:szCs w:val="20"/>
              </w:rPr>
              <w:br/>
              <w:t>Losses</w:t>
            </w:r>
          </w:p>
        </w:tc>
        <w:tc>
          <w:tcPr>
            <w:tcW w:w="0" w:type="auto"/>
            <w:gridSpan w:val="3"/>
            <w:tcBorders>
              <w:top w:val="single" w:sz="8" w:space="0" w:color="000000"/>
            </w:tcBorders>
            <w:shd w:val="clear" w:color="auto" w:fill="auto"/>
            <w:tcMar>
              <w:top w:w="0" w:type="dxa"/>
              <w:left w:w="20" w:type="dxa"/>
              <w:bottom w:w="0" w:type="dxa"/>
              <w:right w:w="20" w:type="dxa"/>
            </w:tcMar>
          </w:tcPr>
          <w:p w14:paraId="4090ED3D"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D3E" w14:textId="77777777" w:rsidR="00833634" w:rsidRDefault="00E15D51">
            <w:pPr>
              <w:jc w:val="right"/>
              <w:textAlignment w:val="bottom"/>
            </w:pPr>
            <w:r>
              <w:rPr>
                <w:rFonts w:ascii="Arial" w:eastAsia="宋体" w:hAnsi="Arial" w:cs="Arial"/>
                <w:color w:val="000000"/>
                <w:sz w:val="20"/>
                <w:szCs w:val="20"/>
              </w:rPr>
              <w:t>Fair</w:t>
            </w:r>
            <w:r>
              <w:rPr>
                <w:rFonts w:ascii="Arial" w:eastAsia="宋体" w:hAnsi="Arial" w:cs="Arial"/>
                <w:color w:val="000000"/>
                <w:sz w:val="20"/>
                <w:szCs w:val="20"/>
              </w:rPr>
              <w:br/>
              <w:t>Value</w:t>
            </w:r>
          </w:p>
        </w:tc>
        <w:tc>
          <w:tcPr>
            <w:tcW w:w="0" w:type="auto"/>
            <w:gridSpan w:val="3"/>
            <w:tcBorders>
              <w:top w:val="single" w:sz="8" w:space="0" w:color="000000"/>
            </w:tcBorders>
            <w:shd w:val="clear" w:color="auto" w:fill="auto"/>
            <w:tcMar>
              <w:top w:w="0" w:type="dxa"/>
              <w:left w:w="20" w:type="dxa"/>
              <w:bottom w:w="0" w:type="dxa"/>
              <w:right w:w="20" w:type="dxa"/>
            </w:tcMar>
          </w:tcPr>
          <w:p w14:paraId="4090ED3F"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D40" w14:textId="77777777" w:rsidR="00833634" w:rsidRDefault="00E15D51">
            <w:pPr>
              <w:jc w:val="right"/>
              <w:textAlignment w:val="bottom"/>
            </w:pPr>
            <w:r>
              <w:rPr>
                <w:rFonts w:ascii="Arial" w:eastAsia="宋体" w:hAnsi="Arial" w:cs="Arial"/>
                <w:color w:val="000000"/>
                <w:sz w:val="20"/>
                <w:szCs w:val="20"/>
              </w:rPr>
              <w:t>Total</w:t>
            </w:r>
            <w:r>
              <w:rPr>
                <w:rFonts w:ascii="Arial" w:eastAsia="宋体" w:hAnsi="Arial" w:cs="Arial"/>
                <w:color w:val="000000"/>
                <w:sz w:val="20"/>
                <w:szCs w:val="20"/>
              </w:rPr>
              <w:br/>
              <w:t>Losses</w:t>
            </w:r>
          </w:p>
        </w:tc>
      </w:tr>
      <w:tr w:rsidR="00833634" w14:paraId="4090ED4E"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D42" w14:textId="77777777" w:rsidR="00833634" w:rsidRDefault="00E15D51">
            <w:pPr>
              <w:ind w:hanging="180"/>
              <w:textAlignment w:val="bottom"/>
            </w:pPr>
            <w:r>
              <w:rPr>
                <w:rFonts w:ascii="Arial" w:eastAsia="宋体" w:hAnsi="Arial" w:cs="Arial"/>
                <w:color w:val="000000"/>
                <w:sz w:val="20"/>
                <w:szCs w:val="20"/>
              </w:rPr>
              <w:t>Customer financing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D43" w14:textId="77777777" w:rsidR="00833634" w:rsidRDefault="00E15D51">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D4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D4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D46" w14:textId="77777777" w:rsidR="00833634" w:rsidRDefault="00E15D51">
            <w:pPr>
              <w:jc w:val="right"/>
              <w:textAlignment w:val="bottom"/>
            </w:pPr>
            <w:r>
              <w:rPr>
                <w:rFonts w:ascii="Arial" w:eastAsia="宋体" w:hAnsi="Arial" w:cs="Arial"/>
                <w:b/>
                <w:bCs/>
                <w:color w:val="000000"/>
                <w:sz w:val="20"/>
                <w:szCs w:val="20"/>
              </w:rPr>
              <w:t>($22)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D4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D4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D49" w14:textId="77777777" w:rsidR="00833634" w:rsidRDefault="00E15D51">
            <w:pPr>
              <w:jc w:val="right"/>
              <w:textAlignment w:val="bottom"/>
            </w:pPr>
            <w:r>
              <w:rPr>
                <w:rFonts w:ascii="Arial" w:eastAsia="宋体" w:hAnsi="Arial" w:cs="Arial"/>
                <w:color w:val="000000"/>
                <w:sz w:val="20"/>
                <w:szCs w:val="20"/>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D4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D4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D4C" w14:textId="77777777" w:rsidR="00833634" w:rsidRDefault="00E15D51">
            <w:pPr>
              <w:jc w:val="right"/>
              <w:textAlignment w:val="bottom"/>
            </w:pPr>
            <w:r>
              <w:rPr>
                <w:rFonts w:ascii="Arial" w:eastAsia="宋体" w:hAnsi="Arial" w:cs="Arial"/>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D4D" w14:textId="77777777" w:rsidR="00833634" w:rsidRDefault="00833634">
            <w:pPr>
              <w:jc w:val="right"/>
              <w:rPr>
                <w:rFonts w:ascii="宋体"/>
              </w:rPr>
            </w:pPr>
          </w:p>
        </w:tc>
      </w:tr>
      <w:tr w:rsidR="00833634" w14:paraId="4090ED5B" w14:textId="77777777">
        <w:tc>
          <w:tcPr>
            <w:tcW w:w="0" w:type="auto"/>
            <w:gridSpan w:val="3"/>
            <w:shd w:val="clear" w:color="auto" w:fill="FFFFFF"/>
            <w:tcMar>
              <w:top w:w="40" w:type="dxa"/>
              <w:left w:w="20" w:type="dxa"/>
              <w:bottom w:w="40" w:type="dxa"/>
              <w:right w:w="20" w:type="dxa"/>
            </w:tcMar>
            <w:vAlign w:val="bottom"/>
          </w:tcPr>
          <w:p w14:paraId="4090ED4F" w14:textId="77777777" w:rsidR="00833634" w:rsidRDefault="00E15D51">
            <w:pPr>
              <w:textAlignment w:val="bottom"/>
            </w:pPr>
            <w:r>
              <w:rPr>
                <w:rFonts w:ascii="Arial" w:eastAsia="宋体" w:hAnsi="Arial" w:cs="Arial"/>
                <w:color w:val="000000"/>
                <w:sz w:val="20"/>
                <w:szCs w:val="20"/>
              </w:rPr>
              <w:t>Investments</w:t>
            </w:r>
          </w:p>
        </w:tc>
        <w:tc>
          <w:tcPr>
            <w:tcW w:w="0" w:type="auto"/>
            <w:gridSpan w:val="2"/>
            <w:shd w:val="clear" w:color="auto" w:fill="FFFFFF"/>
            <w:tcMar>
              <w:top w:w="40" w:type="dxa"/>
              <w:left w:w="20" w:type="dxa"/>
              <w:bottom w:w="40" w:type="dxa"/>
              <w:right w:w="0" w:type="dxa"/>
            </w:tcMar>
            <w:vAlign w:val="bottom"/>
          </w:tcPr>
          <w:p w14:paraId="4090ED50" w14:textId="77777777" w:rsidR="00833634" w:rsidRDefault="00E15D51">
            <w:pPr>
              <w:jc w:val="right"/>
              <w:textAlignment w:val="bottom"/>
            </w:pPr>
            <w:r>
              <w:rPr>
                <w:rFonts w:ascii="Arial" w:eastAsia="宋体" w:hAnsi="Arial" w:cs="Arial"/>
                <w:b/>
                <w:bCs/>
                <w:color w:val="000000"/>
                <w:sz w:val="20"/>
                <w:szCs w:val="20"/>
              </w:rPr>
              <w:t>51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D5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D5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D53" w14:textId="77777777" w:rsidR="00833634" w:rsidRDefault="00E15D51">
            <w:pPr>
              <w:jc w:val="right"/>
              <w:textAlignment w:val="bottom"/>
            </w:pPr>
            <w:r>
              <w:rPr>
                <w:rFonts w:ascii="Arial" w:eastAsia="宋体" w:hAnsi="Arial" w:cs="Arial"/>
                <w:b/>
                <w:bCs/>
                <w:color w:val="000000"/>
                <w:sz w:val="20"/>
                <w:szCs w:val="20"/>
              </w:rPr>
              <w:t>(62)</w:t>
            </w:r>
          </w:p>
        </w:tc>
        <w:tc>
          <w:tcPr>
            <w:tcW w:w="0" w:type="auto"/>
            <w:shd w:val="clear" w:color="auto" w:fill="FFFFFF"/>
            <w:tcMar>
              <w:top w:w="40" w:type="dxa"/>
              <w:left w:w="0" w:type="dxa"/>
              <w:bottom w:w="40" w:type="dxa"/>
              <w:right w:w="20" w:type="dxa"/>
            </w:tcMar>
            <w:vAlign w:val="bottom"/>
          </w:tcPr>
          <w:p w14:paraId="4090ED5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D5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D56" w14:textId="77777777" w:rsidR="00833634" w:rsidRDefault="00E15D51">
            <w:pPr>
              <w:jc w:val="right"/>
              <w:textAlignment w:val="bottom"/>
            </w:pPr>
            <w:r>
              <w:rPr>
                <w:rFonts w:ascii="Arial" w:eastAsia="宋体" w:hAnsi="Arial" w:cs="Arial"/>
                <w:color w:val="000000"/>
                <w:sz w:val="20"/>
                <w:szCs w:val="20"/>
              </w:rPr>
              <w:t>51 </w:t>
            </w:r>
          </w:p>
        </w:tc>
        <w:tc>
          <w:tcPr>
            <w:tcW w:w="0" w:type="auto"/>
            <w:shd w:val="clear" w:color="auto" w:fill="FFFFFF"/>
            <w:tcMar>
              <w:top w:w="40" w:type="dxa"/>
              <w:left w:w="0" w:type="dxa"/>
              <w:bottom w:w="40" w:type="dxa"/>
              <w:right w:w="20" w:type="dxa"/>
            </w:tcMar>
            <w:vAlign w:val="bottom"/>
          </w:tcPr>
          <w:p w14:paraId="4090ED5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D5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D59" w14:textId="77777777" w:rsidR="00833634" w:rsidRDefault="00E15D51">
            <w:pPr>
              <w:jc w:val="right"/>
              <w:textAlignment w:val="bottom"/>
            </w:pPr>
            <w:r>
              <w:rPr>
                <w:rFonts w:ascii="Arial" w:eastAsia="宋体" w:hAnsi="Arial" w:cs="Arial"/>
                <w:color w:val="000000"/>
                <w:sz w:val="20"/>
                <w:szCs w:val="20"/>
              </w:rPr>
              <w:t>(84)</w:t>
            </w:r>
          </w:p>
        </w:tc>
        <w:tc>
          <w:tcPr>
            <w:tcW w:w="0" w:type="auto"/>
            <w:shd w:val="clear" w:color="auto" w:fill="FFFFFF"/>
            <w:tcMar>
              <w:top w:w="40" w:type="dxa"/>
              <w:left w:w="0" w:type="dxa"/>
              <w:bottom w:w="40" w:type="dxa"/>
              <w:right w:w="20" w:type="dxa"/>
            </w:tcMar>
            <w:vAlign w:val="bottom"/>
          </w:tcPr>
          <w:p w14:paraId="4090ED5A" w14:textId="77777777" w:rsidR="00833634" w:rsidRDefault="00833634">
            <w:pPr>
              <w:jc w:val="right"/>
              <w:rPr>
                <w:rFonts w:ascii="宋体"/>
              </w:rPr>
            </w:pPr>
          </w:p>
        </w:tc>
      </w:tr>
      <w:tr w:rsidR="00833634" w14:paraId="4090ED68" w14:textId="77777777">
        <w:tc>
          <w:tcPr>
            <w:tcW w:w="0" w:type="auto"/>
            <w:gridSpan w:val="3"/>
            <w:shd w:val="clear" w:color="auto" w:fill="CCEEFF"/>
            <w:tcMar>
              <w:top w:w="40" w:type="dxa"/>
              <w:left w:w="20" w:type="dxa"/>
              <w:bottom w:w="40" w:type="dxa"/>
              <w:right w:w="20" w:type="dxa"/>
            </w:tcMar>
            <w:vAlign w:val="bottom"/>
          </w:tcPr>
          <w:p w14:paraId="4090ED5C" w14:textId="77777777" w:rsidR="00833634" w:rsidRDefault="00E15D51">
            <w:pPr>
              <w:textAlignment w:val="bottom"/>
            </w:pPr>
            <w:r>
              <w:rPr>
                <w:rFonts w:ascii="Arial" w:eastAsia="宋体" w:hAnsi="Arial" w:cs="Arial"/>
                <w:color w:val="000000"/>
                <w:sz w:val="20"/>
                <w:szCs w:val="20"/>
              </w:rPr>
              <w:t>Property, plant and equipment</w:t>
            </w:r>
          </w:p>
        </w:tc>
        <w:tc>
          <w:tcPr>
            <w:tcW w:w="0" w:type="auto"/>
            <w:gridSpan w:val="2"/>
            <w:shd w:val="clear" w:color="auto" w:fill="CCEEFF"/>
            <w:tcMar>
              <w:top w:w="40" w:type="dxa"/>
              <w:left w:w="20" w:type="dxa"/>
              <w:bottom w:w="40" w:type="dxa"/>
              <w:right w:w="0" w:type="dxa"/>
            </w:tcMar>
            <w:vAlign w:val="bottom"/>
          </w:tcPr>
          <w:p w14:paraId="4090ED5D" w14:textId="77777777" w:rsidR="00833634" w:rsidRDefault="00E15D51">
            <w:pPr>
              <w:jc w:val="right"/>
              <w:textAlignment w:val="bottom"/>
            </w:pPr>
            <w:r>
              <w:rPr>
                <w:rFonts w:ascii="Arial" w:eastAsia="宋体" w:hAnsi="Arial" w:cs="Arial"/>
                <w:b/>
                <w:bCs/>
                <w:color w:val="000000"/>
                <w:sz w:val="20"/>
                <w:szCs w:val="20"/>
              </w:rPr>
              <w:t>81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D5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D5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D60" w14:textId="77777777" w:rsidR="00833634" w:rsidRDefault="00E15D51">
            <w:pPr>
              <w:jc w:val="right"/>
              <w:textAlignment w:val="bottom"/>
            </w:pPr>
            <w:r>
              <w:rPr>
                <w:rFonts w:ascii="Arial" w:eastAsia="宋体" w:hAnsi="Arial" w:cs="Arial"/>
                <w:b/>
                <w:bCs/>
                <w:color w:val="000000"/>
                <w:sz w:val="20"/>
                <w:szCs w:val="20"/>
              </w:rPr>
              <w:t>(75)</w:t>
            </w:r>
          </w:p>
        </w:tc>
        <w:tc>
          <w:tcPr>
            <w:tcW w:w="0" w:type="auto"/>
            <w:shd w:val="clear" w:color="auto" w:fill="CCEEFF"/>
            <w:tcMar>
              <w:top w:w="40" w:type="dxa"/>
              <w:left w:w="0" w:type="dxa"/>
              <w:bottom w:w="40" w:type="dxa"/>
              <w:right w:w="20" w:type="dxa"/>
            </w:tcMar>
            <w:vAlign w:val="bottom"/>
          </w:tcPr>
          <w:p w14:paraId="4090ED6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D6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D63" w14:textId="77777777" w:rsidR="00833634" w:rsidRDefault="00E15D51">
            <w:pPr>
              <w:jc w:val="right"/>
              <w:textAlignment w:val="bottom"/>
            </w:pPr>
            <w:r>
              <w:rPr>
                <w:rFonts w:ascii="Arial" w:eastAsia="宋体" w:hAnsi="Arial" w:cs="Arial"/>
                <w:color w:val="000000"/>
                <w:sz w:val="20"/>
                <w:szCs w:val="20"/>
              </w:rPr>
              <w:t>41 </w:t>
            </w:r>
          </w:p>
        </w:tc>
        <w:tc>
          <w:tcPr>
            <w:tcW w:w="0" w:type="auto"/>
            <w:shd w:val="clear" w:color="auto" w:fill="CCEEFF"/>
            <w:tcMar>
              <w:top w:w="40" w:type="dxa"/>
              <w:left w:w="0" w:type="dxa"/>
              <w:bottom w:w="40" w:type="dxa"/>
              <w:right w:w="20" w:type="dxa"/>
            </w:tcMar>
            <w:vAlign w:val="bottom"/>
          </w:tcPr>
          <w:p w14:paraId="4090ED6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D6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D66" w14:textId="77777777" w:rsidR="00833634" w:rsidRDefault="00E15D51">
            <w:pPr>
              <w:jc w:val="right"/>
              <w:textAlignment w:val="bottom"/>
            </w:pPr>
            <w:r>
              <w:rPr>
                <w:rFonts w:ascii="Arial" w:eastAsia="宋体" w:hAnsi="Arial" w:cs="Arial"/>
                <w:color w:val="000000"/>
                <w:sz w:val="20"/>
                <w:szCs w:val="20"/>
              </w:rPr>
              <w:t>(4)</w:t>
            </w:r>
          </w:p>
        </w:tc>
        <w:tc>
          <w:tcPr>
            <w:tcW w:w="0" w:type="auto"/>
            <w:shd w:val="clear" w:color="auto" w:fill="CCEEFF"/>
            <w:tcMar>
              <w:top w:w="40" w:type="dxa"/>
              <w:left w:w="0" w:type="dxa"/>
              <w:bottom w:w="40" w:type="dxa"/>
              <w:right w:w="20" w:type="dxa"/>
            </w:tcMar>
            <w:vAlign w:val="bottom"/>
          </w:tcPr>
          <w:p w14:paraId="4090ED67" w14:textId="77777777" w:rsidR="00833634" w:rsidRDefault="00833634">
            <w:pPr>
              <w:jc w:val="right"/>
              <w:rPr>
                <w:rFonts w:ascii="宋体"/>
              </w:rPr>
            </w:pPr>
          </w:p>
        </w:tc>
      </w:tr>
      <w:tr w:rsidR="00833634" w14:paraId="4090ED75" w14:textId="77777777">
        <w:tc>
          <w:tcPr>
            <w:tcW w:w="0" w:type="auto"/>
            <w:gridSpan w:val="3"/>
            <w:shd w:val="clear" w:color="auto" w:fill="FFFFFF"/>
            <w:tcMar>
              <w:top w:w="40" w:type="dxa"/>
              <w:left w:w="20" w:type="dxa"/>
              <w:bottom w:w="40" w:type="dxa"/>
              <w:right w:w="20" w:type="dxa"/>
            </w:tcMar>
            <w:vAlign w:val="bottom"/>
          </w:tcPr>
          <w:p w14:paraId="4090ED69" w14:textId="77777777" w:rsidR="00833634" w:rsidRDefault="00E15D51">
            <w:pPr>
              <w:textAlignment w:val="bottom"/>
            </w:pPr>
            <w:r>
              <w:rPr>
                <w:rFonts w:ascii="Arial" w:eastAsia="宋体" w:hAnsi="Arial" w:cs="Arial"/>
                <w:color w:val="000000"/>
                <w:sz w:val="20"/>
                <w:szCs w:val="20"/>
              </w:rPr>
              <w:t>Other Assets and Acquired intangible assets</w:t>
            </w:r>
          </w:p>
        </w:tc>
        <w:tc>
          <w:tcPr>
            <w:tcW w:w="0" w:type="auto"/>
            <w:gridSpan w:val="2"/>
            <w:shd w:val="clear" w:color="auto" w:fill="FFFFFF"/>
            <w:tcMar>
              <w:top w:w="40" w:type="dxa"/>
              <w:left w:w="20" w:type="dxa"/>
              <w:bottom w:w="40" w:type="dxa"/>
              <w:right w:w="0" w:type="dxa"/>
            </w:tcMar>
            <w:vAlign w:val="bottom"/>
          </w:tcPr>
          <w:p w14:paraId="4090ED6A" w14:textId="77777777" w:rsidR="00833634" w:rsidRDefault="00E15D51">
            <w:pPr>
              <w:jc w:val="right"/>
              <w:textAlignment w:val="bottom"/>
            </w:pPr>
            <w:r>
              <w:rPr>
                <w:rFonts w:ascii="Arial" w:eastAsia="宋体" w:hAnsi="Arial" w:cs="Arial"/>
                <w:b/>
                <w:bCs/>
                <w:color w:val="000000"/>
                <w:sz w:val="20"/>
                <w:szCs w:val="20"/>
              </w:rPr>
              <w:t>199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D6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D6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D6D" w14:textId="77777777" w:rsidR="00833634" w:rsidRDefault="00E15D51">
            <w:pPr>
              <w:jc w:val="right"/>
              <w:textAlignment w:val="bottom"/>
            </w:pPr>
            <w:r>
              <w:rPr>
                <w:rFonts w:ascii="Arial" w:eastAsia="宋体" w:hAnsi="Arial" w:cs="Arial"/>
                <w:b/>
                <w:bCs/>
                <w:color w:val="000000"/>
                <w:sz w:val="20"/>
                <w:szCs w:val="20"/>
              </w:rPr>
              <w:t>(158)</w:t>
            </w:r>
          </w:p>
        </w:tc>
        <w:tc>
          <w:tcPr>
            <w:tcW w:w="0" w:type="auto"/>
            <w:shd w:val="clear" w:color="auto" w:fill="FFFFFF"/>
            <w:tcMar>
              <w:top w:w="40" w:type="dxa"/>
              <w:left w:w="0" w:type="dxa"/>
              <w:bottom w:w="40" w:type="dxa"/>
              <w:right w:w="20" w:type="dxa"/>
            </w:tcMar>
            <w:vAlign w:val="bottom"/>
          </w:tcPr>
          <w:p w14:paraId="4090ED6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D6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D70" w14:textId="77777777" w:rsidR="00833634" w:rsidRDefault="00E15D51">
            <w:pPr>
              <w:jc w:val="right"/>
              <w:textAlignment w:val="bottom"/>
            </w:pPr>
            <w:r>
              <w:rPr>
                <w:rFonts w:ascii="Arial" w:eastAsia="宋体" w:hAnsi="Arial" w:cs="Arial"/>
                <w:color w:val="000000"/>
                <w:sz w:val="20"/>
                <w:szCs w:val="20"/>
              </w:rPr>
              <w:t>3 </w:t>
            </w:r>
          </w:p>
        </w:tc>
        <w:tc>
          <w:tcPr>
            <w:tcW w:w="0" w:type="auto"/>
            <w:shd w:val="clear" w:color="auto" w:fill="FFFFFF"/>
            <w:tcMar>
              <w:top w:w="40" w:type="dxa"/>
              <w:left w:w="0" w:type="dxa"/>
              <w:bottom w:w="40" w:type="dxa"/>
              <w:right w:w="20" w:type="dxa"/>
            </w:tcMar>
            <w:vAlign w:val="bottom"/>
          </w:tcPr>
          <w:p w14:paraId="4090ED7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D7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D73" w14:textId="77777777" w:rsidR="00833634" w:rsidRDefault="00E15D51">
            <w:pPr>
              <w:jc w:val="right"/>
              <w:textAlignment w:val="bottom"/>
            </w:pPr>
            <w:r>
              <w:rPr>
                <w:rFonts w:ascii="Arial" w:eastAsia="宋体" w:hAnsi="Arial" w:cs="Arial"/>
                <w:color w:val="000000"/>
                <w:sz w:val="20"/>
                <w:szCs w:val="20"/>
              </w:rPr>
              <w:t>(17)</w:t>
            </w:r>
          </w:p>
        </w:tc>
        <w:tc>
          <w:tcPr>
            <w:tcW w:w="0" w:type="auto"/>
            <w:shd w:val="clear" w:color="auto" w:fill="FFFFFF"/>
            <w:tcMar>
              <w:top w:w="40" w:type="dxa"/>
              <w:left w:w="0" w:type="dxa"/>
              <w:bottom w:w="40" w:type="dxa"/>
              <w:right w:w="20" w:type="dxa"/>
            </w:tcMar>
            <w:vAlign w:val="bottom"/>
          </w:tcPr>
          <w:p w14:paraId="4090ED74" w14:textId="77777777" w:rsidR="00833634" w:rsidRDefault="00833634">
            <w:pPr>
              <w:jc w:val="right"/>
              <w:rPr>
                <w:rFonts w:ascii="宋体"/>
              </w:rPr>
            </w:pPr>
          </w:p>
        </w:tc>
      </w:tr>
      <w:tr w:rsidR="00833634" w14:paraId="4090ED82"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ED76" w14:textId="77777777" w:rsidR="00833634" w:rsidRDefault="00E15D51">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D77" w14:textId="77777777" w:rsidR="00833634" w:rsidRDefault="00E15D51">
            <w:pPr>
              <w:jc w:val="right"/>
              <w:textAlignment w:val="bottom"/>
            </w:pPr>
            <w:r>
              <w:rPr>
                <w:rFonts w:ascii="Arial" w:eastAsia="宋体" w:hAnsi="Arial" w:cs="Arial"/>
                <w:b/>
                <w:bCs/>
                <w:color w:val="000000"/>
                <w:sz w:val="20"/>
                <w:szCs w:val="20"/>
              </w:rPr>
              <w:t>$431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D78"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D79"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D7A" w14:textId="77777777" w:rsidR="00833634" w:rsidRDefault="00E15D51">
            <w:pPr>
              <w:jc w:val="right"/>
              <w:textAlignment w:val="bottom"/>
            </w:pPr>
            <w:r>
              <w:rPr>
                <w:rFonts w:ascii="Arial" w:eastAsia="宋体" w:hAnsi="Arial" w:cs="Arial"/>
                <w:b/>
                <w:bCs/>
                <w:color w:val="000000"/>
                <w:sz w:val="20"/>
                <w:szCs w:val="20"/>
              </w:rPr>
              <w:t>($317)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D7B"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D7C"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D7D" w14:textId="77777777" w:rsidR="00833634" w:rsidRDefault="00E15D51">
            <w:pPr>
              <w:jc w:val="right"/>
              <w:textAlignment w:val="bottom"/>
            </w:pPr>
            <w:r>
              <w:rPr>
                <w:rFonts w:ascii="Arial" w:eastAsia="宋体" w:hAnsi="Arial" w:cs="Arial"/>
                <w:color w:val="000000"/>
                <w:sz w:val="20"/>
                <w:szCs w:val="20"/>
              </w:rPr>
              <w:t>$105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D7E"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ED7F"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ED80" w14:textId="77777777" w:rsidR="00833634" w:rsidRDefault="00E15D51">
            <w:pPr>
              <w:jc w:val="right"/>
              <w:textAlignment w:val="bottom"/>
            </w:pPr>
            <w:r>
              <w:rPr>
                <w:rFonts w:ascii="Arial" w:eastAsia="宋体" w:hAnsi="Arial" w:cs="Arial"/>
                <w:color w:val="000000"/>
                <w:sz w:val="20"/>
                <w:szCs w:val="20"/>
              </w:rPr>
              <w:t>($106)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ED81" w14:textId="77777777" w:rsidR="00833634" w:rsidRDefault="00833634">
            <w:pPr>
              <w:jc w:val="right"/>
              <w:rPr>
                <w:rFonts w:ascii="宋体"/>
              </w:rPr>
            </w:pPr>
          </w:p>
        </w:tc>
      </w:tr>
    </w:tbl>
    <w:p w14:paraId="4090ED83" w14:textId="77777777" w:rsidR="00833634" w:rsidRDefault="00E15D51">
      <w:pPr>
        <w:spacing w:after="180"/>
        <w:jc w:val="both"/>
      </w:pPr>
      <w:r>
        <w:rPr>
          <w:rFonts w:ascii="Arial" w:eastAsia="宋体" w:hAnsi="Arial" w:cs="Arial"/>
          <w:color w:val="000000"/>
          <w:sz w:val="20"/>
          <w:szCs w:val="20"/>
        </w:rPr>
        <w:t>Investments, Property, plant and equipment, Other assets and Acquired intangible assets were primarily valued using an income approach based on the discounted cash flows associated with the underlying assets. The</w:t>
      </w:r>
      <w:r>
        <w:rPr>
          <w:rFonts w:ascii="Arial" w:eastAsia="宋体" w:hAnsi="Arial" w:cs="Arial"/>
          <w:color w:val="000000"/>
          <w:sz w:val="20"/>
          <w:szCs w:val="20"/>
        </w:rPr>
        <w:t xml:space="preserve"> fair value of the impaired customer financing assets is derived by calculating a median collateral value from a consistent group of third party aircraft value publications. The values provided by the third party aircraft publications are derived from thei</w:t>
      </w:r>
      <w:r>
        <w:rPr>
          <w:rFonts w:ascii="Arial" w:eastAsia="宋体" w:hAnsi="Arial" w:cs="Arial"/>
          <w:color w:val="000000"/>
          <w:sz w:val="20"/>
          <w:szCs w:val="20"/>
        </w:rPr>
        <w:t xml:space="preserve">r knowledge of market trades and other market </w:t>
      </w:r>
    </w:p>
    <w:p w14:paraId="4090ED84" w14:textId="77777777" w:rsidR="00833634" w:rsidRDefault="00E15D51">
      <w:pPr>
        <w:spacing w:after="180"/>
        <w:jc w:val="center"/>
      </w:pPr>
      <w:r>
        <w:rPr>
          <w:rFonts w:ascii="Arial" w:eastAsia="宋体" w:hAnsi="Arial" w:cs="Arial"/>
          <w:color w:val="000000"/>
          <w:sz w:val="18"/>
          <w:szCs w:val="18"/>
        </w:rPr>
        <w:t>29</w:t>
      </w:r>
    </w:p>
    <w:p w14:paraId="4090ED85" w14:textId="77777777" w:rsidR="00833634" w:rsidRDefault="00E15D51">
      <w:r>
        <w:pict w14:anchorId="4090FE3D">
          <v:rect id="_x0000_i1055" style="width:415.3pt;height:1.5pt" o:hralign="center" o:hrstd="t" o:hr="t" fillcolor="#a0a0a0" stroked="f"/>
        </w:pict>
      </w:r>
    </w:p>
    <w:p w14:paraId="4090ED86" w14:textId="77777777" w:rsidR="00833634" w:rsidRDefault="00E15D51">
      <w:pPr>
        <w:spacing w:after="180"/>
        <w:jc w:val="both"/>
      </w:pPr>
      <w:hyperlink r:id="rId132" w:anchor="i8d805bfb1e1c4815a1dcd5b6d1e0b117_10" w:history="1">
        <w:r>
          <w:rPr>
            <w:rStyle w:val="a5"/>
            <w:rFonts w:ascii="Arial" w:eastAsia="宋体" w:hAnsi="Arial" w:cs="Arial"/>
            <w:sz w:val="18"/>
            <w:szCs w:val="18"/>
          </w:rPr>
          <w:t>Table of Contents</w:t>
        </w:r>
      </w:hyperlink>
    </w:p>
    <w:p w14:paraId="4090ED87" w14:textId="77777777" w:rsidR="00833634" w:rsidRDefault="00E15D51">
      <w:pPr>
        <w:spacing w:after="180"/>
        <w:jc w:val="both"/>
      </w:pPr>
      <w:r>
        <w:rPr>
          <w:rFonts w:ascii="Arial" w:eastAsia="宋体" w:hAnsi="Arial" w:cs="Arial"/>
          <w:color w:val="000000"/>
          <w:sz w:val="20"/>
          <w:szCs w:val="20"/>
        </w:rPr>
        <w:t>factors. Management reviews the publications quarterly to assess the continued appropr</w:t>
      </w:r>
      <w:r>
        <w:rPr>
          <w:rFonts w:ascii="Arial" w:eastAsia="宋体" w:hAnsi="Arial" w:cs="Arial"/>
          <w:color w:val="000000"/>
          <w:sz w:val="20"/>
          <w:szCs w:val="20"/>
        </w:rPr>
        <w:t>iateness and consistency with market trends. Under certain circumstances, we adjust values based on the attributes and condition of the specific aircraft or equipment, usually when the features or use of the aircraft vary significantly from the more generi</w:t>
      </w:r>
      <w:r>
        <w:rPr>
          <w:rFonts w:ascii="Arial" w:eastAsia="宋体" w:hAnsi="Arial" w:cs="Arial"/>
          <w:color w:val="000000"/>
          <w:sz w:val="20"/>
          <w:szCs w:val="20"/>
        </w:rPr>
        <w:t>c aircraft attributes covered by third party publications, or on the expected net sales price for the aircraft.</w:t>
      </w:r>
    </w:p>
    <w:p w14:paraId="4090ED88" w14:textId="77777777" w:rsidR="00833634" w:rsidRDefault="00E15D51">
      <w:pPr>
        <w:spacing w:after="180"/>
        <w:jc w:val="both"/>
      </w:pPr>
      <w:r>
        <w:rPr>
          <w:rFonts w:ascii="Arial" w:eastAsia="宋体" w:hAnsi="Arial" w:cs="Arial"/>
          <w:color w:val="000000"/>
          <w:sz w:val="20"/>
          <w:szCs w:val="20"/>
        </w:rPr>
        <w:t>For Level 3 assets that were measured at fair value on a nonrecurring basis during the year ended September 30, 2020, the following table presen</w:t>
      </w:r>
      <w:r>
        <w:rPr>
          <w:rFonts w:ascii="Arial" w:eastAsia="宋体" w:hAnsi="Arial" w:cs="Arial"/>
          <w:color w:val="000000"/>
          <w:sz w:val="20"/>
          <w:szCs w:val="20"/>
        </w:rPr>
        <w:t>ts the fair value of those assets as of the measurement date, valuation techniques and related unobservable inputs of those assets.</w:t>
      </w:r>
    </w:p>
    <w:tbl>
      <w:tblPr>
        <w:tblW w:w="4904" w:type="pct"/>
        <w:jc w:val="center"/>
        <w:tblCellMar>
          <w:top w:w="15" w:type="dxa"/>
          <w:left w:w="15" w:type="dxa"/>
          <w:bottom w:w="15" w:type="dxa"/>
          <w:right w:w="15" w:type="dxa"/>
        </w:tblCellMar>
        <w:tblLook w:val="04A0" w:firstRow="1" w:lastRow="0" w:firstColumn="1" w:lastColumn="0" w:noHBand="0" w:noVBand="1"/>
      </w:tblPr>
      <w:tblGrid>
        <w:gridCol w:w="58"/>
        <w:gridCol w:w="2291"/>
        <w:gridCol w:w="36"/>
        <w:gridCol w:w="61"/>
        <w:gridCol w:w="630"/>
        <w:gridCol w:w="36"/>
        <w:gridCol w:w="36"/>
        <w:gridCol w:w="53"/>
        <w:gridCol w:w="36"/>
        <w:gridCol w:w="80"/>
        <w:gridCol w:w="1121"/>
        <w:gridCol w:w="36"/>
        <w:gridCol w:w="36"/>
        <w:gridCol w:w="39"/>
        <w:gridCol w:w="36"/>
        <w:gridCol w:w="67"/>
        <w:gridCol w:w="1442"/>
        <w:gridCol w:w="36"/>
        <w:gridCol w:w="36"/>
        <w:gridCol w:w="54"/>
        <w:gridCol w:w="36"/>
        <w:gridCol w:w="74"/>
        <w:gridCol w:w="1810"/>
        <w:gridCol w:w="36"/>
      </w:tblGrid>
      <w:tr w:rsidR="00833634" w14:paraId="4090EDA1" w14:textId="77777777">
        <w:trPr>
          <w:jc w:val="center"/>
        </w:trPr>
        <w:tc>
          <w:tcPr>
            <w:tcW w:w="50" w:type="pct"/>
            <w:shd w:val="clear" w:color="auto" w:fill="auto"/>
          </w:tcPr>
          <w:p w14:paraId="4090ED89" w14:textId="77777777" w:rsidR="00833634" w:rsidRDefault="00833634">
            <w:pPr>
              <w:rPr>
                <w:rFonts w:ascii="宋体"/>
              </w:rPr>
            </w:pPr>
          </w:p>
        </w:tc>
        <w:tc>
          <w:tcPr>
            <w:tcW w:w="1415" w:type="pct"/>
            <w:shd w:val="clear" w:color="auto" w:fill="auto"/>
          </w:tcPr>
          <w:p w14:paraId="4090ED8A" w14:textId="77777777" w:rsidR="00833634" w:rsidRDefault="00833634">
            <w:pPr>
              <w:rPr>
                <w:rFonts w:ascii="宋体"/>
              </w:rPr>
            </w:pPr>
          </w:p>
        </w:tc>
        <w:tc>
          <w:tcPr>
            <w:tcW w:w="5" w:type="pct"/>
            <w:shd w:val="clear" w:color="auto" w:fill="auto"/>
          </w:tcPr>
          <w:p w14:paraId="4090ED8B" w14:textId="77777777" w:rsidR="00833634" w:rsidRDefault="00833634">
            <w:pPr>
              <w:rPr>
                <w:rFonts w:ascii="宋体"/>
              </w:rPr>
            </w:pPr>
          </w:p>
        </w:tc>
        <w:tc>
          <w:tcPr>
            <w:tcW w:w="50" w:type="pct"/>
            <w:shd w:val="clear" w:color="auto" w:fill="auto"/>
          </w:tcPr>
          <w:p w14:paraId="4090ED8C" w14:textId="77777777" w:rsidR="00833634" w:rsidRDefault="00833634">
            <w:pPr>
              <w:rPr>
                <w:rFonts w:ascii="宋体"/>
              </w:rPr>
            </w:pPr>
          </w:p>
        </w:tc>
        <w:tc>
          <w:tcPr>
            <w:tcW w:w="402" w:type="pct"/>
            <w:shd w:val="clear" w:color="auto" w:fill="auto"/>
          </w:tcPr>
          <w:p w14:paraId="4090ED8D" w14:textId="77777777" w:rsidR="00833634" w:rsidRDefault="00833634">
            <w:pPr>
              <w:rPr>
                <w:rFonts w:ascii="宋体"/>
              </w:rPr>
            </w:pPr>
          </w:p>
        </w:tc>
        <w:tc>
          <w:tcPr>
            <w:tcW w:w="5" w:type="pct"/>
            <w:shd w:val="clear" w:color="auto" w:fill="auto"/>
          </w:tcPr>
          <w:p w14:paraId="4090ED8E" w14:textId="77777777" w:rsidR="00833634" w:rsidRDefault="00833634">
            <w:pPr>
              <w:rPr>
                <w:rFonts w:ascii="宋体"/>
              </w:rPr>
            </w:pPr>
          </w:p>
        </w:tc>
        <w:tc>
          <w:tcPr>
            <w:tcW w:w="5" w:type="pct"/>
            <w:shd w:val="clear" w:color="auto" w:fill="auto"/>
          </w:tcPr>
          <w:p w14:paraId="4090ED8F" w14:textId="77777777" w:rsidR="00833634" w:rsidRDefault="00833634">
            <w:pPr>
              <w:rPr>
                <w:rFonts w:ascii="宋体"/>
              </w:rPr>
            </w:pPr>
          </w:p>
        </w:tc>
        <w:tc>
          <w:tcPr>
            <w:tcW w:w="47" w:type="pct"/>
            <w:shd w:val="clear" w:color="auto" w:fill="auto"/>
          </w:tcPr>
          <w:p w14:paraId="4090ED90" w14:textId="77777777" w:rsidR="00833634" w:rsidRDefault="00833634">
            <w:pPr>
              <w:rPr>
                <w:rFonts w:ascii="宋体"/>
              </w:rPr>
            </w:pPr>
          </w:p>
        </w:tc>
        <w:tc>
          <w:tcPr>
            <w:tcW w:w="5" w:type="pct"/>
            <w:shd w:val="clear" w:color="auto" w:fill="auto"/>
          </w:tcPr>
          <w:p w14:paraId="4090ED91" w14:textId="77777777" w:rsidR="00833634" w:rsidRDefault="00833634">
            <w:pPr>
              <w:rPr>
                <w:rFonts w:ascii="宋体"/>
              </w:rPr>
            </w:pPr>
          </w:p>
        </w:tc>
        <w:tc>
          <w:tcPr>
            <w:tcW w:w="50" w:type="pct"/>
            <w:shd w:val="clear" w:color="auto" w:fill="auto"/>
          </w:tcPr>
          <w:p w14:paraId="4090ED92" w14:textId="77777777" w:rsidR="00833634" w:rsidRDefault="00833634">
            <w:pPr>
              <w:rPr>
                <w:rFonts w:ascii="宋体"/>
              </w:rPr>
            </w:pPr>
          </w:p>
        </w:tc>
        <w:tc>
          <w:tcPr>
            <w:tcW w:w="704" w:type="pct"/>
            <w:shd w:val="clear" w:color="auto" w:fill="auto"/>
          </w:tcPr>
          <w:p w14:paraId="4090ED93" w14:textId="77777777" w:rsidR="00833634" w:rsidRDefault="00833634">
            <w:pPr>
              <w:rPr>
                <w:rFonts w:ascii="宋体"/>
              </w:rPr>
            </w:pPr>
          </w:p>
        </w:tc>
        <w:tc>
          <w:tcPr>
            <w:tcW w:w="5" w:type="pct"/>
            <w:shd w:val="clear" w:color="auto" w:fill="auto"/>
          </w:tcPr>
          <w:p w14:paraId="4090ED94" w14:textId="77777777" w:rsidR="00833634" w:rsidRDefault="00833634">
            <w:pPr>
              <w:rPr>
                <w:rFonts w:ascii="宋体"/>
              </w:rPr>
            </w:pPr>
          </w:p>
        </w:tc>
        <w:tc>
          <w:tcPr>
            <w:tcW w:w="5" w:type="pct"/>
            <w:shd w:val="clear" w:color="auto" w:fill="auto"/>
          </w:tcPr>
          <w:p w14:paraId="4090ED95" w14:textId="77777777" w:rsidR="00833634" w:rsidRDefault="00833634">
            <w:pPr>
              <w:rPr>
                <w:rFonts w:ascii="宋体"/>
              </w:rPr>
            </w:pPr>
          </w:p>
        </w:tc>
        <w:tc>
          <w:tcPr>
            <w:tcW w:w="47" w:type="pct"/>
            <w:shd w:val="clear" w:color="auto" w:fill="auto"/>
          </w:tcPr>
          <w:p w14:paraId="4090ED96" w14:textId="77777777" w:rsidR="00833634" w:rsidRDefault="00833634">
            <w:pPr>
              <w:rPr>
                <w:rFonts w:ascii="宋体"/>
              </w:rPr>
            </w:pPr>
          </w:p>
        </w:tc>
        <w:tc>
          <w:tcPr>
            <w:tcW w:w="5" w:type="pct"/>
            <w:shd w:val="clear" w:color="auto" w:fill="auto"/>
          </w:tcPr>
          <w:p w14:paraId="4090ED97" w14:textId="77777777" w:rsidR="00833634" w:rsidRDefault="00833634">
            <w:pPr>
              <w:rPr>
                <w:rFonts w:ascii="宋体"/>
              </w:rPr>
            </w:pPr>
          </w:p>
        </w:tc>
        <w:tc>
          <w:tcPr>
            <w:tcW w:w="50" w:type="pct"/>
            <w:shd w:val="clear" w:color="auto" w:fill="auto"/>
          </w:tcPr>
          <w:p w14:paraId="4090ED98" w14:textId="77777777" w:rsidR="00833634" w:rsidRDefault="00833634">
            <w:pPr>
              <w:rPr>
                <w:rFonts w:ascii="宋体"/>
              </w:rPr>
            </w:pPr>
          </w:p>
        </w:tc>
        <w:tc>
          <w:tcPr>
            <w:tcW w:w="900" w:type="pct"/>
            <w:shd w:val="clear" w:color="auto" w:fill="auto"/>
          </w:tcPr>
          <w:p w14:paraId="4090ED99" w14:textId="77777777" w:rsidR="00833634" w:rsidRDefault="00833634">
            <w:pPr>
              <w:rPr>
                <w:rFonts w:ascii="宋体"/>
              </w:rPr>
            </w:pPr>
          </w:p>
        </w:tc>
        <w:tc>
          <w:tcPr>
            <w:tcW w:w="5" w:type="pct"/>
            <w:shd w:val="clear" w:color="auto" w:fill="auto"/>
          </w:tcPr>
          <w:p w14:paraId="4090ED9A" w14:textId="77777777" w:rsidR="00833634" w:rsidRDefault="00833634">
            <w:pPr>
              <w:rPr>
                <w:rFonts w:ascii="宋体"/>
              </w:rPr>
            </w:pPr>
          </w:p>
        </w:tc>
        <w:tc>
          <w:tcPr>
            <w:tcW w:w="5" w:type="pct"/>
            <w:shd w:val="clear" w:color="auto" w:fill="auto"/>
          </w:tcPr>
          <w:p w14:paraId="4090ED9B" w14:textId="77777777" w:rsidR="00833634" w:rsidRDefault="00833634">
            <w:pPr>
              <w:rPr>
                <w:rFonts w:ascii="宋体"/>
              </w:rPr>
            </w:pPr>
          </w:p>
        </w:tc>
        <w:tc>
          <w:tcPr>
            <w:tcW w:w="47" w:type="pct"/>
            <w:shd w:val="clear" w:color="auto" w:fill="auto"/>
          </w:tcPr>
          <w:p w14:paraId="4090ED9C" w14:textId="77777777" w:rsidR="00833634" w:rsidRDefault="00833634">
            <w:pPr>
              <w:rPr>
                <w:rFonts w:ascii="宋体"/>
              </w:rPr>
            </w:pPr>
          </w:p>
        </w:tc>
        <w:tc>
          <w:tcPr>
            <w:tcW w:w="5" w:type="pct"/>
            <w:shd w:val="clear" w:color="auto" w:fill="auto"/>
          </w:tcPr>
          <w:p w14:paraId="4090ED9D" w14:textId="77777777" w:rsidR="00833634" w:rsidRDefault="00833634">
            <w:pPr>
              <w:rPr>
                <w:rFonts w:ascii="宋体"/>
              </w:rPr>
            </w:pPr>
          </w:p>
        </w:tc>
        <w:tc>
          <w:tcPr>
            <w:tcW w:w="50" w:type="pct"/>
            <w:shd w:val="clear" w:color="auto" w:fill="auto"/>
          </w:tcPr>
          <w:p w14:paraId="4090ED9E" w14:textId="77777777" w:rsidR="00833634" w:rsidRDefault="00833634">
            <w:pPr>
              <w:rPr>
                <w:rFonts w:ascii="宋体"/>
              </w:rPr>
            </w:pPr>
          </w:p>
        </w:tc>
        <w:tc>
          <w:tcPr>
            <w:tcW w:w="1129" w:type="pct"/>
            <w:shd w:val="clear" w:color="auto" w:fill="auto"/>
          </w:tcPr>
          <w:p w14:paraId="4090ED9F" w14:textId="77777777" w:rsidR="00833634" w:rsidRDefault="00833634">
            <w:pPr>
              <w:rPr>
                <w:rFonts w:ascii="宋体"/>
              </w:rPr>
            </w:pPr>
          </w:p>
        </w:tc>
        <w:tc>
          <w:tcPr>
            <w:tcW w:w="5" w:type="pct"/>
            <w:shd w:val="clear" w:color="auto" w:fill="auto"/>
          </w:tcPr>
          <w:p w14:paraId="4090EDA0" w14:textId="77777777" w:rsidR="00833634" w:rsidRDefault="00833634">
            <w:pPr>
              <w:rPr>
                <w:rFonts w:ascii="宋体"/>
              </w:rPr>
            </w:pPr>
          </w:p>
        </w:tc>
      </w:tr>
      <w:tr w:rsidR="00833634" w14:paraId="4090EDAA" w14:textId="77777777">
        <w:trPr>
          <w:jc w:val="center"/>
        </w:trPr>
        <w:tc>
          <w:tcPr>
            <w:tcW w:w="0" w:type="auto"/>
            <w:gridSpan w:val="3"/>
            <w:shd w:val="clear" w:color="auto" w:fill="auto"/>
            <w:tcMar>
              <w:top w:w="0" w:type="dxa"/>
              <w:left w:w="20" w:type="dxa"/>
              <w:bottom w:w="0" w:type="dxa"/>
              <w:right w:w="20" w:type="dxa"/>
            </w:tcMar>
          </w:tcPr>
          <w:p w14:paraId="4090EDA2"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DA3" w14:textId="77777777" w:rsidR="00833634" w:rsidRDefault="00E15D51">
            <w:pPr>
              <w:jc w:val="center"/>
              <w:textAlignment w:val="bottom"/>
            </w:pPr>
            <w:r>
              <w:rPr>
                <w:rFonts w:ascii="Arial" w:eastAsia="宋体" w:hAnsi="Arial" w:cs="Arial"/>
                <w:color w:val="000000"/>
                <w:sz w:val="20"/>
                <w:szCs w:val="20"/>
              </w:rPr>
              <w:t>Fair</w:t>
            </w:r>
            <w:r>
              <w:rPr>
                <w:rFonts w:ascii="Arial" w:eastAsia="宋体" w:hAnsi="Arial" w:cs="Arial"/>
                <w:color w:val="000000"/>
                <w:sz w:val="20"/>
                <w:szCs w:val="20"/>
              </w:rPr>
              <w:br/>
              <w:t>Value</w:t>
            </w:r>
          </w:p>
        </w:tc>
        <w:tc>
          <w:tcPr>
            <w:tcW w:w="0" w:type="auto"/>
            <w:gridSpan w:val="3"/>
            <w:shd w:val="clear" w:color="auto" w:fill="auto"/>
            <w:tcMar>
              <w:top w:w="0" w:type="dxa"/>
              <w:left w:w="20" w:type="dxa"/>
              <w:bottom w:w="0" w:type="dxa"/>
              <w:right w:w="20" w:type="dxa"/>
            </w:tcMar>
          </w:tcPr>
          <w:p w14:paraId="4090EDA4"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DA5" w14:textId="77777777" w:rsidR="00833634" w:rsidRDefault="00E15D51">
            <w:pPr>
              <w:jc w:val="center"/>
              <w:textAlignment w:val="bottom"/>
            </w:pPr>
            <w:r>
              <w:rPr>
                <w:rFonts w:ascii="Arial" w:eastAsia="宋体" w:hAnsi="Arial" w:cs="Arial"/>
                <w:color w:val="000000"/>
                <w:sz w:val="20"/>
                <w:szCs w:val="20"/>
              </w:rPr>
              <w:t>Valuation</w:t>
            </w:r>
            <w:r>
              <w:rPr>
                <w:rFonts w:ascii="Arial" w:eastAsia="宋体" w:hAnsi="Arial" w:cs="Arial"/>
                <w:color w:val="000000"/>
                <w:sz w:val="20"/>
                <w:szCs w:val="20"/>
              </w:rPr>
              <w:br/>
              <w:t>Technique(s)</w:t>
            </w:r>
          </w:p>
        </w:tc>
        <w:tc>
          <w:tcPr>
            <w:tcW w:w="0" w:type="auto"/>
            <w:gridSpan w:val="3"/>
            <w:shd w:val="clear" w:color="auto" w:fill="auto"/>
            <w:tcMar>
              <w:top w:w="0" w:type="dxa"/>
              <w:left w:w="20" w:type="dxa"/>
              <w:bottom w:w="0" w:type="dxa"/>
              <w:right w:w="20" w:type="dxa"/>
            </w:tcMar>
          </w:tcPr>
          <w:p w14:paraId="4090EDA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DA7" w14:textId="77777777" w:rsidR="00833634" w:rsidRDefault="00E15D51">
            <w:pPr>
              <w:jc w:val="center"/>
              <w:textAlignment w:val="bottom"/>
            </w:pPr>
            <w:r>
              <w:rPr>
                <w:rFonts w:ascii="Arial" w:eastAsia="宋体" w:hAnsi="Arial" w:cs="Arial"/>
                <w:color w:val="000000"/>
                <w:sz w:val="20"/>
                <w:szCs w:val="20"/>
              </w:rPr>
              <w:t>Unobservable Input</w:t>
            </w:r>
          </w:p>
        </w:tc>
        <w:tc>
          <w:tcPr>
            <w:tcW w:w="0" w:type="auto"/>
            <w:gridSpan w:val="3"/>
            <w:shd w:val="clear" w:color="auto" w:fill="auto"/>
            <w:tcMar>
              <w:top w:w="0" w:type="dxa"/>
              <w:left w:w="20" w:type="dxa"/>
              <w:bottom w:w="0" w:type="dxa"/>
              <w:right w:w="20" w:type="dxa"/>
            </w:tcMar>
          </w:tcPr>
          <w:p w14:paraId="4090EDA8"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EDA9" w14:textId="77777777" w:rsidR="00833634" w:rsidRDefault="00E15D51">
            <w:pPr>
              <w:jc w:val="center"/>
              <w:textAlignment w:val="bottom"/>
            </w:pPr>
            <w:r>
              <w:rPr>
                <w:rFonts w:ascii="Arial" w:eastAsia="宋体" w:hAnsi="Arial" w:cs="Arial"/>
                <w:color w:val="000000"/>
                <w:sz w:val="20"/>
                <w:szCs w:val="20"/>
              </w:rPr>
              <w:t>Range</w:t>
            </w:r>
            <w:r>
              <w:rPr>
                <w:rFonts w:ascii="Arial" w:eastAsia="宋体" w:hAnsi="Arial" w:cs="Arial"/>
                <w:color w:val="000000"/>
                <w:sz w:val="20"/>
                <w:szCs w:val="20"/>
              </w:rPr>
              <w:br/>
              <w:t>Median or Average</w:t>
            </w:r>
          </w:p>
        </w:tc>
      </w:tr>
      <w:tr w:rsidR="00833634" w14:paraId="4090EDB4" w14:textId="77777777">
        <w:trPr>
          <w:trHeight w:val="480"/>
          <w:jc w:val="center"/>
        </w:trPr>
        <w:tc>
          <w:tcPr>
            <w:tcW w:w="0" w:type="auto"/>
            <w:gridSpan w:val="3"/>
            <w:vMerge w:val="restart"/>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4090EDAB" w14:textId="77777777" w:rsidR="00833634" w:rsidRDefault="00E15D51">
            <w:pPr>
              <w:textAlignment w:val="center"/>
            </w:pPr>
            <w:r>
              <w:rPr>
                <w:rFonts w:ascii="Arial" w:eastAsia="宋体" w:hAnsi="Arial" w:cs="Arial"/>
                <w:color w:val="000000"/>
                <w:sz w:val="20"/>
                <w:szCs w:val="20"/>
              </w:rPr>
              <w:t>Customer financing assets</w:t>
            </w:r>
          </w:p>
        </w:tc>
        <w:tc>
          <w:tcPr>
            <w:tcW w:w="0" w:type="auto"/>
            <w:gridSpan w:val="3"/>
            <w:vMerge w:val="restart"/>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4090EDAC" w14:textId="77777777" w:rsidR="00833634" w:rsidRDefault="00E15D51">
            <w:pPr>
              <w:jc w:val="center"/>
              <w:textAlignment w:val="center"/>
            </w:pPr>
            <w:r>
              <w:rPr>
                <w:rFonts w:ascii="Arial" w:eastAsia="宋体" w:hAnsi="Arial" w:cs="Arial"/>
                <w:color w:val="000000"/>
                <w:sz w:val="20"/>
                <w:szCs w:val="20"/>
              </w:rPr>
              <w:t>$100</w:t>
            </w:r>
          </w:p>
        </w:tc>
        <w:tc>
          <w:tcPr>
            <w:tcW w:w="0" w:type="auto"/>
            <w:gridSpan w:val="3"/>
            <w:tcBorders>
              <w:top w:val="single" w:sz="8" w:space="0" w:color="000000"/>
            </w:tcBorders>
            <w:shd w:val="clear" w:color="auto" w:fill="CCEEFF"/>
            <w:tcMar>
              <w:top w:w="0" w:type="dxa"/>
              <w:left w:w="20" w:type="dxa"/>
              <w:bottom w:w="0" w:type="dxa"/>
              <w:right w:w="20" w:type="dxa"/>
            </w:tcMar>
          </w:tcPr>
          <w:p w14:paraId="4090EDAD" w14:textId="77777777" w:rsidR="00833634" w:rsidRDefault="00833634">
            <w:pPr>
              <w:rPr>
                <w:rFonts w:ascii="宋体"/>
              </w:rPr>
            </w:pPr>
          </w:p>
        </w:tc>
        <w:tc>
          <w:tcPr>
            <w:tcW w:w="0" w:type="auto"/>
            <w:gridSpan w:val="3"/>
            <w:vMerge w:val="restart"/>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4090EDAE" w14:textId="77777777" w:rsidR="00833634" w:rsidRDefault="00E15D51">
            <w:pPr>
              <w:jc w:val="center"/>
              <w:textAlignment w:val="center"/>
            </w:pPr>
            <w:r>
              <w:rPr>
                <w:rFonts w:ascii="Arial" w:eastAsia="宋体" w:hAnsi="Arial" w:cs="Arial"/>
                <w:color w:val="000000"/>
                <w:sz w:val="20"/>
                <w:szCs w:val="20"/>
              </w:rPr>
              <w:t>Market approach</w:t>
            </w:r>
          </w:p>
        </w:tc>
        <w:tc>
          <w:tcPr>
            <w:tcW w:w="0" w:type="auto"/>
            <w:gridSpan w:val="3"/>
            <w:tcBorders>
              <w:top w:val="single" w:sz="8" w:space="0" w:color="000000"/>
            </w:tcBorders>
            <w:shd w:val="clear" w:color="auto" w:fill="CCEEFF"/>
            <w:tcMar>
              <w:top w:w="0" w:type="dxa"/>
              <w:left w:w="20" w:type="dxa"/>
              <w:bottom w:w="0" w:type="dxa"/>
              <w:right w:w="20" w:type="dxa"/>
            </w:tcMar>
          </w:tcPr>
          <w:p w14:paraId="4090EDAF" w14:textId="77777777" w:rsidR="00833634" w:rsidRDefault="0083363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DB0" w14:textId="77777777" w:rsidR="00833634" w:rsidRDefault="00E15D51">
            <w:pPr>
              <w:jc w:val="center"/>
              <w:textAlignment w:val="bottom"/>
            </w:pPr>
            <w:r>
              <w:rPr>
                <w:rFonts w:ascii="Arial" w:eastAsia="宋体" w:hAnsi="Arial" w:cs="Arial"/>
                <w:color w:val="000000"/>
                <w:sz w:val="16"/>
                <w:szCs w:val="16"/>
              </w:rPr>
              <w:t>Aircraft value publications</w:t>
            </w:r>
          </w:p>
        </w:tc>
        <w:tc>
          <w:tcPr>
            <w:tcW w:w="0" w:type="auto"/>
            <w:gridSpan w:val="3"/>
            <w:tcBorders>
              <w:top w:val="single" w:sz="8" w:space="0" w:color="000000"/>
            </w:tcBorders>
            <w:shd w:val="clear" w:color="auto" w:fill="CCEEFF"/>
            <w:tcMar>
              <w:top w:w="0" w:type="dxa"/>
              <w:left w:w="20" w:type="dxa"/>
              <w:bottom w:w="0" w:type="dxa"/>
              <w:right w:w="20" w:type="dxa"/>
            </w:tcMar>
          </w:tcPr>
          <w:p w14:paraId="4090EDB1" w14:textId="77777777" w:rsidR="00833634" w:rsidRDefault="0083363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DB2" w14:textId="77777777" w:rsidR="00833634" w:rsidRDefault="00E15D51">
            <w:pPr>
              <w:jc w:val="center"/>
              <w:textAlignment w:val="bottom"/>
            </w:pPr>
            <w:r>
              <w:rPr>
                <w:rFonts w:ascii="Arial" w:eastAsia="宋体" w:hAnsi="Arial" w:cs="Arial"/>
                <w:color w:val="000000"/>
                <w:sz w:val="20"/>
                <w:szCs w:val="20"/>
              </w:rPr>
              <w:t>$79 - $161</w:t>
            </w:r>
            <w:r>
              <w:rPr>
                <w:rFonts w:ascii="Arial" w:eastAsia="宋体" w:hAnsi="Arial" w:cs="Arial"/>
                <w:color w:val="000000"/>
                <w:sz w:val="13"/>
                <w:szCs w:val="13"/>
              </w:rPr>
              <w:t>(1)</w:t>
            </w:r>
          </w:p>
          <w:p w14:paraId="4090EDB3" w14:textId="77777777" w:rsidR="00833634" w:rsidRDefault="00E15D51">
            <w:pPr>
              <w:jc w:val="center"/>
              <w:textAlignment w:val="bottom"/>
            </w:pPr>
            <w:r>
              <w:rPr>
                <w:rFonts w:ascii="Arial" w:eastAsia="宋体" w:hAnsi="Arial" w:cs="Arial"/>
                <w:color w:val="000000"/>
                <w:sz w:val="20"/>
                <w:szCs w:val="20"/>
              </w:rPr>
              <w:t xml:space="preserve">Median </w:t>
            </w:r>
            <w:r>
              <w:rPr>
                <w:rFonts w:ascii="sans-serif" w:eastAsia="sans-serif" w:hAnsi="sans-serif" w:cs="sans-serif"/>
                <w:color w:val="000000"/>
                <w:sz w:val="20"/>
                <w:szCs w:val="20"/>
              </w:rPr>
              <w:t>$110</w:t>
            </w:r>
          </w:p>
        </w:tc>
      </w:tr>
      <w:tr w:rsidR="00833634" w14:paraId="4090EDBE" w14:textId="77777777">
        <w:trPr>
          <w:trHeight w:val="480"/>
          <w:jc w:val="center"/>
        </w:trPr>
        <w:tc>
          <w:tcPr>
            <w:tcW w:w="0" w:type="auto"/>
            <w:gridSpan w:val="3"/>
            <w:vMerge/>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4090EDB5" w14:textId="77777777" w:rsidR="00833634" w:rsidRDefault="00833634">
            <w:pPr>
              <w:rPr>
                <w:rFonts w:ascii="宋体"/>
              </w:rPr>
            </w:pPr>
          </w:p>
        </w:tc>
        <w:tc>
          <w:tcPr>
            <w:tcW w:w="0" w:type="auto"/>
            <w:gridSpan w:val="3"/>
            <w:vMerge/>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4090EDB6" w14:textId="77777777" w:rsidR="00833634" w:rsidRDefault="00833634">
            <w:pPr>
              <w:jc w:val="center"/>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EDB7" w14:textId="77777777" w:rsidR="00833634" w:rsidRDefault="00833634">
            <w:pPr>
              <w:rPr>
                <w:rFonts w:ascii="宋体"/>
              </w:rPr>
            </w:pPr>
          </w:p>
        </w:tc>
        <w:tc>
          <w:tcPr>
            <w:tcW w:w="0" w:type="auto"/>
            <w:gridSpan w:val="3"/>
            <w:vMerge/>
            <w:tcBorders>
              <w:top w:val="single" w:sz="8" w:space="0" w:color="000000"/>
              <w:bottom w:val="single" w:sz="8" w:space="0" w:color="000000"/>
            </w:tcBorders>
            <w:shd w:val="clear" w:color="auto" w:fill="CCEEFF"/>
            <w:tcMar>
              <w:top w:w="40" w:type="dxa"/>
              <w:left w:w="20" w:type="dxa"/>
              <w:bottom w:w="40" w:type="dxa"/>
              <w:right w:w="20" w:type="dxa"/>
            </w:tcMar>
            <w:vAlign w:val="center"/>
          </w:tcPr>
          <w:p w14:paraId="4090EDB8" w14:textId="77777777" w:rsidR="00833634" w:rsidRDefault="00833634">
            <w:pPr>
              <w:jc w:val="center"/>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EDB9" w14:textId="77777777" w:rsidR="00833634" w:rsidRDefault="00833634">
            <w:pPr>
              <w:rPr>
                <w:rFonts w:ascii="宋体"/>
              </w:rPr>
            </w:pPr>
          </w:p>
        </w:tc>
        <w:tc>
          <w:tcPr>
            <w:tcW w:w="0" w:type="auto"/>
            <w:gridSpan w:val="3"/>
            <w:tcBorders>
              <w:bottom w:val="single" w:sz="8" w:space="0" w:color="000000"/>
            </w:tcBorders>
            <w:shd w:val="clear" w:color="auto" w:fill="CCEEFF"/>
            <w:tcMar>
              <w:top w:w="40" w:type="dxa"/>
              <w:left w:w="20" w:type="dxa"/>
              <w:bottom w:w="40" w:type="dxa"/>
              <w:right w:w="20" w:type="dxa"/>
            </w:tcMar>
            <w:vAlign w:val="bottom"/>
          </w:tcPr>
          <w:p w14:paraId="4090EDBA" w14:textId="77777777" w:rsidR="00833634" w:rsidRDefault="00E15D51">
            <w:pPr>
              <w:jc w:val="center"/>
              <w:textAlignment w:val="bottom"/>
            </w:pPr>
            <w:r>
              <w:rPr>
                <w:rFonts w:ascii="Arial" w:eastAsia="宋体" w:hAnsi="Arial" w:cs="Arial"/>
                <w:color w:val="000000"/>
                <w:sz w:val="16"/>
                <w:szCs w:val="16"/>
              </w:rPr>
              <w:t xml:space="preserve">Aircraft </w:t>
            </w:r>
            <w:r>
              <w:rPr>
                <w:rFonts w:ascii="Arial" w:eastAsia="宋体" w:hAnsi="Arial" w:cs="Arial"/>
                <w:color w:val="000000"/>
                <w:sz w:val="16"/>
                <w:szCs w:val="16"/>
              </w:rPr>
              <w:t>condition adjustments</w:t>
            </w:r>
          </w:p>
        </w:tc>
        <w:tc>
          <w:tcPr>
            <w:tcW w:w="0" w:type="auto"/>
            <w:gridSpan w:val="3"/>
            <w:tcBorders>
              <w:bottom w:val="single" w:sz="8" w:space="0" w:color="000000"/>
            </w:tcBorders>
            <w:shd w:val="clear" w:color="auto" w:fill="CCEEFF"/>
            <w:tcMar>
              <w:top w:w="0" w:type="dxa"/>
              <w:left w:w="20" w:type="dxa"/>
              <w:bottom w:w="0" w:type="dxa"/>
              <w:right w:w="20" w:type="dxa"/>
            </w:tcMar>
          </w:tcPr>
          <w:p w14:paraId="4090EDBB" w14:textId="77777777" w:rsidR="00833634" w:rsidRDefault="00833634">
            <w:pPr>
              <w:rPr>
                <w:rFonts w:ascii="宋体"/>
              </w:rPr>
            </w:pPr>
          </w:p>
        </w:tc>
        <w:tc>
          <w:tcPr>
            <w:tcW w:w="0" w:type="auto"/>
            <w:gridSpan w:val="3"/>
            <w:tcBorders>
              <w:bottom w:val="single" w:sz="8" w:space="0" w:color="000000"/>
            </w:tcBorders>
            <w:shd w:val="clear" w:color="auto" w:fill="CCEEFF"/>
            <w:tcMar>
              <w:top w:w="40" w:type="dxa"/>
              <w:left w:w="20" w:type="dxa"/>
              <w:bottom w:w="40" w:type="dxa"/>
              <w:right w:w="20" w:type="dxa"/>
            </w:tcMar>
            <w:vAlign w:val="bottom"/>
          </w:tcPr>
          <w:p w14:paraId="4090EDBC" w14:textId="77777777" w:rsidR="00833634" w:rsidRDefault="00E15D51">
            <w:pPr>
              <w:jc w:val="center"/>
              <w:textAlignment w:val="bottom"/>
            </w:pPr>
            <w:r>
              <w:rPr>
                <w:rFonts w:ascii="Arial" w:eastAsia="宋体" w:hAnsi="Arial" w:cs="Arial"/>
                <w:color w:val="000000"/>
                <w:sz w:val="20"/>
                <w:szCs w:val="20"/>
              </w:rPr>
              <w:t xml:space="preserve">($13) - </w:t>
            </w:r>
            <w:r>
              <w:rPr>
                <w:rFonts w:ascii="sans-serif" w:eastAsia="sans-serif" w:hAnsi="sans-serif" w:cs="sans-serif"/>
                <w:color w:val="000000"/>
                <w:sz w:val="20"/>
                <w:szCs w:val="20"/>
              </w:rPr>
              <w:t>$3</w:t>
            </w:r>
            <w:r>
              <w:rPr>
                <w:rFonts w:ascii="Arial" w:eastAsia="宋体" w:hAnsi="Arial" w:cs="Arial"/>
                <w:color w:val="000000"/>
                <w:sz w:val="13"/>
                <w:szCs w:val="13"/>
              </w:rPr>
              <w:t>(2)</w:t>
            </w:r>
          </w:p>
          <w:p w14:paraId="4090EDBD" w14:textId="77777777" w:rsidR="00833634" w:rsidRDefault="00E15D51">
            <w:pPr>
              <w:jc w:val="center"/>
              <w:textAlignment w:val="bottom"/>
            </w:pPr>
            <w:r>
              <w:rPr>
                <w:rFonts w:ascii="Arial" w:eastAsia="宋体" w:hAnsi="Arial" w:cs="Arial"/>
                <w:color w:val="000000"/>
                <w:sz w:val="20"/>
                <w:szCs w:val="20"/>
              </w:rPr>
              <w:t xml:space="preserve">Net </w:t>
            </w:r>
            <w:r>
              <w:rPr>
                <w:rFonts w:ascii="sans-serif" w:eastAsia="sans-serif" w:hAnsi="sans-serif" w:cs="sans-serif"/>
                <w:color w:val="000000"/>
                <w:sz w:val="20"/>
                <w:szCs w:val="20"/>
              </w:rPr>
              <w:t>($10)</w:t>
            </w:r>
          </w:p>
        </w:tc>
      </w:tr>
    </w:tbl>
    <w:p w14:paraId="4090EDBF" w14:textId="77777777" w:rsidR="00833634" w:rsidRDefault="00E15D51">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The range represents the sum of the highest and lowest values for all aircraft subject to fair value measurement, according to the third party aircraft valuation publications that we use in our </w:t>
      </w:r>
      <w:r>
        <w:rPr>
          <w:rFonts w:ascii="Arial" w:eastAsia="宋体" w:hAnsi="Arial" w:cs="Arial"/>
          <w:color w:val="000000"/>
          <w:sz w:val="20"/>
          <w:szCs w:val="20"/>
        </w:rPr>
        <w:t>valuation process.</w:t>
      </w:r>
    </w:p>
    <w:p w14:paraId="4090EDC0" w14:textId="77777777" w:rsidR="00833634" w:rsidRDefault="00E15D51">
      <w:pPr>
        <w:spacing w:after="180"/>
        <w:ind w:hanging="360"/>
        <w:jc w:val="both"/>
      </w:pPr>
      <w:r>
        <w:rPr>
          <w:rFonts w:ascii="Arial" w:eastAsia="宋体" w:hAnsi="Arial" w:cs="Arial"/>
          <w:color w:val="000000"/>
          <w:sz w:val="13"/>
          <w:szCs w:val="13"/>
        </w:rPr>
        <w:t>(2)</w:t>
      </w:r>
      <w:r>
        <w:rPr>
          <w:rFonts w:ascii="Arial" w:eastAsia="宋体" w:hAnsi="Arial" w:cs="Arial"/>
          <w:color w:val="000000"/>
          <w:sz w:val="20"/>
          <w:szCs w:val="20"/>
        </w:rPr>
        <w:t xml:space="preserve">The negative amount represents the sum, for all aircraft subject to fair value measurement, of all downward adjustments based on consideration of individual aircraft attributes and condition. The positive amount represents the sum </w:t>
      </w:r>
      <w:r>
        <w:rPr>
          <w:rFonts w:ascii="Arial" w:eastAsia="宋体" w:hAnsi="Arial" w:cs="Arial"/>
          <w:color w:val="000000"/>
          <w:sz w:val="20"/>
          <w:szCs w:val="20"/>
        </w:rPr>
        <w:t>of all such upward adjustments.</w:t>
      </w:r>
    </w:p>
    <w:p w14:paraId="4090EDC1" w14:textId="77777777" w:rsidR="00833634" w:rsidRDefault="00E15D51">
      <w:pPr>
        <w:spacing w:after="180"/>
        <w:jc w:val="both"/>
      </w:pPr>
      <w:r>
        <w:rPr>
          <w:rFonts w:ascii="Arial" w:eastAsia="宋体" w:hAnsi="Arial" w:cs="Arial"/>
          <w:b/>
          <w:bCs/>
          <w:color w:val="000000"/>
          <w:sz w:val="20"/>
          <w:szCs w:val="20"/>
        </w:rPr>
        <w:t>Fair Value Disclosures</w:t>
      </w:r>
    </w:p>
    <w:p w14:paraId="4090EDC2" w14:textId="77777777" w:rsidR="00833634" w:rsidRDefault="00E15D51">
      <w:pPr>
        <w:spacing w:after="180"/>
        <w:jc w:val="both"/>
      </w:pPr>
      <w:r>
        <w:rPr>
          <w:rFonts w:ascii="Arial" w:eastAsia="宋体" w:hAnsi="Arial" w:cs="Arial"/>
          <w:color w:val="000000"/>
          <w:sz w:val="20"/>
          <w:szCs w:val="20"/>
        </w:rPr>
        <w:t>The fair values and related carrying values of financial instruments that are not required to be remeasured at fair value on the Condensed Consolidated Statements of Financial Position were as follows:</w:t>
      </w:r>
    </w:p>
    <w:tbl>
      <w:tblPr>
        <w:tblW w:w="4984" w:type="pct"/>
        <w:tblCellMar>
          <w:top w:w="15" w:type="dxa"/>
          <w:left w:w="15" w:type="dxa"/>
          <w:bottom w:w="15" w:type="dxa"/>
          <w:right w:w="15" w:type="dxa"/>
        </w:tblCellMar>
        <w:tblLook w:val="04A0" w:firstRow="1" w:lastRow="0" w:firstColumn="1" w:lastColumn="0" w:noHBand="0" w:noVBand="1"/>
      </w:tblPr>
      <w:tblGrid>
        <w:gridCol w:w="69"/>
        <w:gridCol w:w="3850"/>
        <w:gridCol w:w="37"/>
        <w:gridCol w:w="74"/>
        <w:gridCol w:w="863"/>
        <w:gridCol w:w="37"/>
        <w:gridCol w:w="81"/>
        <w:gridCol w:w="856"/>
        <w:gridCol w:w="36"/>
        <w:gridCol w:w="75"/>
        <w:gridCol w:w="690"/>
        <w:gridCol w:w="36"/>
        <w:gridCol w:w="81"/>
        <w:gridCol w:w="685"/>
        <w:gridCol w:w="36"/>
        <w:gridCol w:w="75"/>
        <w:gridCol w:w="692"/>
        <w:gridCol w:w="36"/>
      </w:tblGrid>
      <w:tr w:rsidR="00833634" w14:paraId="4090EDD5" w14:textId="77777777">
        <w:tc>
          <w:tcPr>
            <w:tcW w:w="50" w:type="pct"/>
            <w:shd w:val="clear" w:color="auto" w:fill="auto"/>
          </w:tcPr>
          <w:p w14:paraId="4090EDC3" w14:textId="77777777" w:rsidR="00833634" w:rsidRDefault="00833634">
            <w:pPr>
              <w:rPr>
                <w:rFonts w:ascii="宋体"/>
              </w:rPr>
            </w:pPr>
          </w:p>
        </w:tc>
        <w:tc>
          <w:tcPr>
            <w:tcW w:w="2324" w:type="pct"/>
            <w:shd w:val="clear" w:color="auto" w:fill="auto"/>
          </w:tcPr>
          <w:p w14:paraId="4090EDC4" w14:textId="77777777" w:rsidR="00833634" w:rsidRDefault="00833634">
            <w:pPr>
              <w:rPr>
                <w:rFonts w:ascii="宋体"/>
              </w:rPr>
            </w:pPr>
          </w:p>
        </w:tc>
        <w:tc>
          <w:tcPr>
            <w:tcW w:w="5" w:type="pct"/>
            <w:shd w:val="clear" w:color="auto" w:fill="auto"/>
          </w:tcPr>
          <w:p w14:paraId="4090EDC5" w14:textId="77777777" w:rsidR="00833634" w:rsidRDefault="00833634">
            <w:pPr>
              <w:rPr>
                <w:rFonts w:ascii="宋体"/>
              </w:rPr>
            </w:pPr>
          </w:p>
        </w:tc>
        <w:tc>
          <w:tcPr>
            <w:tcW w:w="50" w:type="pct"/>
            <w:shd w:val="clear" w:color="auto" w:fill="auto"/>
          </w:tcPr>
          <w:p w14:paraId="4090EDC6" w14:textId="77777777" w:rsidR="00833634" w:rsidRDefault="00833634">
            <w:pPr>
              <w:rPr>
                <w:rFonts w:ascii="宋体"/>
              </w:rPr>
            </w:pPr>
          </w:p>
        </w:tc>
        <w:tc>
          <w:tcPr>
            <w:tcW w:w="531" w:type="pct"/>
            <w:shd w:val="clear" w:color="auto" w:fill="auto"/>
          </w:tcPr>
          <w:p w14:paraId="4090EDC7" w14:textId="77777777" w:rsidR="00833634" w:rsidRDefault="00833634">
            <w:pPr>
              <w:rPr>
                <w:rFonts w:ascii="宋体"/>
              </w:rPr>
            </w:pPr>
          </w:p>
        </w:tc>
        <w:tc>
          <w:tcPr>
            <w:tcW w:w="5" w:type="pct"/>
            <w:shd w:val="clear" w:color="auto" w:fill="auto"/>
          </w:tcPr>
          <w:p w14:paraId="4090EDC8" w14:textId="77777777" w:rsidR="00833634" w:rsidRDefault="00833634">
            <w:pPr>
              <w:rPr>
                <w:rFonts w:ascii="宋体"/>
              </w:rPr>
            </w:pPr>
          </w:p>
        </w:tc>
        <w:tc>
          <w:tcPr>
            <w:tcW w:w="50" w:type="pct"/>
            <w:shd w:val="clear" w:color="auto" w:fill="auto"/>
          </w:tcPr>
          <w:p w14:paraId="4090EDC9" w14:textId="77777777" w:rsidR="00833634" w:rsidRDefault="00833634">
            <w:pPr>
              <w:rPr>
                <w:rFonts w:ascii="宋体"/>
              </w:rPr>
            </w:pPr>
          </w:p>
        </w:tc>
        <w:tc>
          <w:tcPr>
            <w:tcW w:w="531" w:type="pct"/>
            <w:shd w:val="clear" w:color="auto" w:fill="auto"/>
          </w:tcPr>
          <w:p w14:paraId="4090EDCA" w14:textId="77777777" w:rsidR="00833634" w:rsidRDefault="00833634">
            <w:pPr>
              <w:rPr>
                <w:rFonts w:ascii="宋体"/>
              </w:rPr>
            </w:pPr>
          </w:p>
        </w:tc>
        <w:tc>
          <w:tcPr>
            <w:tcW w:w="5" w:type="pct"/>
            <w:shd w:val="clear" w:color="auto" w:fill="auto"/>
          </w:tcPr>
          <w:p w14:paraId="4090EDCB" w14:textId="77777777" w:rsidR="00833634" w:rsidRDefault="00833634">
            <w:pPr>
              <w:rPr>
                <w:rFonts w:ascii="宋体"/>
              </w:rPr>
            </w:pPr>
          </w:p>
        </w:tc>
        <w:tc>
          <w:tcPr>
            <w:tcW w:w="50" w:type="pct"/>
            <w:shd w:val="clear" w:color="auto" w:fill="auto"/>
          </w:tcPr>
          <w:p w14:paraId="4090EDCC" w14:textId="77777777" w:rsidR="00833634" w:rsidRDefault="00833634">
            <w:pPr>
              <w:rPr>
                <w:rFonts w:ascii="宋体"/>
              </w:rPr>
            </w:pPr>
          </w:p>
        </w:tc>
        <w:tc>
          <w:tcPr>
            <w:tcW w:w="427" w:type="pct"/>
            <w:shd w:val="clear" w:color="auto" w:fill="auto"/>
          </w:tcPr>
          <w:p w14:paraId="4090EDCD" w14:textId="77777777" w:rsidR="00833634" w:rsidRDefault="00833634">
            <w:pPr>
              <w:rPr>
                <w:rFonts w:ascii="宋体"/>
              </w:rPr>
            </w:pPr>
          </w:p>
        </w:tc>
        <w:tc>
          <w:tcPr>
            <w:tcW w:w="5" w:type="pct"/>
            <w:shd w:val="clear" w:color="auto" w:fill="auto"/>
          </w:tcPr>
          <w:p w14:paraId="4090EDCE" w14:textId="77777777" w:rsidR="00833634" w:rsidRDefault="00833634">
            <w:pPr>
              <w:rPr>
                <w:rFonts w:ascii="宋体"/>
              </w:rPr>
            </w:pPr>
          </w:p>
        </w:tc>
        <w:tc>
          <w:tcPr>
            <w:tcW w:w="50" w:type="pct"/>
            <w:shd w:val="clear" w:color="auto" w:fill="auto"/>
          </w:tcPr>
          <w:p w14:paraId="4090EDCF" w14:textId="77777777" w:rsidR="00833634" w:rsidRDefault="00833634">
            <w:pPr>
              <w:rPr>
                <w:rFonts w:ascii="宋体"/>
              </w:rPr>
            </w:pPr>
          </w:p>
        </w:tc>
        <w:tc>
          <w:tcPr>
            <w:tcW w:w="427" w:type="pct"/>
            <w:shd w:val="clear" w:color="auto" w:fill="auto"/>
          </w:tcPr>
          <w:p w14:paraId="4090EDD0" w14:textId="77777777" w:rsidR="00833634" w:rsidRDefault="00833634">
            <w:pPr>
              <w:rPr>
                <w:rFonts w:ascii="宋体"/>
              </w:rPr>
            </w:pPr>
          </w:p>
        </w:tc>
        <w:tc>
          <w:tcPr>
            <w:tcW w:w="5" w:type="pct"/>
            <w:shd w:val="clear" w:color="auto" w:fill="auto"/>
          </w:tcPr>
          <w:p w14:paraId="4090EDD1" w14:textId="77777777" w:rsidR="00833634" w:rsidRDefault="00833634">
            <w:pPr>
              <w:rPr>
                <w:rFonts w:ascii="宋体"/>
              </w:rPr>
            </w:pPr>
          </w:p>
        </w:tc>
        <w:tc>
          <w:tcPr>
            <w:tcW w:w="50" w:type="pct"/>
            <w:shd w:val="clear" w:color="auto" w:fill="auto"/>
          </w:tcPr>
          <w:p w14:paraId="4090EDD2" w14:textId="77777777" w:rsidR="00833634" w:rsidRDefault="00833634">
            <w:pPr>
              <w:rPr>
                <w:rFonts w:ascii="宋体"/>
              </w:rPr>
            </w:pPr>
          </w:p>
        </w:tc>
        <w:tc>
          <w:tcPr>
            <w:tcW w:w="427" w:type="pct"/>
            <w:shd w:val="clear" w:color="auto" w:fill="auto"/>
          </w:tcPr>
          <w:p w14:paraId="4090EDD3" w14:textId="77777777" w:rsidR="00833634" w:rsidRDefault="00833634">
            <w:pPr>
              <w:rPr>
                <w:rFonts w:ascii="宋体"/>
              </w:rPr>
            </w:pPr>
          </w:p>
        </w:tc>
        <w:tc>
          <w:tcPr>
            <w:tcW w:w="5" w:type="pct"/>
            <w:shd w:val="clear" w:color="auto" w:fill="auto"/>
          </w:tcPr>
          <w:p w14:paraId="4090EDD4" w14:textId="77777777" w:rsidR="00833634" w:rsidRDefault="00833634">
            <w:pPr>
              <w:rPr>
                <w:rFonts w:ascii="宋体"/>
              </w:rPr>
            </w:pPr>
          </w:p>
        </w:tc>
      </w:tr>
      <w:tr w:rsidR="00833634" w14:paraId="4090EDD8" w14:textId="77777777">
        <w:tc>
          <w:tcPr>
            <w:tcW w:w="0" w:type="auto"/>
            <w:gridSpan w:val="3"/>
            <w:shd w:val="clear" w:color="auto" w:fill="auto"/>
            <w:tcMar>
              <w:top w:w="0" w:type="dxa"/>
              <w:left w:w="20" w:type="dxa"/>
              <w:bottom w:w="0" w:type="dxa"/>
              <w:right w:w="20" w:type="dxa"/>
            </w:tcMar>
          </w:tcPr>
          <w:p w14:paraId="4090EDD6" w14:textId="77777777" w:rsidR="00833634" w:rsidRDefault="00833634">
            <w:pPr>
              <w:rPr>
                <w:rFonts w:ascii="宋体"/>
              </w:rPr>
            </w:pPr>
          </w:p>
        </w:tc>
        <w:tc>
          <w:tcPr>
            <w:tcW w:w="0" w:type="auto"/>
            <w:gridSpan w:val="15"/>
            <w:shd w:val="clear" w:color="auto" w:fill="auto"/>
            <w:tcMar>
              <w:top w:w="40" w:type="dxa"/>
              <w:left w:w="20" w:type="dxa"/>
              <w:bottom w:w="40" w:type="dxa"/>
              <w:right w:w="20" w:type="dxa"/>
            </w:tcMar>
            <w:vAlign w:val="bottom"/>
          </w:tcPr>
          <w:p w14:paraId="4090EDD7" w14:textId="77777777" w:rsidR="00833634" w:rsidRDefault="00E15D51">
            <w:pPr>
              <w:jc w:val="center"/>
              <w:textAlignment w:val="bottom"/>
            </w:pPr>
            <w:r>
              <w:rPr>
                <w:rFonts w:ascii="Arial" w:eastAsia="宋体" w:hAnsi="Arial" w:cs="Arial"/>
                <w:b/>
                <w:bCs/>
                <w:color w:val="000000"/>
                <w:sz w:val="20"/>
                <w:szCs w:val="20"/>
              </w:rPr>
              <w:t>September 30, 2020</w:t>
            </w:r>
          </w:p>
        </w:tc>
      </w:tr>
      <w:tr w:rsidR="00833634" w14:paraId="4090EDDF"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DD9"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DDA" w14:textId="77777777" w:rsidR="00833634" w:rsidRDefault="00E15D51">
            <w:pPr>
              <w:jc w:val="right"/>
              <w:textAlignment w:val="bottom"/>
            </w:pPr>
            <w:r>
              <w:rPr>
                <w:rFonts w:ascii="Arial" w:eastAsia="宋体" w:hAnsi="Arial" w:cs="Arial"/>
                <w:b/>
                <w:bCs/>
                <w:color w:val="000000"/>
                <w:sz w:val="20"/>
                <w:szCs w:val="20"/>
              </w:rPr>
              <w:t>Carrying</w:t>
            </w:r>
            <w:r>
              <w:rPr>
                <w:rFonts w:ascii="Arial" w:eastAsia="宋体" w:hAnsi="Arial" w:cs="Arial"/>
                <w:b/>
                <w:bCs/>
                <w:color w:val="000000"/>
                <w:sz w:val="20"/>
                <w:szCs w:val="20"/>
              </w:rPr>
              <w:br/>
              <w:t>Amount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DDB" w14:textId="77777777" w:rsidR="00833634" w:rsidRDefault="00E15D51">
            <w:pPr>
              <w:jc w:val="right"/>
              <w:textAlignment w:val="bottom"/>
            </w:pPr>
            <w:r>
              <w:rPr>
                <w:rFonts w:ascii="Arial" w:eastAsia="宋体" w:hAnsi="Arial" w:cs="Arial"/>
                <w:b/>
                <w:bCs/>
                <w:color w:val="000000"/>
                <w:sz w:val="20"/>
                <w:szCs w:val="20"/>
              </w:rPr>
              <w:t>Total Fair</w:t>
            </w:r>
            <w:r>
              <w:rPr>
                <w:rFonts w:ascii="Arial" w:eastAsia="宋体" w:hAnsi="Arial" w:cs="Arial"/>
                <w:b/>
                <w:bCs/>
                <w:color w:val="000000"/>
                <w:sz w:val="20"/>
                <w:szCs w:val="20"/>
              </w:rPr>
              <w:br/>
              <w:t>Value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DDC" w14:textId="77777777" w:rsidR="00833634" w:rsidRDefault="00E15D51">
            <w:pPr>
              <w:jc w:val="right"/>
              <w:textAlignment w:val="bottom"/>
            </w:pPr>
            <w:r>
              <w:rPr>
                <w:rFonts w:ascii="Arial" w:eastAsia="宋体" w:hAnsi="Arial" w:cs="Arial"/>
                <w:b/>
                <w:bCs/>
                <w:color w:val="000000"/>
                <w:sz w:val="20"/>
                <w:szCs w:val="20"/>
              </w:rPr>
              <w:t>Level 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DDD" w14:textId="77777777" w:rsidR="00833634" w:rsidRDefault="00E15D51">
            <w:pPr>
              <w:jc w:val="right"/>
              <w:textAlignment w:val="bottom"/>
            </w:pPr>
            <w:r>
              <w:rPr>
                <w:rFonts w:ascii="Arial" w:eastAsia="宋体" w:hAnsi="Arial" w:cs="Arial"/>
                <w:b/>
                <w:bCs/>
                <w:color w:val="000000"/>
                <w:sz w:val="20"/>
                <w:szCs w:val="20"/>
              </w:rPr>
              <w:t>Level 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DDE" w14:textId="77777777" w:rsidR="00833634" w:rsidRDefault="00E15D51">
            <w:pPr>
              <w:jc w:val="right"/>
              <w:textAlignment w:val="bottom"/>
            </w:pPr>
            <w:r>
              <w:rPr>
                <w:rFonts w:ascii="Arial" w:eastAsia="宋体" w:hAnsi="Arial" w:cs="Arial"/>
                <w:b/>
                <w:bCs/>
                <w:color w:val="000000"/>
                <w:sz w:val="20"/>
                <w:szCs w:val="20"/>
              </w:rPr>
              <w:t>Level 3</w:t>
            </w:r>
          </w:p>
        </w:tc>
      </w:tr>
      <w:tr w:rsidR="00833634" w14:paraId="4090EDE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DE0" w14:textId="77777777" w:rsidR="00833634" w:rsidRDefault="00E15D51">
            <w:pPr>
              <w:textAlignment w:val="bottom"/>
            </w:pPr>
            <w:r>
              <w:rPr>
                <w:rFonts w:ascii="Arial" w:eastAsia="宋体"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4090EDE1"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DE2"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DE3"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DE4"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DE5" w14:textId="77777777" w:rsidR="00833634" w:rsidRDefault="00833634">
            <w:pPr>
              <w:rPr>
                <w:rFonts w:ascii="宋体"/>
              </w:rPr>
            </w:pPr>
          </w:p>
        </w:tc>
      </w:tr>
      <w:tr w:rsidR="00833634" w14:paraId="4090EDF0" w14:textId="77777777">
        <w:tc>
          <w:tcPr>
            <w:tcW w:w="0" w:type="auto"/>
            <w:gridSpan w:val="3"/>
            <w:shd w:val="clear" w:color="auto" w:fill="FFFFFF"/>
            <w:tcMar>
              <w:top w:w="40" w:type="dxa"/>
              <w:left w:w="225" w:type="dxa"/>
              <w:bottom w:w="40" w:type="dxa"/>
              <w:right w:w="20" w:type="dxa"/>
            </w:tcMar>
            <w:vAlign w:val="bottom"/>
          </w:tcPr>
          <w:p w14:paraId="4090EDE7" w14:textId="77777777" w:rsidR="00833634" w:rsidRDefault="00E15D51">
            <w:pPr>
              <w:textAlignment w:val="bottom"/>
            </w:pPr>
            <w:r>
              <w:rPr>
                <w:rFonts w:ascii="Arial" w:eastAsia="宋体" w:hAnsi="Arial" w:cs="Arial"/>
                <w:color w:val="000000"/>
                <w:sz w:val="20"/>
                <w:szCs w:val="20"/>
              </w:rPr>
              <w:t>Notes receivable, net</w:t>
            </w:r>
          </w:p>
        </w:tc>
        <w:tc>
          <w:tcPr>
            <w:tcW w:w="0" w:type="auto"/>
            <w:gridSpan w:val="2"/>
            <w:shd w:val="clear" w:color="auto" w:fill="FFFFFF"/>
            <w:tcMar>
              <w:top w:w="40" w:type="dxa"/>
              <w:left w:w="20" w:type="dxa"/>
              <w:bottom w:w="40" w:type="dxa"/>
              <w:right w:w="0" w:type="dxa"/>
            </w:tcMar>
            <w:vAlign w:val="bottom"/>
          </w:tcPr>
          <w:p w14:paraId="4090EDE8" w14:textId="77777777" w:rsidR="00833634" w:rsidRDefault="00E15D51">
            <w:pPr>
              <w:jc w:val="right"/>
              <w:textAlignment w:val="bottom"/>
            </w:pPr>
            <w:r>
              <w:rPr>
                <w:rFonts w:ascii="Arial" w:eastAsia="宋体" w:hAnsi="Arial" w:cs="Arial"/>
                <w:b/>
                <w:bCs/>
                <w:color w:val="000000"/>
                <w:sz w:val="20"/>
                <w:szCs w:val="20"/>
              </w:rPr>
              <w:t>$423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DE9"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DEA" w14:textId="77777777" w:rsidR="00833634" w:rsidRDefault="00E15D51">
            <w:pPr>
              <w:jc w:val="right"/>
              <w:textAlignment w:val="bottom"/>
            </w:pPr>
            <w:r>
              <w:rPr>
                <w:rFonts w:ascii="Arial" w:eastAsia="宋体" w:hAnsi="Arial" w:cs="Arial"/>
                <w:b/>
                <w:bCs/>
                <w:color w:val="000000"/>
                <w:sz w:val="20"/>
                <w:szCs w:val="20"/>
              </w:rPr>
              <w:t>$470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DE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DE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DED" w14:textId="77777777" w:rsidR="00833634" w:rsidRDefault="00E15D51">
            <w:pPr>
              <w:jc w:val="right"/>
              <w:textAlignment w:val="bottom"/>
            </w:pPr>
            <w:r>
              <w:rPr>
                <w:rFonts w:ascii="Arial" w:eastAsia="宋体" w:hAnsi="Arial" w:cs="Arial"/>
                <w:b/>
                <w:bCs/>
                <w:color w:val="000000"/>
                <w:sz w:val="20"/>
                <w:szCs w:val="20"/>
              </w:rPr>
              <w:t>$470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DE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DEF" w14:textId="77777777" w:rsidR="00833634" w:rsidRDefault="00833634">
            <w:pPr>
              <w:rPr>
                <w:rFonts w:ascii="宋体"/>
              </w:rPr>
            </w:pPr>
          </w:p>
        </w:tc>
      </w:tr>
      <w:tr w:rsidR="00833634" w14:paraId="4090EDF7" w14:textId="77777777">
        <w:tc>
          <w:tcPr>
            <w:tcW w:w="0" w:type="auto"/>
            <w:gridSpan w:val="3"/>
            <w:shd w:val="clear" w:color="auto" w:fill="CCEEFF"/>
            <w:tcMar>
              <w:top w:w="40" w:type="dxa"/>
              <w:left w:w="20" w:type="dxa"/>
              <w:bottom w:w="40" w:type="dxa"/>
              <w:right w:w="20" w:type="dxa"/>
            </w:tcMar>
            <w:vAlign w:val="bottom"/>
          </w:tcPr>
          <w:p w14:paraId="4090EDF1" w14:textId="77777777" w:rsidR="00833634" w:rsidRDefault="00E15D51">
            <w:pPr>
              <w:textAlignment w:val="bottom"/>
            </w:pPr>
            <w:r>
              <w:rPr>
                <w:rFonts w:ascii="Arial" w:eastAsia="宋体"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tcPr>
          <w:p w14:paraId="4090EDF2"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DF3"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DF4"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DF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DF6" w14:textId="77777777" w:rsidR="00833634" w:rsidRDefault="00833634">
            <w:pPr>
              <w:rPr>
                <w:rFonts w:ascii="宋体"/>
              </w:rPr>
            </w:pPr>
          </w:p>
        </w:tc>
      </w:tr>
      <w:tr w:rsidR="00833634" w14:paraId="4090EE02" w14:textId="77777777">
        <w:tc>
          <w:tcPr>
            <w:tcW w:w="0" w:type="auto"/>
            <w:gridSpan w:val="3"/>
            <w:tcBorders>
              <w:bottom w:val="double" w:sz="6" w:space="0" w:color="000000"/>
            </w:tcBorders>
            <w:shd w:val="clear" w:color="auto" w:fill="FFFFFF"/>
            <w:tcMar>
              <w:top w:w="40" w:type="dxa"/>
              <w:left w:w="225" w:type="dxa"/>
              <w:bottom w:w="40" w:type="dxa"/>
              <w:right w:w="20" w:type="dxa"/>
            </w:tcMar>
            <w:vAlign w:val="bottom"/>
          </w:tcPr>
          <w:p w14:paraId="4090EDF8" w14:textId="77777777" w:rsidR="00833634" w:rsidRDefault="00E15D51">
            <w:pPr>
              <w:textAlignment w:val="bottom"/>
            </w:pPr>
            <w:r>
              <w:rPr>
                <w:rFonts w:ascii="Arial" w:eastAsia="宋体" w:hAnsi="Arial" w:cs="Arial"/>
                <w:color w:val="000000"/>
                <w:sz w:val="20"/>
                <w:szCs w:val="20"/>
              </w:rPr>
              <w:t xml:space="preserve">Debt, excluding commercial paper and capital lease obligations </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DF9" w14:textId="77777777" w:rsidR="00833634" w:rsidRDefault="00E15D51">
            <w:pPr>
              <w:jc w:val="right"/>
              <w:textAlignment w:val="bottom"/>
            </w:pPr>
            <w:r>
              <w:rPr>
                <w:rFonts w:ascii="Arial" w:eastAsia="宋体" w:hAnsi="Arial" w:cs="Arial"/>
                <w:b/>
                <w:bCs/>
                <w:color w:val="000000"/>
                <w:sz w:val="20"/>
                <w:szCs w:val="20"/>
              </w:rPr>
              <w:t>(58,840)</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DFA" w14:textId="77777777" w:rsidR="00833634" w:rsidRDefault="00833634">
            <w:pPr>
              <w:jc w:val="right"/>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DFB" w14:textId="77777777" w:rsidR="00833634" w:rsidRDefault="00E15D51">
            <w:pPr>
              <w:jc w:val="right"/>
              <w:textAlignment w:val="bottom"/>
            </w:pPr>
            <w:r>
              <w:rPr>
                <w:rFonts w:ascii="Arial" w:eastAsia="宋体" w:hAnsi="Arial" w:cs="Arial"/>
                <w:b/>
                <w:bCs/>
                <w:color w:val="000000"/>
                <w:sz w:val="20"/>
                <w:szCs w:val="20"/>
              </w:rPr>
              <w:t>(63,033)</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DFC" w14:textId="77777777" w:rsidR="00833634" w:rsidRDefault="00833634">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4090EDFD"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DFE" w14:textId="77777777" w:rsidR="00833634" w:rsidRDefault="00E15D51">
            <w:pPr>
              <w:jc w:val="right"/>
              <w:textAlignment w:val="bottom"/>
            </w:pPr>
            <w:r>
              <w:rPr>
                <w:rFonts w:ascii="Arial" w:eastAsia="宋体" w:hAnsi="Arial" w:cs="Arial"/>
                <w:b/>
                <w:bCs/>
                <w:color w:val="000000"/>
                <w:sz w:val="20"/>
                <w:szCs w:val="20"/>
              </w:rPr>
              <w:t>(63,016)</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DFF" w14:textId="77777777" w:rsidR="00833634" w:rsidRDefault="00833634">
            <w:pPr>
              <w:jc w:val="right"/>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E00" w14:textId="77777777" w:rsidR="00833634" w:rsidRDefault="00E15D51">
            <w:pPr>
              <w:jc w:val="right"/>
              <w:textAlignment w:val="bottom"/>
            </w:pPr>
            <w:r>
              <w:rPr>
                <w:rFonts w:ascii="Arial" w:eastAsia="宋体" w:hAnsi="Arial" w:cs="Arial"/>
                <w:b/>
                <w:bCs/>
                <w:color w:val="000000"/>
                <w:sz w:val="20"/>
                <w:szCs w:val="20"/>
              </w:rPr>
              <w:t>($17)</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E01" w14:textId="77777777" w:rsidR="00833634" w:rsidRDefault="00833634">
            <w:pPr>
              <w:jc w:val="right"/>
              <w:rPr>
                <w:rFonts w:ascii="宋体"/>
              </w:rPr>
            </w:pPr>
          </w:p>
        </w:tc>
      </w:tr>
    </w:tbl>
    <w:p w14:paraId="4090EE03" w14:textId="77777777" w:rsidR="00833634" w:rsidRDefault="00833634">
      <w:pPr>
        <w:rPr>
          <w:vanish/>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3865"/>
        <w:gridCol w:w="37"/>
        <w:gridCol w:w="69"/>
        <w:gridCol w:w="868"/>
        <w:gridCol w:w="37"/>
        <w:gridCol w:w="76"/>
        <w:gridCol w:w="861"/>
        <w:gridCol w:w="37"/>
        <w:gridCol w:w="72"/>
        <w:gridCol w:w="692"/>
        <w:gridCol w:w="37"/>
        <w:gridCol w:w="81"/>
        <w:gridCol w:w="684"/>
        <w:gridCol w:w="36"/>
        <w:gridCol w:w="72"/>
        <w:gridCol w:w="694"/>
        <w:gridCol w:w="36"/>
      </w:tblGrid>
      <w:tr w:rsidR="00833634" w14:paraId="4090EE16" w14:textId="77777777">
        <w:trPr>
          <w:jc w:val="center"/>
        </w:trPr>
        <w:tc>
          <w:tcPr>
            <w:tcW w:w="50" w:type="pct"/>
            <w:shd w:val="clear" w:color="auto" w:fill="auto"/>
          </w:tcPr>
          <w:p w14:paraId="4090EE04" w14:textId="77777777" w:rsidR="00833634" w:rsidRDefault="00833634">
            <w:pPr>
              <w:rPr>
                <w:rFonts w:ascii="宋体"/>
              </w:rPr>
            </w:pPr>
          </w:p>
        </w:tc>
        <w:tc>
          <w:tcPr>
            <w:tcW w:w="2328" w:type="pct"/>
            <w:shd w:val="clear" w:color="auto" w:fill="auto"/>
          </w:tcPr>
          <w:p w14:paraId="4090EE05" w14:textId="77777777" w:rsidR="00833634" w:rsidRDefault="00833634">
            <w:pPr>
              <w:rPr>
                <w:rFonts w:ascii="宋体"/>
              </w:rPr>
            </w:pPr>
          </w:p>
        </w:tc>
        <w:tc>
          <w:tcPr>
            <w:tcW w:w="5" w:type="pct"/>
            <w:shd w:val="clear" w:color="auto" w:fill="auto"/>
          </w:tcPr>
          <w:p w14:paraId="4090EE06" w14:textId="77777777" w:rsidR="00833634" w:rsidRDefault="00833634">
            <w:pPr>
              <w:rPr>
                <w:rFonts w:ascii="宋体"/>
              </w:rPr>
            </w:pPr>
          </w:p>
        </w:tc>
        <w:tc>
          <w:tcPr>
            <w:tcW w:w="50" w:type="pct"/>
            <w:shd w:val="clear" w:color="auto" w:fill="auto"/>
          </w:tcPr>
          <w:p w14:paraId="4090EE07" w14:textId="77777777" w:rsidR="00833634" w:rsidRDefault="00833634">
            <w:pPr>
              <w:rPr>
                <w:rFonts w:ascii="宋体"/>
              </w:rPr>
            </w:pPr>
          </w:p>
        </w:tc>
        <w:tc>
          <w:tcPr>
            <w:tcW w:w="530" w:type="pct"/>
            <w:shd w:val="clear" w:color="auto" w:fill="auto"/>
          </w:tcPr>
          <w:p w14:paraId="4090EE08" w14:textId="77777777" w:rsidR="00833634" w:rsidRDefault="00833634">
            <w:pPr>
              <w:rPr>
                <w:rFonts w:ascii="宋体"/>
              </w:rPr>
            </w:pPr>
          </w:p>
        </w:tc>
        <w:tc>
          <w:tcPr>
            <w:tcW w:w="5" w:type="pct"/>
            <w:shd w:val="clear" w:color="auto" w:fill="auto"/>
          </w:tcPr>
          <w:p w14:paraId="4090EE09" w14:textId="77777777" w:rsidR="00833634" w:rsidRDefault="00833634">
            <w:pPr>
              <w:rPr>
                <w:rFonts w:ascii="宋体"/>
              </w:rPr>
            </w:pPr>
          </w:p>
        </w:tc>
        <w:tc>
          <w:tcPr>
            <w:tcW w:w="50" w:type="pct"/>
            <w:shd w:val="clear" w:color="auto" w:fill="auto"/>
          </w:tcPr>
          <w:p w14:paraId="4090EE0A" w14:textId="77777777" w:rsidR="00833634" w:rsidRDefault="00833634">
            <w:pPr>
              <w:rPr>
                <w:rFonts w:ascii="宋体"/>
              </w:rPr>
            </w:pPr>
          </w:p>
        </w:tc>
        <w:tc>
          <w:tcPr>
            <w:tcW w:w="530" w:type="pct"/>
            <w:shd w:val="clear" w:color="auto" w:fill="auto"/>
          </w:tcPr>
          <w:p w14:paraId="4090EE0B" w14:textId="77777777" w:rsidR="00833634" w:rsidRDefault="00833634">
            <w:pPr>
              <w:rPr>
                <w:rFonts w:ascii="宋体"/>
              </w:rPr>
            </w:pPr>
          </w:p>
        </w:tc>
        <w:tc>
          <w:tcPr>
            <w:tcW w:w="5" w:type="pct"/>
            <w:shd w:val="clear" w:color="auto" w:fill="auto"/>
          </w:tcPr>
          <w:p w14:paraId="4090EE0C" w14:textId="77777777" w:rsidR="00833634" w:rsidRDefault="00833634">
            <w:pPr>
              <w:rPr>
                <w:rFonts w:ascii="宋体"/>
              </w:rPr>
            </w:pPr>
          </w:p>
        </w:tc>
        <w:tc>
          <w:tcPr>
            <w:tcW w:w="50" w:type="pct"/>
            <w:shd w:val="clear" w:color="auto" w:fill="auto"/>
          </w:tcPr>
          <w:p w14:paraId="4090EE0D" w14:textId="77777777" w:rsidR="00833634" w:rsidRDefault="00833634">
            <w:pPr>
              <w:rPr>
                <w:rFonts w:ascii="宋体"/>
              </w:rPr>
            </w:pPr>
          </w:p>
        </w:tc>
        <w:tc>
          <w:tcPr>
            <w:tcW w:w="426" w:type="pct"/>
            <w:shd w:val="clear" w:color="auto" w:fill="auto"/>
          </w:tcPr>
          <w:p w14:paraId="4090EE0E" w14:textId="77777777" w:rsidR="00833634" w:rsidRDefault="00833634">
            <w:pPr>
              <w:rPr>
                <w:rFonts w:ascii="宋体"/>
              </w:rPr>
            </w:pPr>
          </w:p>
        </w:tc>
        <w:tc>
          <w:tcPr>
            <w:tcW w:w="5" w:type="pct"/>
            <w:shd w:val="clear" w:color="auto" w:fill="auto"/>
          </w:tcPr>
          <w:p w14:paraId="4090EE0F" w14:textId="77777777" w:rsidR="00833634" w:rsidRDefault="00833634">
            <w:pPr>
              <w:rPr>
                <w:rFonts w:ascii="宋体"/>
              </w:rPr>
            </w:pPr>
          </w:p>
        </w:tc>
        <w:tc>
          <w:tcPr>
            <w:tcW w:w="50" w:type="pct"/>
            <w:shd w:val="clear" w:color="auto" w:fill="auto"/>
          </w:tcPr>
          <w:p w14:paraId="4090EE10" w14:textId="77777777" w:rsidR="00833634" w:rsidRDefault="00833634">
            <w:pPr>
              <w:rPr>
                <w:rFonts w:ascii="宋体"/>
              </w:rPr>
            </w:pPr>
          </w:p>
        </w:tc>
        <w:tc>
          <w:tcPr>
            <w:tcW w:w="426" w:type="pct"/>
            <w:shd w:val="clear" w:color="auto" w:fill="auto"/>
          </w:tcPr>
          <w:p w14:paraId="4090EE11" w14:textId="77777777" w:rsidR="00833634" w:rsidRDefault="00833634">
            <w:pPr>
              <w:rPr>
                <w:rFonts w:ascii="宋体"/>
              </w:rPr>
            </w:pPr>
          </w:p>
        </w:tc>
        <w:tc>
          <w:tcPr>
            <w:tcW w:w="5" w:type="pct"/>
            <w:shd w:val="clear" w:color="auto" w:fill="auto"/>
          </w:tcPr>
          <w:p w14:paraId="4090EE12" w14:textId="77777777" w:rsidR="00833634" w:rsidRDefault="00833634">
            <w:pPr>
              <w:rPr>
                <w:rFonts w:ascii="宋体"/>
              </w:rPr>
            </w:pPr>
          </w:p>
        </w:tc>
        <w:tc>
          <w:tcPr>
            <w:tcW w:w="50" w:type="pct"/>
            <w:shd w:val="clear" w:color="auto" w:fill="auto"/>
          </w:tcPr>
          <w:p w14:paraId="4090EE13" w14:textId="77777777" w:rsidR="00833634" w:rsidRDefault="00833634">
            <w:pPr>
              <w:rPr>
                <w:rFonts w:ascii="宋体"/>
              </w:rPr>
            </w:pPr>
          </w:p>
        </w:tc>
        <w:tc>
          <w:tcPr>
            <w:tcW w:w="426" w:type="pct"/>
            <w:shd w:val="clear" w:color="auto" w:fill="auto"/>
          </w:tcPr>
          <w:p w14:paraId="4090EE14" w14:textId="77777777" w:rsidR="00833634" w:rsidRDefault="00833634">
            <w:pPr>
              <w:rPr>
                <w:rFonts w:ascii="宋体"/>
              </w:rPr>
            </w:pPr>
          </w:p>
        </w:tc>
        <w:tc>
          <w:tcPr>
            <w:tcW w:w="5" w:type="pct"/>
            <w:shd w:val="clear" w:color="auto" w:fill="auto"/>
          </w:tcPr>
          <w:p w14:paraId="4090EE15" w14:textId="77777777" w:rsidR="00833634" w:rsidRDefault="00833634">
            <w:pPr>
              <w:rPr>
                <w:rFonts w:ascii="宋体"/>
              </w:rPr>
            </w:pPr>
          </w:p>
        </w:tc>
      </w:tr>
      <w:tr w:rsidR="00833634" w14:paraId="4090EE19" w14:textId="77777777">
        <w:trPr>
          <w:jc w:val="center"/>
        </w:trPr>
        <w:tc>
          <w:tcPr>
            <w:tcW w:w="0" w:type="auto"/>
            <w:gridSpan w:val="3"/>
            <w:shd w:val="clear" w:color="auto" w:fill="auto"/>
            <w:tcMar>
              <w:top w:w="0" w:type="dxa"/>
              <w:left w:w="20" w:type="dxa"/>
              <w:bottom w:w="0" w:type="dxa"/>
              <w:right w:w="20" w:type="dxa"/>
            </w:tcMar>
          </w:tcPr>
          <w:p w14:paraId="4090EE17" w14:textId="77777777" w:rsidR="00833634" w:rsidRDefault="00833634">
            <w:pPr>
              <w:rPr>
                <w:rFonts w:ascii="宋体"/>
              </w:rPr>
            </w:pPr>
          </w:p>
        </w:tc>
        <w:tc>
          <w:tcPr>
            <w:tcW w:w="0" w:type="auto"/>
            <w:gridSpan w:val="15"/>
            <w:shd w:val="clear" w:color="auto" w:fill="auto"/>
            <w:tcMar>
              <w:top w:w="40" w:type="dxa"/>
              <w:left w:w="20" w:type="dxa"/>
              <w:bottom w:w="40" w:type="dxa"/>
              <w:right w:w="20" w:type="dxa"/>
            </w:tcMar>
            <w:vAlign w:val="bottom"/>
          </w:tcPr>
          <w:p w14:paraId="4090EE18" w14:textId="77777777" w:rsidR="00833634" w:rsidRDefault="00E15D51">
            <w:pPr>
              <w:jc w:val="center"/>
              <w:textAlignment w:val="bottom"/>
            </w:pPr>
            <w:r>
              <w:rPr>
                <w:rFonts w:ascii="Arial" w:eastAsia="宋体" w:hAnsi="Arial" w:cs="Arial"/>
                <w:color w:val="000000"/>
                <w:sz w:val="20"/>
                <w:szCs w:val="20"/>
              </w:rPr>
              <w:t>Decembe</w:t>
            </w:r>
            <w:r>
              <w:rPr>
                <w:rFonts w:ascii="Arial" w:eastAsia="宋体" w:hAnsi="Arial" w:cs="Arial"/>
                <w:color w:val="000000"/>
                <w:sz w:val="20"/>
                <w:szCs w:val="20"/>
              </w:rPr>
              <w:t>r 31, 2019</w:t>
            </w:r>
          </w:p>
        </w:tc>
      </w:tr>
      <w:tr w:rsidR="00833634" w14:paraId="4090EE20" w14:textId="77777777">
        <w:trPr>
          <w:jc w:val="center"/>
        </w:trPr>
        <w:tc>
          <w:tcPr>
            <w:tcW w:w="0" w:type="auto"/>
            <w:gridSpan w:val="3"/>
            <w:tcBorders>
              <w:top w:val="single" w:sz="8" w:space="0" w:color="000000"/>
            </w:tcBorders>
            <w:shd w:val="clear" w:color="auto" w:fill="auto"/>
            <w:tcMar>
              <w:top w:w="0" w:type="dxa"/>
              <w:left w:w="20" w:type="dxa"/>
              <w:bottom w:w="0" w:type="dxa"/>
              <w:right w:w="20" w:type="dxa"/>
            </w:tcMar>
          </w:tcPr>
          <w:p w14:paraId="4090EE1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E1B" w14:textId="77777777" w:rsidR="00833634" w:rsidRDefault="00E15D51">
            <w:pPr>
              <w:jc w:val="right"/>
              <w:textAlignment w:val="bottom"/>
            </w:pPr>
            <w:r>
              <w:rPr>
                <w:rFonts w:ascii="Arial" w:eastAsia="宋体" w:hAnsi="Arial" w:cs="Arial"/>
                <w:color w:val="000000"/>
                <w:sz w:val="20"/>
                <w:szCs w:val="20"/>
              </w:rPr>
              <w:t>Carrying</w:t>
            </w:r>
            <w:r>
              <w:rPr>
                <w:rFonts w:ascii="Arial" w:eastAsia="宋体" w:hAnsi="Arial" w:cs="Arial"/>
                <w:color w:val="000000"/>
                <w:sz w:val="20"/>
                <w:szCs w:val="20"/>
              </w:rPr>
              <w:br/>
              <w:t>Amount</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E1C" w14:textId="77777777" w:rsidR="00833634" w:rsidRDefault="00E15D51">
            <w:pPr>
              <w:jc w:val="right"/>
              <w:textAlignment w:val="bottom"/>
            </w:pPr>
            <w:r>
              <w:rPr>
                <w:rFonts w:ascii="Arial" w:eastAsia="宋体" w:hAnsi="Arial" w:cs="Arial"/>
                <w:color w:val="000000"/>
                <w:sz w:val="20"/>
                <w:szCs w:val="20"/>
              </w:rPr>
              <w:t>Total Fair</w:t>
            </w:r>
            <w:r>
              <w:rPr>
                <w:rFonts w:ascii="Arial" w:eastAsia="宋体" w:hAnsi="Arial" w:cs="Arial"/>
                <w:color w:val="000000"/>
                <w:sz w:val="20"/>
                <w:szCs w:val="20"/>
              </w:rPr>
              <w:br/>
              <w:t>Value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E1D" w14:textId="77777777" w:rsidR="00833634" w:rsidRDefault="00E15D51">
            <w:pPr>
              <w:jc w:val="right"/>
              <w:textAlignment w:val="bottom"/>
            </w:pPr>
            <w:r>
              <w:rPr>
                <w:rFonts w:ascii="Arial" w:eastAsia="宋体" w:hAnsi="Arial" w:cs="Arial"/>
                <w:color w:val="000000"/>
                <w:sz w:val="20"/>
                <w:szCs w:val="20"/>
              </w:rPr>
              <w:t>Level 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E1E" w14:textId="77777777" w:rsidR="00833634" w:rsidRDefault="00E15D51">
            <w:pPr>
              <w:jc w:val="right"/>
              <w:textAlignment w:val="bottom"/>
            </w:pPr>
            <w:r>
              <w:rPr>
                <w:rFonts w:ascii="Arial" w:eastAsia="宋体" w:hAnsi="Arial" w:cs="Arial"/>
                <w:color w:val="000000"/>
                <w:sz w:val="20"/>
                <w:szCs w:val="20"/>
              </w:rPr>
              <w:t>Level 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E1F" w14:textId="77777777" w:rsidR="00833634" w:rsidRDefault="00E15D51">
            <w:pPr>
              <w:jc w:val="right"/>
              <w:textAlignment w:val="bottom"/>
            </w:pPr>
            <w:r>
              <w:rPr>
                <w:rFonts w:ascii="Arial" w:eastAsia="宋体" w:hAnsi="Arial" w:cs="Arial"/>
                <w:color w:val="000000"/>
                <w:sz w:val="20"/>
                <w:szCs w:val="20"/>
              </w:rPr>
              <w:t>Level 3</w:t>
            </w:r>
          </w:p>
        </w:tc>
      </w:tr>
      <w:tr w:rsidR="00833634" w14:paraId="4090EE27" w14:textId="77777777">
        <w:trPr>
          <w:jc w:val="center"/>
        </w:trPr>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E21" w14:textId="77777777" w:rsidR="00833634" w:rsidRDefault="00E15D51">
            <w:pPr>
              <w:textAlignment w:val="bottom"/>
            </w:pPr>
            <w:r>
              <w:rPr>
                <w:rFonts w:ascii="Arial" w:eastAsia="宋体" w:hAnsi="Arial" w:cs="Arial"/>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tcPr>
          <w:p w14:paraId="4090EE22"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23"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24"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25"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26" w14:textId="77777777" w:rsidR="00833634" w:rsidRDefault="00833634">
            <w:pPr>
              <w:rPr>
                <w:rFonts w:ascii="宋体"/>
              </w:rPr>
            </w:pPr>
          </w:p>
        </w:tc>
      </w:tr>
      <w:tr w:rsidR="00833634" w14:paraId="4090EE31" w14:textId="77777777">
        <w:trPr>
          <w:jc w:val="center"/>
        </w:trPr>
        <w:tc>
          <w:tcPr>
            <w:tcW w:w="0" w:type="auto"/>
            <w:gridSpan w:val="3"/>
            <w:shd w:val="clear" w:color="auto" w:fill="FFFFFF"/>
            <w:tcMar>
              <w:top w:w="40" w:type="dxa"/>
              <w:left w:w="225" w:type="dxa"/>
              <w:bottom w:w="40" w:type="dxa"/>
              <w:right w:w="20" w:type="dxa"/>
            </w:tcMar>
            <w:vAlign w:val="bottom"/>
          </w:tcPr>
          <w:p w14:paraId="4090EE28" w14:textId="77777777" w:rsidR="00833634" w:rsidRDefault="00E15D51">
            <w:pPr>
              <w:textAlignment w:val="bottom"/>
            </w:pPr>
            <w:r>
              <w:rPr>
                <w:rFonts w:ascii="Arial" w:eastAsia="宋体" w:hAnsi="Arial" w:cs="Arial"/>
                <w:color w:val="000000"/>
                <w:sz w:val="20"/>
                <w:szCs w:val="20"/>
              </w:rPr>
              <w:t>Notes receivable, net</w:t>
            </w:r>
          </w:p>
        </w:tc>
        <w:tc>
          <w:tcPr>
            <w:tcW w:w="0" w:type="auto"/>
            <w:gridSpan w:val="2"/>
            <w:shd w:val="clear" w:color="auto" w:fill="FFFFFF"/>
            <w:tcMar>
              <w:top w:w="40" w:type="dxa"/>
              <w:left w:w="20" w:type="dxa"/>
              <w:bottom w:w="40" w:type="dxa"/>
              <w:right w:w="0" w:type="dxa"/>
            </w:tcMar>
            <w:vAlign w:val="bottom"/>
          </w:tcPr>
          <w:p w14:paraId="4090EE29" w14:textId="77777777" w:rsidR="00833634" w:rsidRDefault="00E15D51">
            <w:pPr>
              <w:jc w:val="right"/>
              <w:textAlignment w:val="bottom"/>
            </w:pPr>
            <w:r>
              <w:rPr>
                <w:rFonts w:ascii="Arial" w:eastAsia="宋体" w:hAnsi="Arial" w:cs="Arial"/>
                <w:color w:val="000000"/>
                <w:sz w:val="20"/>
                <w:szCs w:val="20"/>
              </w:rPr>
              <w:t>$443 </w:t>
            </w:r>
          </w:p>
        </w:tc>
        <w:tc>
          <w:tcPr>
            <w:tcW w:w="0" w:type="auto"/>
            <w:shd w:val="clear" w:color="auto" w:fill="FFFFFF"/>
            <w:tcMar>
              <w:top w:w="40" w:type="dxa"/>
              <w:left w:w="0" w:type="dxa"/>
              <w:bottom w:w="40" w:type="dxa"/>
              <w:right w:w="20" w:type="dxa"/>
            </w:tcMar>
            <w:vAlign w:val="bottom"/>
          </w:tcPr>
          <w:p w14:paraId="4090EE2A" w14:textId="77777777" w:rsidR="00833634" w:rsidRDefault="00833634">
            <w:pPr>
              <w:jc w:val="right"/>
              <w:rPr>
                <w:rFonts w:ascii="宋体"/>
              </w:rPr>
            </w:pPr>
          </w:p>
        </w:tc>
        <w:tc>
          <w:tcPr>
            <w:tcW w:w="0" w:type="auto"/>
            <w:gridSpan w:val="2"/>
            <w:shd w:val="clear" w:color="auto" w:fill="FFFFFF"/>
            <w:tcMar>
              <w:top w:w="40" w:type="dxa"/>
              <w:left w:w="20" w:type="dxa"/>
              <w:bottom w:w="40" w:type="dxa"/>
              <w:right w:w="0" w:type="dxa"/>
            </w:tcMar>
            <w:vAlign w:val="bottom"/>
          </w:tcPr>
          <w:p w14:paraId="4090EE2B" w14:textId="77777777" w:rsidR="00833634" w:rsidRDefault="00E15D51">
            <w:pPr>
              <w:jc w:val="right"/>
              <w:textAlignment w:val="bottom"/>
            </w:pPr>
            <w:r>
              <w:rPr>
                <w:rFonts w:ascii="Arial" w:eastAsia="宋体" w:hAnsi="Arial" w:cs="Arial"/>
                <w:color w:val="000000"/>
                <w:sz w:val="20"/>
                <w:szCs w:val="20"/>
              </w:rPr>
              <w:t>$444 </w:t>
            </w:r>
          </w:p>
        </w:tc>
        <w:tc>
          <w:tcPr>
            <w:tcW w:w="0" w:type="auto"/>
            <w:shd w:val="clear" w:color="auto" w:fill="FFFFFF"/>
            <w:tcMar>
              <w:top w:w="40" w:type="dxa"/>
              <w:left w:w="0" w:type="dxa"/>
              <w:bottom w:w="40" w:type="dxa"/>
              <w:right w:w="20" w:type="dxa"/>
            </w:tcMar>
            <w:vAlign w:val="bottom"/>
          </w:tcPr>
          <w:p w14:paraId="4090EE2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2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E2E" w14:textId="77777777" w:rsidR="00833634" w:rsidRDefault="00E15D51">
            <w:pPr>
              <w:jc w:val="right"/>
              <w:textAlignment w:val="bottom"/>
            </w:pPr>
            <w:r>
              <w:rPr>
                <w:rFonts w:ascii="Arial" w:eastAsia="宋体" w:hAnsi="Arial" w:cs="Arial"/>
                <w:color w:val="000000"/>
                <w:sz w:val="20"/>
                <w:szCs w:val="20"/>
              </w:rPr>
              <w:t>$444 </w:t>
            </w:r>
          </w:p>
        </w:tc>
        <w:tc>
          <w:tcPr>
            <w:tcW w:w="0" w:type="auto"/>
            <w:shd w:val="clear" w:color="auto" w:fill="FFFFFF"/>
            <w:tcMar>
              <w:top w:w="40" w:type="dxa"/>
              <w:left w:w="0" w:type="dxa"/>
              <w:bottom w:w="40" w:type="dxa"/>
              <w:right w:w="20" w:type="dxa"/>
            </w:tcMar>
            <w:vAlign w:val="bottom"/>
          </w:tcPr>
          <w:p w14:paraId="4090EE2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30" w14:textId="77777777" w:rsidR="00833634" w:rsidRDefault="00833634">
            <w:pPr>
              <w:rPr>
                <w:rFonts w:ascii="宋体"/>
              </w:rPr>
            </w:pPr>
          </w:p>
        </w:tc>
      </w:tr>
      <w:tr w:rsidR="00833634" w14:paraId="4090EE38" w14:textId="77777777">
        <w:trPr>
          <w:jc w:val="center"/>
        </w:trPr>
        <w:tc>
          <w:tcPr>
            <w:tcW w:w="0" w:type="auto"/>
            <w:gridSpan w:val="3"/>
            <w:shd w:val="clear" w:color="auto" w:fill="CCEEFF"/>
            <w:tcMar>
              <w:top w:w="40" w:type="dxa"/>
              <w:left w:w="20" w:type="dxa"/>
              <w:bottom w:w="40" w:type="dxa"/>
              <w:right w:w="20" w:type="dxa"/>
            </w:tcMar>
            <w:vAlign w:val="bottom"/>
          </w:tcPr>
          <w:p w14:paraId="4090EE32" w14:textId="77777777" w:rsidR="00833634" w:rsidRDefault="00E15D51">
            <w:pPr>
              <w:textAlignment w:val="bottom"/>
            </w:pPr>
            <w:r>
              <w:rPr>
                <w:rFonts w:ascii="Arial" w:eastAsia="宋体" w:hAnsi="Arial" w:cs="Arial"/>
                <w:b/>
                <w:bCs/>
                <w:color w:val="000000"/>
                <w:sz w:val="20"/>
                <w:szCs w:val="20"/>
              </w:rPr>
              <w:t>Liabilities</w:t>
            </w:r>
          </w:p>
        </w:tc>
        <w:tc>
          <w:tcPr>
            <w:tcW w:w="0" w:type="auto"/>
            <w:gridSpan w:val="3"/>
            <w:shd w:val="clear" w:color="auto" w:fill="CCEEFF"/>
            <w:tcMar>
              <w:top w:w="0" w:type="dxa"/>
              <w:left w:w="20" w:type="dxa"/>
              <w:bottom w:w="0" w:type="dxa"/>
              <w:right w:w="20" w:type="dxa"/>
            </w:tcMar>
          </w:tcPr>
          <w:p w14:paraId="4090EE33"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E34"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E3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E3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E37" w14:textId="77777777" w:rsidR="00833634" w:rsidRDefault="00833634">
            <w:pPr>
              <w:rPr>
                <w:rFonts w:ascii="宋体"/>
              </w:rPr>
            </w:pPr>
          </w:p>
        </w:tc>
      </w:tr>
      <w:tr w:rsidR="00833634" w14:paraId="4090EE43" w14:textId="77777777">
        <w:trPr>
          <w:jc w:val="center"/>
        </w:trPr>
        <w:tc>
          <w:tcPr>
            <w:tcW w:w="0" w:type="auto"/>
            <w:gridSpan w:val="3"/>
            <w:tcBorders>
              <w:bottom w:val="double" w:sz="6" w:space="0" w:color="000000"/>
            </w:tcBorders>
            <w:shd w:val="clear" w:color="auto" w:fill="FFFFFF"/>
            <w:tcMar>
              <w:top w:w="40" w:type="dxa"/>
              <w:left w:w="225" w:type="dxa"/>
              <w:bottom w:w="40" w:type="dxa"/>
              <w:right w:w="20" w:type="dxa"/>
            </w:tcMar>
            <w:vAlign w:val="bottom"/>
          </w:tcPr>
          <w:p w14:paraId="4090EE39" w14:textId="77777777" w:rsidR="00833634" w:rsidRDefault="00E15D51">
            <w:pPr>
              <w:textAlignment w:val="bottom"/>
            </w:pPr>
            <w:r>
              <w:rPr>
                <w:rFonts w:ascii="Arial" w:eastAsia="宋体" w:hAnsi="Arial" w:cs="Arial"/>
                <w:color w:val="000000"/>
                <w:sz w:val="20"/>
                <w:szCs w:val="20"/>
              </w:rPr>
              <w:t xml:space="preserve">Debt, excluding commercial paper and capital lease obligations </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E3A" w14:textId="77777777" w:rsidR="00833634" w:rsidRDefault="00E15D51">
            <w:pPr>
              <w:jc w:val="right"/>
              <w:textAlignment w:val="bottom"/>
            </w:pPr>
            <w:r>
              <w:rPr>
                <w:rFonts w:ascii="Arial" w:eastAsia="宋体" w:hAnsi="Arial" w:cs="Arial"/>
                <w:color w:val="000000"/>
                <w:sz w:val="20"/>
                <w:szCs w:val="20"/>
              </w:rPr>
              <w:t>(20,964)</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E3B" w14:textId="77777777" w:rsidR="00833634" w:rsidRDefault="00833634">
            <w:pPr>
              <w:jc w:val="right"/>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E3C" w14:textId="77777777" w:rsidR="00833634" w:rsidRDefault="00E15D51">
            <w:pPr>
              <w:jc w:val="right"/>
              <w:textAlignment w:val="bottom"/>
            </w:pPr>
            <w:r>
              <w:rPr>
                <w:rFonts w:ascii="Arial" w:eastAsia="宋体" w:hAnsi="Arial" w:cs="Arial"/>
                <w:color w:val="000000"/>
                <w:sz w:val="20"/>
                <w:szCs w:val="20"/>
              </w:rPr>
              <w:t>(23,119)</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E3D" w14:textId="77777777" w:rsidR="00833634" w:rsidRDefault="00833634">
            <w:pPr>
              <w:jc w:val="right"/>
              <w:rPr>
                <w:rFonts w:ascii="宋体"/>
              </w:rPr>
            </w:pPr>
          </w:p>
        </w:tc>
        <w:tc>
          <w:tcPr>
            <w:tcW w:w="0" w:type="auto"/>
            <w:gridSpan w:val="3"/>
            <w:tcBorders>
              <w:bottom w:val="double" w:sz="6" w:space="0" w:color="000000"/>
            </w:tcBorders>
            <w:shd w:val="clear" w:color="auto" w:fill="FFFFFF"/>
            <w:tcMar>
              <w:top w:w="0" w:type="dxa"/>
              <w:left w:w="20" w:type="dxa"/>
              <w:bottom w:w="0" w:type="dxa"/>
              <w:right w:w="20" w:type="dxa"/>
            </w:tcMar>
          </w:tcPr>
          <w:p w14:paraId="4090EE3E"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E3F" w14:textId="77777777" w:rsidR="00833634" w:rsidRDefault="00E15D51">
            <w:pPr>
              <w:jc w:val="right"/>
              <w:textAlignment w:val="bottom"/>
            </w:pPr>
            <w:r>
              <w:rPr>
                <w:rFonts w:ascii="Arial" w:eastAsia="宋体" w:hAnsi="Arial" w:cs="Arial"/>
                <w:color w:val="000000"/>
                <w:sz w:val="20"/>
                <w:szCs w:val="20"/>
              </w:rPr>
              <w:t>(23,081)</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E40" w14:textId="77777777" w:rsidR="00833634" w:rsidRDefault="00833634">
            <w:pPr>
              <w:jc w:val="right"/>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E41" w14:textId="77777777" w:rsidR="00833634" w:rsidRDefault="00E15D51">
            <w:pPr>
              <w:jc w:val="right"/>
              <w:textAlignment w:val="bottom"/>
            </w:pPr>
            <w:r>
              <w:rPr>
                <w:rFonts w:ascii="Arial" w:eastAsia="宋体" w:hAnsi="Arial" w:cs="Arial"/>
                <w:color w:val="000000"/>
                <w:sz w:val="20"/>
                <w:szCs w:val="20"/>
              </w:rPr>
              <w:t>($38)</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E42" w14:textId="77777777" w:rsidR="00833634" w:rsidRDefault="00833634">
            <w:pPr>
              <w:jc w:val="right"/>
              <w:rPr>
                <w:rFonts w:ascii="宋体"/>
              </w:rPr>
            </w:pPr>
          </w:p>
        </w:tc>
      </w:tr>
    </w:tbl>
    <w:p w14:paraId="4090EE44" w14:textId="77777777" w:rsidR="00833634" w:rsidRDefault="00E15D51">
      <w:pPr>
        <w:spacing w:after="300"/>
        <w:jc w:val="both"/>
      </w:pPr>
      <w:r>
        <w:rPr>
          <w:rFonts w:ascii="Arial" w:eastAsia="宋体" w:hAnsi="Arial" w:cs="Arial"/>
          <w:color w:val="000000"/>
          <w:sz w:val="20"/>
          <w:szCs w:val="20"/>
        </w:rPr>
        <w:t>The fair values of notes receivable are estimated with discounted cash flow analysis using interest rates currently offered on loans with similar terms to borrowers of similar credit quality. The fair value of our debt that is traded in the secondary m</w:t>
      </w:r>
      <w:r>
        <w:rPr>
          <w:rFonts w:ascii="Arial" w:eastAsia="宋体" w:hAnsi="Arial" w:cs="Arial"/>
          <w:color w:val="000000"/>
          <w:sz w:val="20"/>
          <w:szCs w:val="20"/>
        </w:rPr>
        <w:t>arket is classified as Level 2 and is based on current market yields. For our debt that is not traded in the secondary market, the fair value is classified as Level 2 and is based on our indicative borrowing cost derived from dealer quotes or discounted ca</w:t>
      </w:r>
      <w:r>
        <w:rPr>
          <w:rFonts w:ascii="Arial" w:eastAsia="宋体" w:hAnsi="Arial" w:cs="Arial"/>
          <w:color w:val="000000"/>
          <w:sz w:val="20"/>
          <w:szCs w:val="20"/>
        </w:rPr>
        <w:t xml:space="preserve">sh flows. The fair values of our debt classified as Level 3 are based on discounted cash flow models using the implied yield from similar securities. With regard to other financial instruments with off-balance sheet risk, it is not practicable </w:t>
      </w:r>
    </w:p>
    <w:p w14:paraId="4090EE45" w14:textId="77777777" w:rsidR="00833634" w:rsidRDefault="00E15D51">
      <w:pPr>
        <w:spacing w:after="180"/>
        <w:jc w:val="center"/>
      </w:pPr>
      <w:r>
        <w:rPr>
          <w:rFonts w:ascii="Arial" w:eastAsia="宋体" w:hAnsi="Arial" w:cs="Arial"/>
          <w:color w:val="000000"/>
          <w:sz w:val="18"/>
          <w:szCs w:val="18"/>
        </w:rPr>
        <w:t>30</w:t>
      </w:r>
    </w:p>
    <w:p w14:paraId="4090EE46" w14:textId="77777777" w:rsidR="00833634" w:rsidRDefault="00E15D51">
      <w:r>
        <w:pict w14:anchorId="4090FE3E">
          <v:rect id="_x0000_i1056" style="width:415.3pt;height:1.5pt" o:hralign="center" o:hrstd="t" o:hr="t" fillcolor="#a0a0a0" stroked="f"/>
        </w:pict>
      </w:r>
    </w:p>
    <w:p w14:paraId="4090EE47" w14:textId="77777777" w:rsidR="00833634" w:rsidRDefault="00E15D51">
      <w:pPr>
        <w:spacing w:after="180"/>
        <w:jc w:val="both"/>
      </w:pPr>
      <w:hyperlink r:id="rId133" w:anchor="i8d805bfb1e1c4815a1dcd5b6d1e0b117_10" w:history="1">
        <w:r>
          <w:rPr>
            <w:rStyle w:val="a5"/>
            <w:rFonts w:ascii="Arial" w:eastAsia="宋体" w:hAnsi="Arial" w:cs="Arial"/>
            <w:sz w:val="18"/>
            <w:szCs w:val="18"/>
          </w:rPr>
          <w:t>Table of Contents</w:t>
        </w:r>
      </w:hyperlink>
    </w:p>
    <w:p w14:paraId="4090EE48" w14:textId="77777777" w:rsidR="00833634" w:rsidRDefault="00E15D51">
      <w:pPr>
        <w:spacing w:after="300"/>
        <w:jc w:val="both"/>
      </w:pPr>
      <w:r>
        <w:rPr>
          <w:rFonts w:ascii="Arial" w:eastAsia="宋体" w:hAnsi="Arial" w:cs="Arial"/>
          <w:color w:val="000000"/>
          <w:sz w:val="20"/>
          <w:szCs w:val="20"/>
        </w:rPr>
        <w:t>to estimate the fair value of our indemnifications and financing commitments because t</w:t>
      </w:r>
      <w:r>
        <w:rPr>
          <w:rFonts w:ascii="Arial" w:eastAsia="宋体" w:hAnsi="Arial" w:cs="Arial"/>
          <w:color w:val="000000"/>
          <w:sz w:val="20"/>
          <w:szCs w:val="20"/>
        </w:rPr>
        <w:t>he amount and timing of those arrangements are uncertain. Items not included in the above disclosures include cash, restricted cash, time deposits and other deposits, commercial paper, money market funds, Accounts receivable, Unbilled receivables, Other cu</w:t>
      </w:r>
      <w:r>
        <w:rPr>
          <w:rFonts w:ascii="Arial" w:eastAsia="宋体" w:hAnsi="Arial" w:cs="Arial"/>
          <w:color w:val="000000"/>
          <w:sz w:val="20"/>
          <w:szCs w:val="20"/>
        </w:rPr>
        <w:t>rrent assets, Accounts payable and long-term payables. The carrying values of those items, as reflected in the Condensed Consolidated Statements of Financial Position, approximate their fair value at September 30, 2020 and December 31, 2019. The fair value</w:t>
      </w:r>
      <w:r>
        <w:rPr>
          <w:rFonts w:ascii="Arial" w:eastAsia="宋体" w:hAnsi="Arial" w:cs="Arial"/>
          <w:color w:val="000000"/>
          <w:sz w:val="20"/>
          <w:szCs w:val="20"/>
        </w:rPr>
        <w:t xml:space="preserve"> of assets and liabilities whose carrying value approximates fair value is determined using Level 2 inputs, with the exception of cash (Level 1).</w:t>
      </w:r>
    </w:p>
    <w:p w14:paraId="4090EE49" w14:textId="77777777" w:rsidR="00833634" w:rsidRDefault="00E15D51">
      <w:pPr>
        <w:spacing w:before="300" w:after="180"/>
        <w:jc w:val="both"/>
      </w:pPr>
      <w:r>
        <w:rPr>
          <w:rFonts w:ascii="Arial" w:eastAsia="宋体" w:hAnsi="Arial" w:cs="Arial"/>
          <w:b/>
          <w:bCs/>
          <w:color w:val="000000"/>
          <w:sz w:val="20"/>
          <w:szCs w:val="20"/>
        </w:rPr>
        <w:t>Note 18 – Legal Proceedings</w:t>
      </w:r>
    </w:p>
    <w:p w14:paraId="4090EE4A" w14:textId="77777777" w:rsidR="00833634" w:rsidRDefault="00E15D51">
      <w:pPr>
        <w:spacing w:after="180"/>
        <w:jc w:val="both"/>
      </w:pPr>
      <w:r>
        <w:rPr>
          <w:rFonts w:ascii="Arial" w:eastAsia="宋体" w:hAnsi="Arial" w:cs="Arial"/>
          <w:color w:val="000000"/>
          <w:sz w:val="20"/>
          <w:szCs w:val="20"/>
        </w:rPr>
        <w:t>Various legal proceedings, claims and investigations related to products, contract</w:t>
      </w:r>
      <w:r>
        <w:rPr>
          <w:rFonts w:ascii="Arial" w:eastAsia="宋体" w:hAnsi="Arial" w:cs="Arial"/>
          <w:color w:val="000000"/>
          <w:sz w:val="20"/>
          <w:szCs w:val="20"/>
        </w:rPr>
        <w:t>s, employment and other matters are pending against us.</w:t>
      </w:r>
    </w:p>
    <w:p w14:paraId="4090EE4B" w14:textId="77777777" w:rsidR="00833634" w:rsidRDefault="00E15D51">
      <w:pPr>
        <w:spacing w:after="180"/>
        <w:jc w:val="both"/>
      </w:pPr>
      <w:r>
        <w:rPr>
          <w:rFonts w:ascii="Arial" w:eastAsia="宋体" w:hAnsi="Arial" w:cs="Arial"/>
          <w:color w:val="000000"/>
          <w:sz w:val="20"/>
          <w:szCs w:val="20"/>
        </w:rPr>
        <w:t>In addition, we are subject to various U.S. government inquiries and investigations from which civil, criminal or administrative proceedings could result or have resulted in the past. Such proceedings</w:t>
      </w:r>
      <w:r>
        <w:rPr>
          <w:rFonts w:ascii="Arial" w:eastAsia="宋体" w:hAnsi="Arial" w:cs="Arial"/>
          <w:color w:val="000000"/>
          <w:sz w:val="20"/>
          <w:szCs w:val="20"/>
        </w:rPr>
        <w:t xml:space="preserve"> involve or could involve claims by the government for fines, penalties, compensatory and treble damages, restitution and/or forfeitures. Under government regulations, a company, or one or more of its operating divisions or subdivisions, can also be suspen</w:t>
      </w:r>
      <w:r>
        <w:rPr>
          <w:rFonts w:ascii="Arial" w:eastAsia="宋体" w:hAnsi="Arial" w:cs="Arial"/>
          <w:color w:val="000000"/>
          <w:sz w:val="20"/>
          <w:szCs w:val="20"/>
        </w:rPr>
        <w:t>ded or debarred from government contracts, or lose its export privileges, based on the results of investigations. Except as described below, we believe, based upon current information, that the outcome of any such legal proceeding, claim, or government dis</w:t>
      </w:r>
      <w:r>
        <w:rPr>
          <w:rFonts w:ascii="Arial" w:eastAsia="宋体" w:hAnsi="Arial" w:cs="Arial"/>
          <w:color w:val="000000"/>
          <w:sz w:val="20"/>
          <w:szCs w:val="20"/>
        </w:rPr>
        <w:t xml:space="preserve">pute and investigation will not have a material effect on our financial position, results of operations, or cash flows. Where it is reasonably possible that we will incur losses in excess of recorded amounts in connection with any of the matters set forth </w:t>
      </w:r>
      <w:r>
        <w:rPr>
          <w:rFonts w:ascii="Arial" w:eastAsia="宋体" w:hAnsi="Arial" w:cs="Arial"/>
          <w:color w:val="000000"/>
          <w:sz w:val="20"/>
          <w:szCs w:val="20"/>
        </w:rPr>
        <w:t>below, we will disclose either the amount or range of reasonably possible losses in excess of such amounts or, where no such amount or range can be reasonably estimated, the reasons why no such estimate can be made.</w:t>
      </w:r>
    </w:p>
    <w:p w14:paraId="4090EE4C" w14:textId="77777777" w:rsidR="00833634" w:rsidRDefault="00E15D51">
      <w:pPr>
        <w:spacing w:after="180"/>
        <w:jc w:val="both"/>
      </w:pPr>
      <w:r>
        <w:rPr>
          <w:rFonts w:ascii="Arial" w:eastAsia="宋体" w:hAnsi="Arial" w:cs="Arial"/>
          <w:color w:val="000000"/>
          <w:sz w:val="20"/>
          <w:szCs w:val="20"/>
        </w:rPr>
        <w:t>Multiple legal actions have been filed a</w:t>
      </w:r>
      <w:r>
        <w:rPr>
          <w:rFonts w:ascii="Arial" w:eastAsia="宋体" w:hAnsi="Arial" w:cs="Arial"/>
          <w:color w:val="000000"/>
          <w:sz w:val="20"/>
          <w:szCs w:val="20"/>
        </w:rPr>
        <w:t>gainst us as a result of the October 29, 2018 accident of Lion Air Flight 610 and the March 10, 2019 accident of Ethiopian Airlines Flight 302. Further, we are subject to, and cooperating with, ongoing governmental and regulatory investigations and inquiri</w:t>
      </w:r>
      <w:r>
        <w:rPr>
          <w:rFonts w:ascii="Arial" w:eastAsia="宋体" w:hAnsi="Arial" w:cs="Arial"/>
          <w:color w:val="000000"/>
          <w:sz w:val="20"/>
          <w:szCs w:val="20"/>
        </w:rPr>
        <w:t>es relating to the accidents and the 737 MAX, including investigations by the U.S. Department of Justice and the Securities and Exchange Commission, the outcome of which may be material. We cannot reasonably estimate a range of loss, if any, not covered by</w:t>
      </w:r>
      <w:r>
        <w:rPr>
          <w:rFonts w:ascii="Arial" w:eastAsia="宋体" w:hAnsi="Arial" w:cs="Arial"/>
          <w:color w:val="000000"/>
          <w:sz w:val="20"/>
          <w:szCs w:val="20"/>
        </w:rPr>
        <w:t xml:space="preserve"> available insurance that may result given the current status of the lawsuits, investigations, and inquiries related to the 737 MAX.</w:t>
      </w:r>
    </w:p>
    <w:p w14:paraId="4090EE4D" w14:textId="77777777" w:rsidR="00833634" w:rsidRDefault="00E15D51">
      <w:pPr>
        <w:spacing w:after="180"/>
        <w:jc w:val="both"/>
      </w:pPr>
      <w:r>
        <w:rPr>
          <w:rFonts w:ascii="Arial" w:eastAsia="宋体" w:hAnsi="Arial" w:cs="Arial"/>
          <w:color w:val="000000"/>
          <w:sz w:val="20"/>
          <w:szCs w:val="20"/>
        </w:rPr>
        <w:t xml:space="preserve">During the first quarter of 2019, we entered into definitive transaction documents with respect to a strategic partnership </w:t>
      </w:r>
      <w:r>
        <w:rPr>
          <w:rFonts w:ascii="Arial" w:eastAsia="宋体" w:hAnsi="Arial" w:cs="Arial"/>
          <w:color w:val="000000"/>
          <w:sz w:val="20"/>
          <w:szCs w:val="20"/>
        </w:rPr>
        <w:t>with Embraer S.A. (Embraer). The partnership contemplated the establishment of joint ventures that included the commercial aircraft and services operations of Embraer, of which we were expected to acquire an 80 percent ownership stake for $4,200, as well a</w:t>
      </w:r>
      <w:r>
        <w:rPr>
          <w:rFonts w:ascii="Arial" w:eastAsia="宋体" w:hAnsi="Arial" w:cs="Arial"/>
          <w:color w:val="000000"/>
          <w:sz w:val="20"/>
          <w:szCs w:val="20"/>
        </w:rPr>
        <w:t>s a joint venture to promote and develop new markets for the C-390 Millennium.</w:t>
      </w:r>
    </w:p>
    <w:p w14:paraId="4090EE4E" w14:textId="77777777" w:rsidR="00833634" w:rsidRDefault="00E15D51">
      <w:pPr>
        <w:spacing w:after="300"/>
        <w:jc w:val="both"/>
      </w:pPr>
      <w:r>
        <w:rPr>
          <w:rFonts w:ascii="Arial" w:eastAsia="宋体" w:hAnsi="Arial" w:cs="Arial"/>
          <w:color w:val="000000"/>
          <w:sz w:val="20"/>
          <w:szCs w:val="20"/>
        </w:rPr>
        <w:t xml:space="preserve">The transaction documents permitted either party to terminate the proposed partnership beginning on April 24, 2020, provided that certain closing conditions were not met. Based </w:t>
      </w:r>
      <w:r>
        <w:rPr>
          <w:rFonts w:ascii="Arial" w:eastAsia="宋体" w:hAnsi="Arial" w:cs="Arial"/>
          <w:color w:val="000000"/>
          <w:sz w:val="20"/>
          <w:szCs w:val="20"/>
        </w:rPr>
        <w:t>on Embraer’s failure to satisfy required closing conditions, we exercised our contractual termination right during the second quarter of 2020, which Embraer has disputed. We would have been required to pay a termination fee of $100 had the transaction been</w:t>
      </w:r>
      <w:r>
        <w:rPr>
          <w:rFonts w:ascii="Arial" w:eastAsia="宋体" w:hAnsi="Arial" w:cs="Arial"/>
          <w:color w:val="000000"/>
          <w:sz w:val="20"/>
          <w:szCs w:val="20"/>
        </w:rPr>
        <w:t xml:space="preserve"> terminated due to a failure to obtain antitrust approvals. Because the transaction was terminated due to a failure by Embraer to meet other closing conditions, we do not expect to be required to pay a termination fee in connection with the termination of </w:t>
      </w:r>
      <w:r>
        <w:rPr>
          <w:rFonts w:ascii="Arial" w:eastAsia="宋体" w:hAnsi="Arial" w:cs="Arial"/>
          <w:color w:val="000000"/>
          <w:sz w:val="20"/>
          <w:szCs w:val="20"/>
        </w:rPr>
        <w:t>the transaction. Boeing and Embraer are arbitrating their dispute over Boeing’s termination of the agreement. We cannot reasonably estimate a range of loss, if any, that may result from the arbitration.</w:t>
      </w:r>
    </w:p>
    <w:p w14:paraId="4090EE4F" w14:textId="77777777" w:rsidR="00833634" w:rsidRDefault="00E15D51">
      <w:pPr>
        <w:spacing w:before="300" w:after="180"/>
        <w:jc w:val="both"/>
      </w:pPr>
      <w:r>
        <w:rPr>
          <w:rFonts w:ascii="Arial" w:eastAsia="宋体" w:hAnsi="Arial" w:cs="Arial"/>
          <w:b/>
          <w:bCs/>
          <w:color w:val="000000"/>
          <w:sz w:val="20"/>
          <w:szCs w:val="20"/>
        </w:rPr>
        <w:t>Note 19 – Segment and Revenue Information</w:t>
      </w:r>
    </w:p>
    <w:p w14:paraId="4090EE50" w14:textId="77777777" w:rsidR="00833634" w:rsidRDefault="00E15D51">
      <w:pPr>
        <w:spacing w:after="180"/>
        <w:jc w:val="both"/>
      </w:pPr>
      <w:r>
        <w:rPr>
          <w:rFonts w:ascii="Arial" w:eastAsia="宋体" w:hAnsi="Arial" w:cs="Arial"/>
          <w:color w:val="000000"/>
          <w:sz w:val="20"/>
          <w:szCs w:val="20"/>
        </w:rPr>
        <w:t>Effective a</w:t>
      </w:r>
      <w:r>
        <w:rPr>
          <w:rFonts w:ascii="Arial" w:eastAsia="宋体" w:hAnsi="Arial" w:cs="Arial"/>
          <w:color w:val="000000"/>
          <w:sz w:val="20"/>
          <w:szCs w:val="20"/>
        </w:rPr>
        <w:t>t the beginning of 2020, certain programs were realigned between our BDS segment and Unallocated items, eliminations and other. Business segment data for 2019 has been adjusted to reflect the realignment.</w:t>
      </w:r>
    </w:p>
    <w:p w14:paraId="4090EE51" w14:textId="77777777" w:rsidR="00833634" w:rsidRDefault="00E15D51">
      <w:pPr>
        <w:spacing w:after="180"/>
        <w:jc w:val="center"/>
      </w:pPr>
      <w:r>
        <w:rPr>
          <w:rFonts w:ascii="Arial" w:eastAsia="宋体" w:hAnsi="Arial" w:cs="Arial"/>
          <w:color w:val="000000"/>
          <w:sz w:val="18"/>
          <w:szCs w:val="18"/>
        </w:rPr>
        <w:t>31</w:t>
      </w:r>
    </w:p>
    <w:p w14:paraId="4090EE52" w14:textId="77777777" w:rsidR="00833634" w:rsidRDefault="00E15D51">
      <w:r>
        <w:pict w14:anchorId="4090FE3F">
          <v:rect id="_x0000_i1057" style="width:415.3pt;height:1.5pt" o:hralign="center" o:hrstd="t" o:hr="t" fillcolor="#a0a0a0" stroked="f"/>
        </w:pict>
      </w:r>
    </w:p>
    <w:p w14:paraId="4090EE53" w14:textId="77777777" w:rsidR="00833634" w:rsidRDefault="00E15D51">
      <w:pPr>
        <w:spacing w:after="180"/>
        <w:jc w:val="both"/>
      </w:pPr>
      <w:hyperlink r:id="rId134" w:anchor="i8d805bfb1e1c4815a1dcd5b6d1e0b117_10" w:history="1">
        <w:r>
          <w:rPr>
            <w:rStyle w:val="a5"/>
            <w:rFonts w:ascii="Arial" w:eastAsia="宋体" w:hAnsi="Arial" w:cs="Arial"/>
            <w:sz w:val="18"/>
            <w:szCs w:val="18"/>
          </w:rPr>
          <w:t>Table of Contents</w:t>
        </w:r>
      </w:hyperlink>
    </w:p>
    <w:p w14:paraId="4090EE54" w14:textId="77777777" w:rsidR="00833634" w:rsidRDefault="00E15D51">
      <w:pPr>
        <w:spacing w:after="180"/>
        <w:jc w:val="both"/>
      </w:pPr>
      <w:r>
        <w:rPr>
          <w:rFonts w:ascii="Arial" w:eastAsia="宋体" w:hAnsi="Arial" w:cs="Arial"/>
          <w:color w:val="000000"/>
          <w:sz w:val="20"/>
          <w:szCs w:val="20"/>
        </w:rPr>
        <w:t>Our primary profitability measurements to review a segment’s operating results are Ear</w:t>
      </w:r>
      <w:r>
        <w:rPr>
          <w:rFonts w:ascii="Arial" w:eastAsia="宋体" w:hAnsi="Arial" w:cs="Arial"/>
          <w:color w:val="000000"/>
          <w:sz w:val="20"/>
          <w:szCs w:val="20"/>
        </w:rPr>
        <w:t>nings from operations and operating margins. We operate in four reportable segments: BCA, BDS, BGS, and BCC. All other activities fall within Unallocated items, eliminations and other. See page 7 for the Summary of Business Segment Data, which is an integr</w:t>
      </w:r>
      <w:r>
        <w:rPr>
          <w:rFonts w:ascii="Arial" w:eastAsia="宋体" w:hAnsi="Arial" w:cs="Arial"/>
          <w:color w:val="000000"/>
          <w:sz w:val="20"/>
          <w:szCs w:val="20"/>
        </w:rPr>
        <w:t>al part of this note.</w:t>
      </w:r>
    </w:p>
    <w:p w14:paraId="4090EE55" w14:textId="77777777" w:rsidR="00833634" w:rsidRDefault="00E15D51">
      <w:pPr>
        <w:spacing w:after="180"/>
        <w:jc w:val="both"/>
      </w:pPr>
      <w:r>
        <w:rPr>
          <w:rFonts w:ascii="Arial" w:eastAsia="宋体" w:hAnsi="Arial" w:cs="Arial"/>
          <w:color w:val="000000"/>
          <w:sz w:val="20"/>
          <w:szCs w:val="20"/>
        </w:rPr>
        <w:t>BCA develops, produces and markets commercial jet aircraft principally to the commercial airline industry worldwide. Revenue on commercial aircraft contracts is recognized at the point in time when an aircraft is completed and accepte</w:t>
      </w:r>
      <w:r>
        <w:rPr>
          <w:rFonts w:ascii="Arial" w:eastAsia="宋体" w:hAnsi="Arial" w:cs="Arial"/>
          <w:color w:val="000000"/>
          <w:sz w:val="20"/>
          <w:szCs w:val="20"/>
        </w:rPr>
        <w:t>d by the customer.</w:t>
      </w:r>
    </w:p>
    <w:p w14:paraId="4090EE56" w14:textId="77777777" w:rsidR="00833634" w:rsidRDefault="00E15D51">
      <w:pPr>
        <w:spacing w:after="180"/>
        <w:jc w:val="both"/>
      </w:pPr>
      <w:r>
        <w:rPr>
          <w:rFonts w:ascii="Arial" w:eastAsia="宋体" w:hAnsi="Arial" w:cs="Arial"/>
          <w:color w:val="000000"/>
          <w:sz w:val="20"/>
          <w:szCs w:val="20"/>
        </w:rPr>
        <w:t>BDS engages in the research, development, production and modification of the following products and related services: manned and unmanned military aircraft and weapons systems, surveillance and engagement, strategic defense and intellige</w:t>
      </w:r>
      <w:r>
        <w:rPr>
          <w:rFonts w:ascii="Arial" w:eastAsia="宋体" w:hAnsi="Arial" w:cs="Arial"/>
          <w:color w:val="000000"/>
          <w:sz w:val="20"/>
          <w:szCs w:val="20"/>
        </w:rPr>
        <w:t>nce systems, satellite systems and space exploration. BDS revenue is generally recognized over the contract term (over time) as costs are incurred.</w:t>
      </w:r>
    </w:p>
    <w:p w14:paraId="4090EE57" w14:textId="77777777" w:rsidR="00833634" w:rsidRDefault="00E15D51">
      <w:pPr>
        <w:spacing w:after="180"/>
        <w:jc w:val="both"/>
      </w:pPr>
      <w:r>
        <w:rPr>
          <w:rFonts w:ascii="Arial" w:eastAsia="宋体" w:hAnsi="Arial" w:cs="Arial"/>
          <w:color w:val="000000"/>
          <w:sz w:val="20"/>
          <w:szCs w:val="20"/>
        </w:rPr>
        <w:t>BGS provides parts, maintenance, modifications, logistics support, training, data analytics and information-</w:t>
      </w:r>
      <w:r>
        <w:rPr>
          <w:rFonts w:ascii="Arial" w:eastAsia="宋体" w:hAnsi="Arial" w:cs="Arial"/>
          <w:color w:val="000000"/>
          <w:sz w:val="20"/>
          <w:szCs w:val="20"/>
        </w:rPr>
        <w:t>based services to commercial and government customers worldwide. BGS segment revenue and costs include certain services provided to other segments. Revenue on commercial spare parts contracts is recognized at the point in time when a spare part is delivere</w:t>
      </w:r>
      <w:r>
        <w:rPr>
          <w:rFonts w:ascii="Arial" w:eastAsia="宋体" w:hAnsi="Arial" w:cs="Arial"/>
          <w:color w:val="000000"/>
          <w:sz w:val="20"/>
          <w:szCs w:val="20"/>
        </w:rPr>
        <w:t>d to the customer. Revenue on other contracts is generally recognized over the contract term (over time) as costs are incurred.</w:t>
      </w:r>
    </w:p>
    <w:p w14:paraId="4090EE58" w14:textId="77777777" w:rsidR="00833634" w:rsidRDefault="00E15D51">
      <w:pPr>
        <w:spacing w:after="180"/>
        <w:jc w:val="both"/>
      </w:pPr>
      <w:r>
        <w:rPr>
          <w:rFonts w:ascii="Arial" w:eastAsia="宋体" w:hAnsi="Arial" w:cs="Arial"/>
          <w:color w:val="000000"/>
          <w:sz w:val="20"/>
          <w:szCs w:val="20"/>
        </w:rPr>
        <w:t>BCC facilitates, arranges, structures and provides selective financing solutions for our Boeing customers.</w:t>
      </w:r>
    </w:p>
    <w:p w14:paraId="4090EE59" w14:textId="77777777" w:rsidR="00833634" w:rsidRDefault="00E15D51">
      <w:pPr>
        <w:spacing w:after="180"/>
        <w:jc w:val="both"/>
      </w:pPr>
      <w:r>
        <w:rPr>
          <w:rFonts w:ascii="Arial" w:eastAsia="宋体" w:hAnsi="Arial" w:cs="Arial"/>
          <w:color w:val="000000"/>
          <w:sz w:val="20"/>
          <w:szCs w:val="20"/>
        </w:rPr>
        <w:t xml:space="preserve">The following tables </w:t>
      </w:r>
      <w:r>
        <w:rPr>
          <w:rFonts w:ascii="Arial" w:eastAsia="宋体" w:hAnsi="Arial" w:cs="Arial"/>
          <w:color w:val="000000"/>
          <w:sz w:val="20"/>
          <w:szCs w:val="20"/>
        </w:rPr>
        <w:t>present BCA, BDS and BGS revenues from contracts with customers disaggregated in a number of ways, such as geographic location, contract type and the method of revenue recognition. We believe these best depict how the nature, amount, timing and uncertainty</w:t>
      </w:r>
      <w:r>
        <w:rPr>
          <w:rFonts w:ascii="Arial" w:eastAsia="宋体" w:hAnsi="Arial" w:cs="Arial"/>
          <w:color w:val="000000"/>
          <w:sz w:val="20"/>
          <w:szCs w:val="20"/>
        </w:rPr>
        <w:t xml:space="preserve"> of our revenues and cash flows are affected by economic factors.</w:t>
      </w:r>
    </w:p>
    <w:p w14:paraId="4090EE5A" w14:textId="77777777" w:rsidR="00833634" w:rsidRDefault="00E15D51">
      <w:pPr>
        <w:jc w:val="both"/>
      </w:pPr>
      <w:r>
        <w:rPr>
          <w:rFonts w:ascii="Arial" w:eastAsia="宋体" w:hAnsi="Arial" w:cs="Arial"/>
          <w:color w:val="000000"/>
          <w:sz w:val="20"/>
          <w:szCs w:val="20"/>
        </w:rPr>
        <w:t>BCA revenues by customer location consist of the following:</w:t>
      </w:r>
    </w:p>
    <w:tbl>
      <w:tblPr>
        <w:tblW w:w="5000" w:type="pct"/>
        <w:tblCellMar>
          <w:top w:w="15" w:type="dxa"/>
          <w:left w:w="15" w:type="dxa"/>
          <w:bottom w:w="15" w:type="dxa"/>
          <w:right w:w="15" w:type="dxa"/>
        </w:tblCellMar>
        <w:tblLook w:val="04A0" w:firstRow="1" w:lastRow="0" w:firstColumn="1" w:lastColumn="0" w:noHBand="0" w:noVBand="1"/>
      </w:tblPr>
      <w:tblGrid>
        <w:gridCol w:w="39"/>
        <w:gridCol w:w="4149"/>
        <w:gridCol w:w="38"/>
        <w:gridCol w:w="71"/>
        <w:gridCol w:w="729"/>
        <w:gridCol w:w="199"/>
        <w:gridCol w:w="37"/>
        <w:gridCol w:w="37"/>
        <w:gridCol w:w="36"/>
        <w:gridCol w:w="71"/>
        <w:gridCol w:w="729"/>
        <w:gridCol w:w="198"/>
        <w:gridCol w:w="36"/>
        <w:gridCol w:w="36"/>
        <w:gridCol w:w="36"/>
        <w:gridCol w:w="62"/>
        <w:gridCol w:w="627"/>
        <w:gridCol w:w="199"/>
        <w:gridCol w:w="37"/>
        <w:gridCol w:w="37"/>
        <w:gridCol w:w="36"/>
        <w:gridCol w:w="62"/>
        <w:gridCol w:w="637"/>
        <w:gridCol w:w="198"/>
      </w:tblGrid>
      <w:tr w:rsidR="00833634" w14:paraId="4090EE73" w14:textId="77777777">
        <w:tc>
          <w:tcPr>
            <w:tcW w:w="50" w:type="pct"/>
            <w:shd w:val="clear" w:color="auto" w:fill="auto"/>
          </w:tcPr>
          <w:p w14:paraId="4090EE5B" w14:textId="77777777" w:rsidR="00833634" w:rsidRDefault="00833634">
            <w:pPr>
              <w:rPr>
                <w:rFonts w:ascii="宋体"/>
              </w:rPr>
            </w:pPr>
          </w:p>
        </w:tc>
        <w:tc>
          <w:tcPr>
            <w:tcW w:w="2549" w:type="pct"/>
            <w:shd w:val="clear" w:color="auto" w:fill="auto"/>
          </w:tcPr>
          <w:p w14:paraId="4090EE5C" w14:textId="77777777" w:rsidR="00833634" w:rsidRDefault="00833634">
            <w:pPr>
              <w:rPr>
                <w:rFonts w:ascii="宋体"/>
              </w:rPr>
            </w:pPr>
          </w:p>
        </w:tc>
        <w:tc>
          <w:tcPr>
            <w:tcW w:w="5" w:type="pct"/>
            <w:shd w:val="clear" w:color="auto" w:fill="auto"/>
          </w:tcPr>
          <w:p w14:paraId="4090EE5D" w14:textId="77777777" w:rsidR="00833634" w:rsidRDefault="00833634">
            <w:pPr>
              <w:rPr>
                <w:rFonts w:ascii="宋体"/>
              </w:rPr>
            </w:pPr>
          </w:p>
        </w:tc>
        <w:tc>
          <w:tcPr>
            <w:tcW w:w="50" w:type="pct"/>
            <w:shd w:val="clear" w:color="auto" w:fill="auto"/>
          </w:tcPr>
          <w:p w14:paraId="4090EE5E" w14:textId="77777777" w:rsidR="00833634" w:rsidRDefault="00833634">
            <w:pPr>
              <w:rPr>
                <w:rFonts w:ascii="宋体"/>
              </w:rPr>
            </w:pPr>
          </w:p>
        </w:tc>
        <w:tc>
          <w:tcPr>
            <w:tcW w:w="513" w:type="pct"/>
            <w:shd w:val="clear" w:color="auto" w:fill="auto"/>
          </w:tcPr>
          <w:p w14:paraId="4090EE5F" w14:textId="77777777" w:rsidR="00833634" w:rsidRDefault="00833634">
            <w:pPr>
              <w:rPr>
                <w:rFonts w:ascii="宋体"/>
              </w:rPr>
            </w:pPr>
          </w:p>
        </w:tc>
        <w:tc>
          <w:tcPr>
            <w:tcW w:w="5" w:type="pct"/>
            <w:shd w:val="clear" w:color="auto" w:fill="auto"/>
          </w:tcPr>
          <w:p w14:paraId="4090EE60" w14:textId="77777777" w:rsidR="00833634" w:rsidRDefault="00833634">
            <w:pPr>
              <w:rPr>
                <w:rFonts w:ascii="宋体"/>
              </w:rPr>
            </w:pPr>
          </w:p>
        </w:tc>
        <w:tc>
          <w:tcPr>
            <w:tcW w:w="5" w:type="pct"/>
            <w:shd w:val="clear" w:color="auto" w:fill="auto"/>
          </w:tcPr>
          <w:p w14:paraId="4090EE61" w14:textId="77777777" w:rsidR="00833634" w:rsidRDefault="00833634">
            <w:pPr>
              <w:rPr>
                <w:rFonts w:ascii="宋体"/>
              </w:rPr>
            </w:pPr>
          </w:p>
        </w:tc>
        <w:tc>
          <w:tcPr>
            <w:tcW w:w="30" w:type="pct"/>
            <w:shd w:val="clear" w:color="auto" w:fill="auto"/>
          </w:tcPr>
          <w:p w14:paraId="4090EE62" w14:textId="77777777" w:rsidR="00833634" w:rsidRDefault="00833634">
            <w:pPr>
              <w:rPr>
                <w:rFonts w:ascii="宋体"/>
              </w:rPr>
            </w:pPr>
          </w:p>
        </w:tc>
        <w:tc>
          <w:tcPr>
            <w:tcW w:w="5" w:type="pct"/>
            <w:shd w:val="clear" w:color="auto" w:fill="auto"/>
          </w:tcPr>
          <w:p w14:paraId="4090EE63" w14:textId="77777777" w:rsidR="00833634" w:rsidRDefault="00833634">
            <w:pPr>
              <w:rPr>
                <w:rFonts w:ascii="宋体"/>
              </w:rPr>
            </w:pPr>
          </w:p>
        </w:tc>
        <w:tc>
          <w:tcPr>
            <w:tcW w:w="50" w:type="pct"/>
            <w:shd w:val="clear" w:color="auto" w:fill="auto"/>
          </w:tcPr>
          <w:p w14:paraId="4090EE64" w14:textId="77777777" w:rsidR="00833634" w:rsidRDefault="00833634">
            <w:pPr>
              <w:rPr>
                <w:rFonts w:ascii="宋体"/>
              </w:rPr>
            </w:pPr>
          </w:p>
        </w:tc>
        <w:tc>
          <w:tcPr>
            <w:tcW w:w="513" w:type="pct"/>
            <w:shd w:val="clear" w:color="auto" w:fill="auto"/>
          </w:tcPr>
          <w:p w14:paraId="4090EE65" w14:textId="77777777" w:rsidR="00833634" w:rsidRDefault="00833634">
            <w:pPr>
              <w:rPr>
                <w:rFonts w:ascii="宋体"/>
              </w:rPr>
            </w:pPr>
          </w:p>
        </w:tc>
        <w:tc>
          <w:tcPr>
            <w:tcW w:w="5" w:type="pct"/>
            <w:shd w:val="clear" w:color="auto" w:fill="auto"/>
          </w:tcPr>
          <w:p w14:paraId="4090EE66" w14:textId="77777777" w:rsidR="00833634" w:rsidRDefault="00833634">
            <w:pPr>
              <w:rPr>
                <w:rFonts w:ascii="宋体"/>
              </w:rPr>
            </w:pPr>
          </w:p>
        </w:tc>
        <w:tc>
          <w:tcPr>
            <w:tcW w:w="5" w:type="pct"/>
            <w:shd w:val="clear" w:color="auto" w:fill="auto"/>
          </w:tcPr>
          <w:p w14:paraId="4090EE67" w14:textId="77777777" w:rsidR="00833634" w:rsidRDefault="00833634">
            <w:pPr>
              <w:rPr>
                <w:rFonts w:ascii="宋体"/>
              </w:rPr>
            </w:pPr>
          </w:p>
        </w:tc>
        <w:tc>
          <w:tcPr>
            <w:tcW w:w="30" w:type="pct"/>
            <w:shd w:val="clear" w:color="auto" w:fill="auto"/>
          </w:tcPr>
          <w:p w14:paraId="4090EE68" w14:textId="77777777" w:rsidR="00833634" w:rsidRDefault="00833634">
            <w:pPr>
              <w:rPr>
                <w:rFonts w:ascii="宋体"/>
              </w:rPr>
            </w:pPr>
          </w:p>
        </w:tc>
        <w:tc>
          <w:tcPr>
            <w:tcW w:w="5" w:type="pct"/>
            <w:shd w:val="clear" w:color="auto" w:fill="auto"/>
          </w:tcPr>
          <w:p w14:paraId="4090EE69" w14:textId="77777777" w:rsidR="00833634" w:rsidRDefault="00833634">
            <w:pPr>
              <w:rPr>
                <w:rFonts w:ascii="宋体"/>
              </w:rPr>
            </w:pPr>
          </w:p>
        </w:tc>
        <w:tc>
          <w:tcPr>
            <w:tcW w:w="50" w:type="pct"/>
            <w:shd w:val="clear" w:color="auto" w:fill="auto"/>
          </w:tcPr>
          <w:p w14:paraId="4090EE6A" w14:textId="77777777" w:rsidR="00833634" w:rsidRDefault="00833634">
            <w:pPr>
              <w:rPr>
                <w:rFonts w:ascii="宋体"/>
              </w:rPr>
            </w:pPr>
          </w:p>
        </w:tc>
        <w:tc>
          <w:tcPr>
            <w:tcW w:w="513" w:type="pct"/>
            <w:shd w:val="clear" w:color="auto" w:fill="auto"/>
          </w:tcPr>
          <w:p w14:paraId="4090EE6B" w14:textId="77777777" w:rsidR="00833634" w:rsidRDefault="00833634">
            <w:pPr>
              <w:rPr>
                <w:rFonts w:ascii="宋体"/>
              </w:rPr>
            </w:pPr>
          </w:p>
        </w:tc>
        <w:tc>
          <w:tcPr>
            <w:tcW w:w="5" w:type="pct"/>
            <w:shd w:val="clear" w:color="auto" w:fill="auto"/>
          </w:tcPr>
          <w:p w14:paraId="4090EE6C" w14:textId="77777777" w:rsidR="00833634" w:rsidRDefault="00833634">
            <w:pPr>
              <w:rPr>
                <w:rFonts w:ascii="宋体"/>
              </w:rPr>
            </w:pPr>
          </w:p>
        </w:tc>
        <w:tc>
          <w:tcPr>
            <w:tcW w:w="5" w:type="pct"/>
            <w:shd w:val="clear" w:color="auto" w:fill="auto"/>
          </w:tcPr>
          <w:p w14:paraId="4090EE6D" w14:textId="77777777" w:rsidR="00833634" w:rsidRDefault="00833634">
            <w:pPr>
              <w:rPr>
                <w:rFonts w:ascii="宋体"/>
              </w:rPr>
            </w:pPr>
          </w:p>
        </w:tc>
        <w:tc>
          <w:tcPr>
            <w:tcW w:w="30" w:type="pct"/>
            <w:shd w:val="clear" w:color="auto" w:fill="auto"/>
          </w:tcPr>
          <w:p w14:paraId="4090EE6E" w14:textId="77777777" w:rsidR="00833634" w:rsidRDefault="00833634">
            <w:pPr>
              <w:rPr>
                <w:rFonts w:ascii="宋体"/>
              </w:rPr>
            </w:pPr>
          </w:p>
        </w:tc>
        <w:tc>
          <w:tcPr>
            <w:tcW w:w="5" w:type="pct"/>
            <w:shd w:val="clear" w:color="auto" w:fill="auto"/>
          </w:tcPr>
          <w:p w14:paraId="4090EE6F" w14:textId="77777777" w:rsidR="00833634" w:rsidRDefault="00833634">
            <w:pPr>
              <w:rPr>
                <w:rFonts w:ascii="宋体"/>
              </w:rPr>
            </w:pPr>
          </w:p>
        </w:tc>
        <w:tc>
          <w:tcPr>
            <w:tcW w:w="50" w:type="pct"/>
            <w:shd w:val="clear" w:color="auto" w:fill="auto"/>
          </w:tcPr>
          <w:p w14:paraId="4090EE70" w14:textId="77777777" w:rsidR="00833634" w:rsidRDefault="00833634">
            <w:pPr>
              <w:rPr>
                <w:rFonts w:ascii="宋体"/>
              </w:rPr>
            </w:pPr>
          </w:p>
        </w:tc>
        <w:tc>
          <w:tcPr>
            <w:tcW w:w="513" w:type="pct"/>
            <w:shd w:val="clear" w:color="auto" w:fill="auto"/>
          </w:tcPr>
          <w:p w14:paraId="4090EE71" w14:textId="77777777" w:rsidR="00833634" w:rsidRDefault="00833634">
            <w:pPr>
              <w:rPr>
                <w:rFonts w:ascii="宋体"/>
              </w:rPr>
            </w:pPr>
          </w:p>
        </w:tc>
        <w:tc>
          <w:tcPr>
            <w:tcW w:w="5" w:type="pct"/>
            <w:shd w:val="clear" w:color="auto" w:fill="auto"/>
          </w:tcPr>
          <w:p w14:paraId="4090EE72" w14:textId="77777777" w:rsidR="00833634" w:rsidRDefault="00833634">
            <w:pPr>
              <w:rPr>
                <w:rFonts w:ascii="宋体"/>
              </w:rPr>
            </w:pPr>
          </w:p>
        </w:tc>
      </w:tr>
      <w:tr w:rsidR="00833634" w14:paraId="4090EE78" w14:textId="77777777">
        <w:tc>
          <w:tcPr>
            <w:tcW w:w="0" w:type="auto"/>
            <w:gridSpan w:val="3"/>
            <w:shd w:val="clear" w:color="auto" w:fill="auto"/>
            <w:tcMar>
              <w:top w:w="40" w:type="dxa"/>
              <w:left w:w="20" w:type="dxa"/>
              <w:bottom w:w="40" w:type="dxa"/>
              <w:right w:w="20" w:type="dxa"/>
            </w:tcMar>
            <w:vAlign w:val="bottom"/>
          </w:tcPr>
          <w:p w14:paraId="4090EE74"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EE75"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EE76"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E77"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E81"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E79"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E7A" w14:textId="77777777" w:rsidR="00833634" w:rsidRDefault="00E15D51">
            <w:pPr>
              <w:jc w:val="center"/>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E7B"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E7C" w14:textId="77777777" w:rsidR="00833634" w:rsidRDefault="00E15D51">
            <w:pPr>
              <w:jc w:val="center"/>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EE7D"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E7E" w14:textId="77777777" w:rsidR="00833634" w:rsidRDefault="00E15D51">
            <w:pPr>
              <w:jc w:val="center"/>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E7F"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E80" w14:textId="77777777" w:rsidR="00833634" w:rsidRDefault="00E15D51">
            <w:pPr>
              <w:jc w:val="center"/>
              <w:textAlignment w:val="bottom"/>
            </w:pPr>
            <w:r>
              <w:rPr>
                <w:rFonts w:ascii="Arial" w:eastAsia="宋体" w:hAnsi="Arial" w:cs="Arial"/>
                <w:color w:val="000000"/>
                <w:sz w:val="20"/>
                <w:szCs w:val="20"/>
              </w:rPr>
              <w:t>2019</w:t>
            </w:r>
          </w:p>
        </w:tc>
      </w:tr>
      <w:tr w:rsidR="00833634" w14:paraId="4090EE8A"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E82" w14:textId="77777777" w:rsidR="00833634" w:rsidRDefault="00E15D51">
            <w:pPr>
              <w:textAlignment w:val="bottom"/>
            </w:pPr>
            <w:r>
              <w:rPr>
                <w:rFonts w:ascii="Arial" w:eastAsia="宋体" w:hAnsi="Arial" w:cs="Arial"/>
                <w:color w:val="000000"/>
                <w:sz w:val="20"/>
                <w:szCs w:val="20"/>
              </w:rPr>
              <w:t>Revenue from contracts with customers:</w:t>
            </w:r>
          </w:p>
        </w:tc>
        <w:tc>
          <w:tcPr>
            <w:tcW w:w="0" w:type="auto"/>
            <w:gridSpan w:val="3"/>
            <w:tcBorders>
              <w:top w:val="single" w:sz="8" w:space="0" w:color="000000"/>
            </w:tcBorders>
            <w:shd w:val="clear" w:color="auto" w:fill="CCEEFF"/>
            <w:tcMar>
              <w:top w:w="0" w:type="dxa"/>
              <w:left w:w="20" w:type="dxa"/>
              <w:bottom w:w="0" w:type="dxa"/>
              <w:right w:w="20" w:type="dxa"/>
            </w:tcMar>
          </w:tcPr>
          <w:p w14:paraId="4090EE83"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84"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85"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86"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87"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88"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89" w14:textId="77777777" w:rsidR="00833634" w:rsidRDefault="00833634">
            <w:pPr>
              <w:rPr>
                <w:rFonts w:ascii="宋体"/>
              </w:rPr>
            </w:pPr>
          </w:p>
        </w:tc>
      </w:tr>
      <w:tr w:rsidR="00833634" w14:paraId="4090EE97" w14:textId="77777777">
        <w:tc>
          <w:tcPr>
            <w:tcW w:w="0" w:type="auto"/>
            <w:gridSpan w:val="3"/>
            <w:shd w:val="clear" w:color="auto" w:fill="FFFFFF"/>
            <w:tcMar>
              <w:top w:w="40" w:type="dxa"/>
              <w:left w:w="225" w:type="dxa"/>
              <w:bottom w:w="40" w:type="dxa"/>
              <w:right w:w="20" w:type="dxa"/>
            </w:tcMar>
            <w:vAlign w:val="bottom"/>
          </w:tcPr>
          <w:p w14:paraId="4090EE8B" w14:textId="77777777" w:rsidR="00833634" w:rsidRDefault="00E15D51">
            <w:pPr>
              <w:textAlignment w:val="bottom"/>
            </w:pPr>
            <w:r>
              <w:rPr>
                <w:rFonts w:ascii="Arial" w:eastAsia="宋体" w:hAnsi="Arial" w:cs="Arial"/>
                <w:color w:val="000000"/>
                <w:sz w:val="20"/>
                <w:szCs w:val="20"/>
              </w:rPr>
              <w:t>Europe</w:t>
            </w:r>
          </w:p>
        </w:tc>
        <w:tc>
          <w:tcPr>
            <w:tcW w:w="0" w:type="auto"/>
            <w:gridSpan w:val="2"/>
            <w:shd w:val="clear" w:color="auto" w:fill="FFFFFF"/>
            <w:tcMar>
              <w:top w:w="40" w:type="dxa"/>
              <w:left w:w="20" w:type="dxa"/>
              <w:bottom w:w="40" w:type="dxa"/>
              <w:right w:w="0" w:type="dxa"/>
            </w:tcMar>
            <w:vAlign w:val="bottom"/>
          </w:tcPr>
          <w:p w14:paraId="4090EE8C" w14:textId="77777777" w:rsidR="00833634" w:rsidRDefault="00E15D51">
            <w:pPr>
              <w:jc w:val="right"/>
              <w:textAlignment w:val="bottom"/>
            </w:pPr>
            <w:r>
              <w:rPr>
                <w:rFonts w:ascii="Arial" w:eastAsia="宋体" w:hAnsi="Arial" w:cs="Arial"/>
                <w:b/>
                <w:bCs/>
                <w:color w:val="000000"/>
                <w:sz w:val="20"/>
                <w:szCs w:val="20"/>
              </w:rPr>
              <w:t>$3,595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E8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8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E8F" w14:textId="77777777" w:rsidR="00833634" w:rsidRDefault="00E15D51">
            <w:pPr>
              <w:jc w:val="right"/>
              <w:textAlignment w:val="bottom"/>
            </w:pPr>
            <w:r>
              <w:rPr>
                <w:rFonts w:ascii="Arial" w:eastAsia="宋体" w:hAnsi="Arial" w:cs="Arial"/>
                <w:color w:val="000000"/>
                <w:sz w:val="20"/>
                <w:szCs w:val="20"/>
              </w:rPr>
              <w:t>$3,944 </w:t>
            </w:r>
          </w:p>
        </w:tc>
        <w:tc>
          <w:tcPr>
            <w:tcW w:w="0" w:type="auto"/>
            <w:shd w:val="clear" w:color="auto" w:fill="FFFFFF"/>
            <w:tcMar>
              <w:top w:w="40" w:type="dxa"/>
              <w:left w:w="0" w:type="dxa"/>
              <w:bottom w:w="40" w:type="dxa"/>
              <w:right w:w="20" w:type="dxa"/>
            </w:tcMar>
            <w:vAlign w:val="bottom"/>
          </w:tcPr>
          <w:p w14:paraId="4090EE9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9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E92" w14:textId="77777777" w:rsidR="00833634" w:rsidRDefault="00E15D51">
            <w:pPr>
              <w:jc w:val="right"/>
              <w:textAlignment w:val="bottom"/>
            </w:pPr>
            <w:r>
              <w:rPr>
                <w:rFonts w:ascii="Arial" w:eastAsia="宋体" w:hAnsi="Arial" w:cs="Arial"/>
                <w:b/>
                <w:bCs/>
                <w:color w:val="000000"/>
                <w:sz w:val="20"/>
                <w:szCs w:val="20"/>
              </w:rPr>
              <w:t>$1,293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E9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9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E95" w14:textId="77777777" w:rsidR="00833634" w:rsidRDefault="00E15D51">
            <w:pPr>
              <w:jc w:val="right"/>
              <w:textAlignment w:val="bottom"/>
            </w:pPr>
            <w:r>
              <w:rPr>
                <w:rFonts w:ascii="Arial" w:eastAsia="宋体" w:hAnsi="Arial" w:cs="Arial"/>
                <w:color w:val="000000"/>
                <w:sz w:val="20"/>
                <w:szCs w:val="20"/>
              </w:rPr>
              <w:t>$1,260 </w:t>
            </w:r>
          </w:p>
        </w:tc>
        <w:tc>
          <w:tcPr>
            <w:tcW w:w="0" w:type="auto"/>
            <w:shd w:val="clear" w:color="auto" w:fill="FFFFFF"/>
            <w:tcMar>
              <w:top w:w="40" w:type="dxa"/>
              <w:left w:w="0" w:type="dxa"/>
              <w:bottom w:w="40" w:type="dxa"/>
              <w:right w:w="20" w:type="dxa"/>
            </w:tcMar>
            <w:vAlign w:val="bottom"/>
          </w:tcPr>
          <w:p w14:paraId="4090EE96" w14:textId="77777777" w:rsidR="00833634" w:rsidRDefault="00833634">
            <w:pPr>
              <w:jc w:val="right"/>
              <w:rPr>
                <w:rFonts w:ascii="宋体"/>
              </w:rPr>
            </w:pPr>
          </w:p>
        </w:tc>
      </w:tr>
      <w:tr w:rsidR="00833634" w14:paraId="4090EEA0" w14:textId="77777777">
        <w:trPr>
          <w:hidden/>
        </w:trPr>
        <w:tc>
          <w:tcPr>
            <w:tcW w:w="0" w:type="auto"/>
            <w:gridSpan w:val="3"/>
            <w:shd w:val="clear" w:color="auto" w:fill="auto"/>
          </w:tcPr>
          <w:p w14:paraId="4090EE98" w14:textId="77777777" w:rsidR="00833634" w:rsidRDefault="00833634">
            <w:pPr>
              <w:rPr>
                <w:rFonts w:ascii="宋体"/>
                <w:vanish/>
              </w:rPr>
            </w:pPr>
          </w:p>
        </w:tc>
        <w:tc>
          <w:tcPr>
            <w:tcW w:w="0" w:type="auto"/>
            <w:gridSpan w:val="3"/>
            <w:shd w:val="clear" w:color="auto" w:fill="auto"/>
          </w:tcPr>
          <w:p w14:paraId="4090EE99" w14:textId="77777777" w:rsidR="00833634" w:rsidRDefault="00833634">
            <w:pPr>
              <w:rPr>
                <w:rFonts w:ascii="宋体"/>
                <w:vanish/>
              </w:rPr>
            </w:pPr>
          </w:p>
        </w:tc>
        <w:tc>
          <w:tcPr>
            <w:tcW w:w="0" w:type="auto"/>
            <w:gridSpan w:val="3"/>
            <w:shd w:val="clear" w:color="auto" w:fill="auto"/>
          </w:tcPr>
          <w:p w14:paraId="4090EE9A" w14:textId="77777777" w:rsidR="00833634" w:rsidRDefault="00833634">
            <w:pPr>
              <w:rPr>
                <w:rFonts w:ascii="宋体"/>
                <w:vanish/>
              </w:rPr>
            </w:pPr>
          </w:p>
        </w:tc>
        <w:tc>
          <w:tcPr>
            <w:tcW w:w="0" w:type="auto"/>
            <w:gridSpan w:val="3"/>
            <w:shd w:val="clear" w:color="auto" w:fill="auto"/>
          </w:tcPr>
          <w:p w14:paraId="4090EE9B" w14:textId="77777777" w:rsidR="00833634" w:rsidRDefault="00833634">
            <w:pPr>
              <w:rPr>
                <w:rFonts w:ascii="宋体"/>
                <w:vanish/>
              </w:rPr>
            </w:pPr>
          </w:p>
        </w:tc>
        <w:tc>
          <w:tcPr>
            <w:tcW w:w="0" w:type="auto"/>
            <w:gridSpan w:val="3"/>
            <w:shd w:val="clear" w:color="auto" w:fill="auto"/>
          </w:tcPr>
          <w:p w14:paraId="4090EE9C" w14:textId="77777777" w:rsidR="00833634" w:rsidRDefault="00833634">
            <w:pPr>
              <w:rPr>
                <w:rFonts w:ascii="宋体"/>
                <w:vanish/>
              </w:rPr>
            </w:pPr>
          </w:p>
        </w:tc>
        <w:tc>
          <w:tcPr>
            <w:tcW w:w="0" w:type="auto"/>
            <w:gridSpan w:val="3"/>
            <w:shd w:val="clear" w:color="auto" w:fill="auto"/>
          </w:tcPr>
          <w:p w14:paraId="4090EE9D" w14:textId="77777777" w:rsidR="00833634" w:rsidRDefault="00833634">
            <w:pPr>
              <w:rPr>
                <w:rFonts w:ascii="宋体"/>
                <w:vanish/>
              </w:rPr>
            </w:pPr>
          </w:p>
        </w:tc>
        <w:tc>
          <w:tcPr>
            <w:tcW w:w="0" w:type="auto"/>
            <w:gridSpan w:val="3"/>
            <w:shd w:val="clear" w:color="auto" w:fill="auto"/>
          </w:tcPr>
          <w:p w14:paraId="4090EE9E" w14:textId="77777777" w:rsidR="00833634" w:rsidRDefault="00833634">
            <w:pPr>
              <w:rPr>
                <w:rFonts w:ascii="宋体"/>
                <w:vanish/>
              </w:rPr>
            </w:pPr>
          </w:p>
        </w:tc>
        <w:tc>
          <w:tcPr>
            <w:tcW w:w="0" w:type="auto"/>
            <w:gridSpan w:val="3"/>
            <w:shd w:val="clear" w:color="auto" w:fill="auto"/>
          </w:tcPr>
          <w:p w14:paraId="4090EE9F" w14:textId="77777777" w:rsidR="00833634" w:rsidRDefault="00833634">
            <w:pPr>
              <w:rPr>
                <w:rFonts w:ascii="宋体"/>
                <w:vanish/>
              </w:rPr>
            </w:pPr>
          </w:p>
        </w:tc>
      </w:tr>
      <w:tr w:rsidR="00833634" w14:paraId="4090EEA9" w14:textId="77777777">
        <w:trPr>
          <w:hidden/>
        </w:trPr>
        <w:tc>
          <w:tcPr>
            <w:tcW w:w="0" w:type="auto"/>
            <w:gridSpan w:val="3"/>
            <w:shd w:val="clear" w:color="auto" w:fill="auto"/>
          </w:tcPr>
          <w:p w14:paraId="4090EEA1" w14:textId="77777777" w:rsidR="00833634" w:rsidRDefault="00833634">
            <w:pPr>
              <w:rPr>
                <w:rFonts w:ascii="宋体"/>
                <w:vanish/>
              </w:rPr>
            </w:pPr>
          </w:p>
        </w:tc>
        <w:tc>
          <w:tcPr>
            <w:tcW w:w="0" w:type="auto"/>
            <w:gridSpan w:val="3"/>
            <w:shd w:val="clear" w:color="auto" w:fill="auto"/>
          </w:tcPr>
          <w:p w14:paraId="4090EEA2" w14:textId="77777777" w:rsidR="00833634" w:rsidRDefault="00833634">
            <w:pPr>
              <w:rPr>
                <w:rFonts w:ascii="宋体"/>
                <w:vanish/>
              </w:rPr>
            </w:pPr>
          </w:p>
        </w:tc>
        <w:tc>
          <w:tcPr>
            <w:tcW w:w="0" w:type="auto"/>
            <w:gridSpan w:val="3"/>
            <w:shd w:val="clear" w:color="auto" w:fill="auto"/>
          </w:tcPr>
          <w:p w14:paraId="4090EEA3" w14:textId="77777777" w:rsidR="00833634" w:rsidRDefault="00833634">
            <w:pPr>
              <w:rPr>
                <w:rFonts w:ascii="宋体"/>
                <w:vanish/>
              </w:rPr>
            </w:pPr>
          </w:p>
        </w:tc>
        <w:tc>
          <w:tcPr>
            <w:tcW w:w="0" w:type="auto"/>
            <w:gridSpan w:val="3"/>
            <w:shd w:val="clear" w:color="auto" w:fill="auto"/>
          </w:tcPr>
          <w:p w14:paraId="4090EEA4" w14:textId="77777777" w:rsidR="00833634" w:rsidRDefault="00833634">
            <w:pPr>
              <w:rPr>
                <w:rFonts w:ascii="宋体"/>
                <w:vanish/>
              </w:rPr>
            </w:pPr>
          </w:p>
        </w:tc>
        <w:tc>
          <w:tcPr>
            <w:tcW w:w="0" w:type="auto"/>
            <w:gridSpan w:val="3"/>
            <w:shd w:val="clear" w:color="auto" w:fill="auto"/>
          </w:tcPr>
          <w:p w14:paraId="4090EEA5" w14:textId="77777777" w:rsidR="00833634" w:rsidRDefault="00833634">
            <w:pPr>
              <w:rPr>
                <w:rFonts w:ascii="宋体"/>
                <w:vanish/>
              </w:rPr>
            </w:pPr>
          </w:p>
        </w:tc>
        <w:tc>
          <w:tcPr>
            <w:tcW w:w="0" w:type="auto"/>
            <w:gridSpan w:val="3"/>
            <w:shd w:val="clear" w:color="auto" w:fill="auto"/>
          </w:tcPr>
          <w:p w14:paraId="4090EEA6" w14:textId="77777777" w:rsidR="00833634" w:rsidRDefault="00833634">
            <w:pPr>
              <w:rPr>
                <w:rFonts w:ascii="宋体"/>
                <w:vanish/>
              </w:rPr>
            </w:pPr>
          </w:p>
        </w:tc>
        <w:tc>
          <w:tcPr>
            <w:tcW w:w="0" w:type="auto"/>
            <w:gridSpan w:val="3"/>
            <w:shd w:val="clear" w:color="auto" w:fill="auto"/>
          </w:tcPr>
          <w:p w14:paraId="4090EEA7" w14:textId="77777777" w:rsidR="00833634" w:rsidRDefault="00833634">
            <w:pPr>
              <w:rPr>
                <w:rFonts w:ascii="宋体"/>
                <w:vanish/>
              </w:rPr>
            </w:pPr>
          </w:p>
        </w:tc>
        <w:tc>
          <w:tcPr>
            <w:tcW w:w="0" w:type="auto"/>
            <w:gridSpan w:val="3"/>
            <w:shd w:val="clear" w:color="auto" w:fill="auto"/>
          </w:tcPr>
          <w:p w14:paraId="4090EEA8" w14:textId="77777777" w:rsidR="00833634" w:rsidRDefault="00833634">
            <w:pPr>
              <w:rPr>
                <w:rFonts w:ascii="宋体"/>
                <w:vanish/>
              </w:rPr>
            </w:pPr>
          </w:p>
        </w:tc>
      </w:tr>
      <w:tr w:rsidR="00833634" w14:paraId="4090EEB6" w14:textId="77777777">
        <w:tc>
          <w:tcPr>
            <w:tcW w:w="0" w:type="auto"/>
            <w:gridSpan w:val="3"/>
            <w:shd w:val="clear" w:color="auto" w:fill="CCEEFF"/>
            <w:tcMar>
              <w:top w:w="40" w:type="dxa"/>
              <w:left w:w="225" w:type="dxa"/>
              <w:bottom w:w="40" w:type="dxa"/>
              <w:right w:w="20" w:type="dxa"/>
            </w:tcMar>
            <w:vAlign w:val="bottom"/>
          </w:tcPr>
          <w:p w14:paraId="4090EEAA" w14:textId="77777777" w:rsidR="00833634" w:rsidRDefault="00E15D51">
            <w:pPr>
              <w:textAlignment w:val="bottom"/>
            </w:pPr>
            <w:r>
              <w:rPr>
                <w:rFonts w:ascii="Arial" w:eastAsia="宋体" w:hAnsi="Arial" w:cs="Arial"/>
                <w:color w:val="000000"/>
                <w:sz w:val="20"/>
                <w:szCs w:val="20"/>
              </w:rPr>
              <w:t>Asia</w:t>
            </w:r>
          </w:p>
        </w:tc>
        <w:tc>
          <w:tcPr>
            <w:tcW w:w="0" w:type="auto"/>
            <w:gridSpan w:val="2"/>
            <w:shd w:val="clear" w:color="auto" w:fill="CCEEFF"/>
            <w:tcMar>
              <w:top w:w="40" w:type="dxa"/>
              <w:left w:w="20" w:type="dxa"/>
              <w:bottom w:w="40" w:type="dxa"/>
              <w:right w:w="0" w:type="dxa"/>
            </w:tcMar>
            <w:vAlign w:val="bottom"/>
          </w:tcPr>
          <w:p w14:paraId="4090EEAB" w14:textId="77777777" w:rsidR="00833634" w:rsidRDefault="00E15D51">
            <w:pPr>
              <w:jc w:val="right"/>
              <w:textAlignment w:val="bottom"/>
            </w:pPr>
            <w:r>
              <w:rPr>
                <w:rFonts w:ascii="Arial" w:eastAsia="宋体" w:hAnsi="Arial" w:cs="Arial"/>
                <w:b/>
                <w:bCs/>
                <w:color w:val="000000"/>
                <w:sz w:val="20"/>
                <w:szCs w:val="20"/>
              </w:rPr>
              <w:t>1,964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EA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EA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EAE" w14:textId="77777777" w:rsidR="00833634" w:rsidRDefault="00E15D51">
            <w:pPr>
              <w:jc w:val="right"/>
              <w:textAlignment w:val="bottom"/>
            </w:pPr>
            <w:r>
              <w:rPr>
                <w:rFonts w:ascii="Arial" w:eastAsia="宋体" w:hAnsi="Arial" w:cs="Arial"/>
                <w:color w:val="000000"/>
                <w:sz w:val="20"/>
                <w:szCs w:val="20"/>
              </w:rPr>
              <w:t>10,225 </w:t>
            </w:r>
          </w:p>
        </w:tc>
        <w:tc>
          <w:tcPr>
            <w:tcW w:w="0" w:type="auto"/>
            <w:shd w:val="clear" w:color="auto" w:fill="CCEEFF"/>
            <w:tcMar>
              <w:top w:w="40" w:type="dxa"/>
              <w:left w:w="0" w:type="dxa"/>
              <w:bottom w:w="40" w:type="dxa"/>
              <w:right w:w="20" w:type="dxa"/>
            </w:tcMar>
            <w:vAlign w:val="bottom"/>
          </w:tcPr>
          <w:p w14:paraId="4090EEA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EB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EB1" w14:textId="77777777" w:rsidR="00833634" w:rsidRDefault="00E15D51">
            <w:pPr>
              <w:jc w:val="right"/>
              <w:textAlignment w:val="bottom"/>
            </w:pPr>
            <w:r>
              <w:rPr>
                <w:rFonts w:ascii="Arial" w:eastAsia="宋体" w:hAnsi="Arial" w:cs="Arial"/>
                <w:b/>
                <w:bCs/>
                <w:color w:val="000000"/>
                <w:sz w:val="20"/>
                <w:szCs w:val="20"/>
              </w:rPr>
              <w:t>500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EB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EB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EB4" w14:textId="77777777" w:rsidR="00833634" w:rsidRDefault="00E15D51">
            <w:pPr>
              <w:jc w:val="right"/>
              <w:textAlignment w:val="bottom"/>
            </w:pPr>
            <w:r>
              <w:rPr>
                <w:rFonts w:ascii="Arial" w:eastAsia="宋体" w:hAnsi="Arial" w:cs="Arial"/>
                <w:color w:val="000000"/>
                <w:sz w:val="20"/>
                <w:szCs w:val="20"/>
              </w:rPr>
              <w:t>2,691 </w:t>
            </w:r>
          </w:p>
        </w:tc>
        <w:tc>
          <w:tcPr>
            <w:tcW w:w="0" w:type="auto"/>
            <w:shd w:val="clear" w:color="auto" w:fill="CCEEFF"/>
            <w:tcMar>
              <w:top w:w="40" w:type="dxa"/>
              <w:left w:w="0" w:type="dxa"/>
              <w:bottom w:w="40" w:type="dxa"/>
              <w:right w:w="20" w:type="dxa"/>
            </w:tcMar>
            <w:vAlign w:val="bottom"/>
          </w:tcPr>
          <w:p w14:paraId="4090EEB5" w14:textId="77777777" w:rsidR="00833634" w:rsidRDefault="00833634">
            <w:pPr>
              <w:jc w:val="right"/>
              <w:rPr>
                <w:rFonts w:ascii="宋体"/>
              </w:rPr>
            </w:pPr>
          </w:p>
        </w:tc>
      </w:tr>
      <w:tr w:rsidR="00833634" w14:paraId="4090EEC2" w14:textId="77777777">
        <w:tc>
          <w:tcPr>
            <w:tcW w:w="0" w:type="auto"/>
            <w:gridSpan w:val="3"/>
            <w:shd w:val="clear" w:color="auto" w:fill="FFFFFF"/>
            <w:tcMar>
              <w:top w:w="40" w:type="dxa"/>
              <w:left w:w="225" w:type="dxa"/>
              <w:bottom w:w="40" w:type="dxa"/>
              <w:right w:w="20" w:type="dxa"/>
            </w:tcMar>
            <w:vAlign w:val="bottom"/>
          </w:tcPr>
          <w:p w14:paraId="4090EEB7" w14:textId="77777777" w:rsidR="00833634" w:rsidRDefault="00E15D51">
            <w:pPr>
              <w:textAlignment w:val="bottom"/>
            </w:pPr>
            <w:r>
              <w:rPr>
                <w:rFonts w:ascii="Arial" w:eastAsia="宋体" w:hAnsi="Arial" w:cs="Arial"/>
                <w:color w:val="000000"/>
                <w:sz w:val="20"/>
                <w:szCs w:val="20"/>
              </w:rPr>
              <w:t>Middle East</w:t>
            </w:r>
          </w:p>
        </w:tc>
        <w:tc>
          <w:tcPr>
            <w:tcW w:w="0" w:type="auto"/>
            <w:gridSpan w:val="2"/>
            <w:shd w:val="clear" w:color="auto" w:fill="FFFFFF"/>
            <w:tcMar>
              <w:top w:w="40" w:type="dxa"/>
              <w:left w:w="20" w:type="dxa"/>
              <w:bottom w:w="40" w:type="dxa"/>
              <w:right w:w="0" w:type="dxa"/>
            </w:tcMar>
            <w:vAlign w:val="bottom"/>
          </w:tcPr>
          <w:p w14:paraId="4090EEB8" w14:textId="77777777" w:rsidR="00833634" w:rsidRDefault="00E15D51">
            <w:pPr>
              <w:jc w:val="right"/>
              <w:textAlignment w:val="bottom"/>
            </w:pPr>
            <w:r>
              <w:rPr>
                <w:rFonts w:ascii="Arial" w:eastAsia="宋体" w:hAnsi="Arial" w:cs="Arial"/>
                <w:b/>
                <w:bCs/>
                <w:color w:val="000000"/>
                <w:sz w:val="20"/>
                <w:szCs w:val="20"/>
              </w:rPr>
              <w:t>556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EB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B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EBB" w14:textId="77777777" w:rsidR="00833634" w:rsidRDefault="00E15D51">
            <w:pPr>
              <w:jc w:val="right"/>
              <w:textAlignment w:val="bottom"/>
            </w:pPr>
            <w:r>
              <w:rPr>
                <w:rFonts w:ascii="Arial" w:eastAsia="宋体" w:hAnsi="Arial" w:cs="Arial"/>
                <w:color w:val="000000"/>
                <w:sz w:val="20"/>
                <w:szCs w:val="20"/>
              </w:rPr>
              <w:t>2,926 </w:t>
            </w:r>
          </w:p>
        </w:tc>
        <w:tc>
          <w:tcPr>
            <w:tcW w:w="0" w:type="auto"/>
            <w:shd w:val="clear" w:color="auto" w:fill="FFFFFF"/>
            <w:tcMar>
              <w:top w:w="40" w:type="dxa"/>
              <w:left w:w="0" w:type="dxa"/>
              <w:bottom w:w="40" w:type="dxa"/>
              <w:right w:w="20" w:type="dxa"/>
            </w:tcMar>
            <w:vAlign w:val="bottom"/>
          </w:tcPr>
          <w:p w14:paraId="4090EEB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BD"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EB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EB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EC0" w14:textId="77777777" w:rsidR="00833634" w:rsidRDefault="00E15D51">
            <w:pPr>
              <w:jc w:val="right"/>
              <w:textAlignment w:val="bottom"/>
            </w:pPr>
            <w:r>
              <w:rPr>
                <w:rFonts w:ascii="Arial" w:eastAsia="宋体" w:hAnsi="Arial" w:cs="Arial"/>
                <w:color w:val="000000"/>
                <w:sz w:val="20"/>
                <w:szCs w:val="20"/>
              </w:rPr>
              <w:t>1,121 </w:t>
            </w:r>
          </w:p>
        </w:tc>
        <w:tc>
          <w:tcPr>
            <w:tcW w:w="0" w:type="auto"/>
            <w:shd w:val="clear" w:color="auto" w:fill="FFFFFF"/>
            <w:tcMar>
              <w:top w:w="40" w:type="dxa"/>
              <w:left w:w="0" w:type="dxa"/>
              <w:bottom w:w="40" w:type="dxa"/>
              <w:right w:w="20" w:type="dxa"/>
            </w:tcMar>
            <w:vAlign w:val="bottom"/>
          </w:tcPr>
          <w:p w14:paraId="4090EEC1" w14:textId="77777777" w:rsidR="00833634" w:rsidRDefault="00833634">
            <w:pPr>
              <w:jc w:val="right"/>
              <w:rPr>
                <w:rFonts w:ascii="宋体"/>
              </w:rPr>
            </w:pPr>
          </w:p>
        </w:tc>
      </w:tr>
      <w:tr w:rsidR="00833634" w14:paraId="4090EECF" w14:textId="77777777">
        <w:tc>
          <w:tcPr>
            <w:tcW w:w="0" w:type="auto"/>
            <w:gridSpan w:val="3"/>
            <w:shd w:val="clear" w:color="auto" w:fill="CCEEFF"/>
            <w:tcMar>
              <w:top w:w="40" w:type="dxa"/>
              <w:left w:w="225" w:type="dxa"/>
              <w:bottom w:w="40" w:type="dxa"/>
              <w:right w:w="20" w:type="dxa"/>
            </w:tcMar>
            <w:vAlign w:val="bottom"/>
          </w:tcPr>
          <w:p w14:paraId="4090EEC3" w14:textId="77777777" w:rsidR="00833634" w:rsidRDefault="00E15D51">
            <w:pPr>
              <w:textAlignment w:val="bottom"/>
            </w:pPr>
            <w:r>
              <w:rPr>
                <w:rFonts w:ascii="Arial" w:eastAsia="宋体" w:hAnsi="Arial" w:cs="Arial"/>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4090EEC4" w14:textId="77777777" w:rsidR="00833634" w:rsidRDefault="00E15D51">
            <w:pPr>
              <w:jc w:val="right"/>
              <w:textAlignment w:val="bottom"/>
            </w:pPr>
            <w:r>
              <w:rPr>
                <w:rFonts w:ascii="Arial" w:eastAsia="宋体" w:hAnsi="Arial" w:cs="Arial"/>
                <w:b/>
                <w:bCs/>
                <w:color w:val="000000"/>
                <w:sz w:val="20"/>
                <w:szCs w:val="20"/>
              </w:rPr>
              <w:t>465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EC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EC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EC7" w14:textId="77777777" w:rsidR="00833634" w:rsidRDefault="00E15D51">
            <w:pPr>
              <w:jc w:val="right"/>
              <w:textAlignment w:val="bottom"/>
            </w:pPr>
            <w:r>
              <w:rPr>
                <w:rFonts w:ascii="Arial" w:eastAsia="宋体" w:hAnsi="Arial" w:cs="Arial"/>
                <w:color w:val="000000"/>
                <w:sz w:val="20"/>
                <w:szCs w:val="20"/>
              </w:rPr>
              <w:t>2,533 </w:t>
            </w:r>
          </w:p>
        </w:tc>
        <w:tc>
          <w:tcPr>
            <w:tcW w:w="0" w:type="auto"/>
            <w:shd w:val="clear" w:color="auto" w:fill="CCEEFF"/>
            <w:tcMar>
              <w:top w:w="40" w:type="dxa"/>
              <w:left w:w="0" w:type="dxa"/>
              <w:bottom w:w="40" w:type="dxa"/>
              <w:right w:w="20" w:type="dxa"/>
            </w:tcMar>
            <w:vAlign w:val="bottom"/>
          </w:tcPr>
          <w:p w14:paraId="4090EEC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EC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ECA" w14:textId="77777777" w:rsidR="00833634" w:rsidRDefault="00E15D51">
            <w:pPr>
              <w:jc w:val="right"/>
              <w:textAlignment w:val="bottom"/>
            </w:pPr>
            <w:r>
              <w:rPr>
                <w:rFonts w:ascii="Arial" w:eastAsia="宋体" w:hAnsi="Arial" w:cs="Arial"/>
                <w:b/>
                <w:bCs/>
                <w:color w:val="000000"/>
                <w:sz w:val="20"/>
                <w:szCs w:val="20"/>
              </w:rPr>
              <w:t>12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EC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EC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ECD" w14:textId="77777777" w:rsidR="00833634" w:rsidRDefault="00E15D51">
            <w:pPr>
              <w:jc w:val="right"/>
              <w:textAlignment w:val="bottom"/>
            </w:pPr>
            <w:r>
              <w:rPr>
                <w:rFonts w:ascii="Arial" w:eastAsia="宋体" w:hAnsi="Arial" w:cs="Arial"/>
                <w:color w:val="000000"/>
                <w:sz w:val="20"/>
                <w:szCs w:val="20"/>
              </w:rPr>
              <w:t>166 </w:t>
            </w:r>
          </w:p>
        </w:tc>
        <w:tc>
          <w:tcPr>
            <w:tcW w:w="0" w:type="auto"/>
            <w:shd w:val="clear" w:color="auto" w:fill="CCEEFF"/>
            <w:tcMar>
              <w:top w:w="40" w:type="dxa"/>
              <w:left w:w="0" w:type="dxa"/>
              <w:bottom w:w="40" w:type="dxa"/>
              <w:right w:w="20" w:type="dxa"/>
            </w:tcMar>
            <w:vAlign w:val="bottom"/>
          </w:tcPr>
          <w:p w14:paraId="4090EECE" w14:textId="77777777" w:rsidR="00833634" w:rsidRDefault="00833634">
            <w:pPr>
              <w:jc w:val="right"/>
              <w:rPr>
                <w:rFonts w:ascii="宋体"/>
              </w:rPr>
            </w:pPr>
          </w:p>
        </w:tc>
      </w:tr>
      <w:tr w:rsidR="00833634" w14:paraId="4090EEDC" w14:textId="77777777">
        <w:tc>
          <w:tcPr>
            <w:tcW w:w="0" w:type="auto"/>
            <w:gridSpan w:val="3"/>
            <w:tcBorders>
              <w:top w:val="single" w:sz="8" w:space="0" w:color="000000"/>
            </w:tcBorders>
            <w:shd w:val="clear" w:color="auto" w:fill="FFFFFF"/>
            <w:tcMar>
              <w:top w:w="40" w:type="dxa"/>
              <w:left w:w="225" w:type="dxa"/>
              <w:bottom w:w="40" w:type="dxa"/>
              <w:right w:w="20" w:type="dxa"/>
            </w:tcMar>
            <w:vAlign w:val="bottom"/>
          </w:tcPr>
          <w:p w14:paraId="4090EED0" w14:textId="77777777" w:rsidR="00833634" w:rsidRDefault="00E15D51">
            <w:pPr>
              <w:textAlignment w:val="bottom"/>
            </w:pPr>
            <w:r>
              <w:rPr>
                <w:rFonts w:ascii="Arial" w:eastAsia="宋体" w:hAnsi="Arial" w:cs="Arial"/>
                <w:color w:val="000000"/>
                <w:sz w:val="20"/>
                <w:szCs w:val="20"/>
              </w:rPr>
              <w:t>Total non-U.S. revenues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ED1" w14:textId="77777777" w:rsidR="00833634" w:rsidRDefault="00E15D51">
            <w:pPr>
              <w:jc w:val="right"/>
              <w:textAlignment w:val="bottom"/>
            </w:pPr>
            <w:r>
              <w:rPr>
                <w:rFonts w:ascii="Arial" w:eastAsia="宋体" w:hAnsi="Arial" w:cs="Arial"/>
                <w:b/>
                <w:bCs/>
                <w:color w:val="000000"/>
                <w:sz w:val="20"/>
                <w:szCs w:val="20"/>
              </w:rPr>
              <w:t>6,580</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ED2"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ED3"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ED4" w14:textId="77777777" w:rsidR="00833634" w:rsidRDefault="00E15D51">
            <w:pPr>
              <w:jc w:val="right"/>
              <w:textAlignment w:val="bottom"/>
            </w:pPr>
            <w:r>
              <w:rPr>
                <w:rFonts w:ascii="Arial" w:eastAsia="宋体" w:hAnsi="Arial" w:cs="Arial"/>
                <w:color w:val="000000"/>
                <w:sz w:val="20"/>
                <w:szCs w:val="20"/>
              </w:rPr>
              <w:t>19,628 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ED5"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ED6"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ED7" w14:textId="77777777" w:rsidR="00833634" w:rsidRDefault="00E15D51">
            <w:pPr>
              <w:jc w:val="right"/>
              <w:textAlignment w:val="bottom"/>
            </w:pPr>
            <w:r>
              <w:rPr>
                <w:rFonts w:ascii="Arial" w:eastAsia="宋体" w:hAnsi="Arial" w:cs="Arial"/>
                <w:b/>
                <w:bCs/>
                <w:color w:val="000000"/>
                <w:sz w:val="20"/>
                <w:szCs w:val="20"/>
              </w:rPr>
              <w:t>1,805</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ED8"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ED9"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EDA" w14:textId="77777777" w:rsidR="00833634" w:rsidRDefault="00E15D51">
            <w:pPr>
              <w:jc w:val="right"/>
              <w:textAlignment w:val="bottom"/>
            </w:pPr>
            <w:r>
              <w:rPr>
                <w:rFonts w:ascii="Arial" w:eastAsia="宋体" w:hAnsi="Arial" w:cs="Arial"/>
                <w:color w:val="000000"/>
                <w:sz w:val="20"/>
                <w:szCs w:val="20"/>
              </w:rPr>
              <w:t>5,238 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EDB" w14:textId="77777777" w:rsidR="00833634" w:rsidRDefault="00833634">
            <w:pPr>
              <w:jc w:val="right"/>
              <w:rPr>
                <w:rFonts w:ascii="宋体"/>
              </w:rPr>
            </w:pPr>
          </w:p>
        </w:tc>
      </w:tr>
      <w:tr w:rsidR="00833634" w14:paraId="4090EEE9" w14:textId="77777777">
        <w:tc>
          <w:tcPr>
            <w:tcW w:w="0" w:type="auto"/>
            <w:gridSpan w:val="3"/>
            <w:shd w:val="clear" w:color="auto" w:fill="CCEEFF"/>
            <w:tcMar>
              <w:top w:w="40" w:type="dxa"/>
              <w:left w:w="225" w:type="dxa"/>
              <w:bottom w:w="40" w:type="dxa"/>
              <w:right w:w="20" w:type="dxa"/>
            </w:tcMar>
            <w:vAlign w:val="bottom"/>
          </w:tcPr>
          <w:p w14:paraId="4090EEDD" w14:textId="77777777" w:rsidR="00833634" w:rsidRDefault="00E15D51">
            <w:pPr>
              <w:textAlignment w:val="bottom"/>
            </w:pPr>
            <w:r>
              <w:rPr>
                <w:rFonts w:ascii="Arial" w:eastAsia="宋体" w:hAnsi="Arial" w:cs="Arial"/>
                <w:color w:val="000000"/>
                <w:sz w:val="20"/>
                <w:szCs w:val="20"/>
              </w:rPr>
              <w:t>United States</w:t>
            </w:r>
          </w:p>
        </w:tc>
        <w:tc>
          <w:tcPr>
            <w:tcW w:w="0" w:type="auto"/>
            <w:gridSpan w:val="2"/>
            <w:shd w:val="clear" w:color="auto" w:fill="CCEEFF"/>
            <w:tcMar>
              <w:top w:w="40" w:type="dxa"/>
              <w:left w:w="20" w:type="dxa"/>
              <w:bottom w:w="40" w:type="dxa"/>
              <w:right w:w="0" w:type="dxa"/>
            </w:tcMar>
            <w:vAlign w:val="bottom"/>
          </w:tcPr>
          <w:p w14:paraId="4090EEDE" w14:textId="77777777" w:rsidR="00833634" w:rsidRDefault="00E15D51">
            <w:pPr>
              <w:jc w:val="right"/>
              <w:textAlignment w:val="bottom"/>
            </w:pPr>
            <w:r>
              <w:rPr>
                <w:rFonts w:ascii="Arial" w:eastAsia="宋体" w:hAnsi="Arial" w:cs="Arial"/>
                <w:b/>
                <w:bCs/>
                <w:color w:val="000000"/>
                <w:sz w:val="20"/>
                <w:szCs w:val="20"/>
              </w:rPr>
              <w:t>5,190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ED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EE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EE1" w14:textId="77777777" w:rsidR="00833634" w:rsidRDefault="00E15D51">
            <w:pPr>
              <w:jc w:val="right"/>
              <w:textAlignment w:val="bottom"/>
            </w:pPr>
            <w:r>
              <w:rPr>
                <w:rFonts w:ascii="Arial" w:eastAsia="宋体" w:hAnsi="Arial" w:cs="Arial"/>
                <w:color w:val="000000"/>
                <w:sz w:val="20"/>
                <w:szCs w:val="20"/>
              </w:rPr>
              <w:t>10,591 </w:t>
            </w:r>
          </w:p>
        </w:tc>
        <w:tc>
          <w:tcPr>
            <w:tcW w:w="0" w:type="auto"/>
            <w:shd w:val="clear" w:color="auto" w:fill="CCEEFF"/>
            <w:tcMar>
              <w:top w:w="40" w:type="dxa"/>
              <w:left w:w="0" w:type="dxa"/>
              <w:bottom w:w="40" w:type="dxa"/>
              <w:right w:w="20" w:type="dxa"/>
            </w:tcMar>
            <w:vAlign w:val="bottom"/>
          </w:tcPr>
          <w:p w14:paraId="4090EEE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EE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EE4" w14:textId="77777777" w:rsidR="00833634" w:rsidRDefault="00E15D51">
            <w:pPr>
              <w:jc w:val="right"/>
              <w:textAlignment w:val="bottom"/>
            </w:pPr>
            <w:r>
              <w:rPr>
                <w:rFonts w:ascii="Arial" w:eastAsia="宋体" w:hAnsi="Arial" w:cs="Arial"/>
                <w:b/>
                <w:bCs/>
                <w:color w:val="000000"/>
                <w:sz w:val="20"/>
                <w:szCs w:val="20"/>
              </w:rPr>
              <w:t>1,633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EE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EE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EE7" w14:textId="77777777" w:rsidR="00833634" w:rsidRDefault="00E15D51">
            <w:pPr>
              <w:jc w:val="right"/>
              <w:textAlignment w:val="bottom"/>
            </w:pPr>
            <w:r>
              <w:rPr>
                <w:rFonts w:ascii="Arial" w:eastAsia="宋体" w:hAnsi="Arial" w:cs="Arial"/>
                <w:color w:val="000000"/>
                <w:sz w:val="20"/>
                <w:szCs w:val="20"/>
              </w:rPr>
              <w:t>3,004 </w:t>
            </w:r>
          </w:p>
        </w:tc>
        <w:tc>
          <w:tcPr>
            <w:tcW w:w="0" w:type="auto"/>
            <w:shd w:val="clear" w:color="auto" w:fill="CCEEFF"/>
            <w:tcMar>
              <w:top w:w="40" w:type="dxa"/>
              <w:left w:w="0" w:type="dxa"/>
              <w:bottom w:w="40" w:type="dxa"/>
              <w:right w:w="20" w:type="dxa"/>
            </w:tcMar>
            <w:vAlign w:val="bottom"/>
          </w:tcPr>
          <w:p w14:paraId="4090EEE8" w14:textId="77777777" w:rsidR="00833634" w:rsidRDefault="00833634">
            <w:pPr>
              <w:jc w:val="right"/>
              <w:rPr>
                <w:rFonts w:ascii="宋体"/>
              </w:rPr>
            </w:pPr>
          </w:p>
        </w:tc>
      </w:tr>
      <w:tr w:rsidR="00833634" w14:paraId="4090EEF5" w14:textId="77777777">
        <w:tc>
          <w:tcPr>
            <w:tcW w:w="0" w:type="auto"/>
            <w:gridSpan w:val="3"/>
            <w:shd w:val="clear" w:color="auto" w:fill="FFFFFF"/>
            <w:tcMar>
              <w:top w:w="40" w:type="dxa"/>
              <w:left w:w="225" w:type="dxa"/>
              <w:bottom w:w="40" w:type="dxa"/>
              <w:right w:w="20" w:type="dxa"/>
            </w:tcMar>
            <w:vAlign w:val="bottom"/>
          </w:tcPr>
          <w:p w14:paraId="4090EEEA" w14:textId="77777777" w:rsidR="00833634" w:rsidRDefault="00E15D51">
            <w:pPr>
              <w:textAlignment w:val="bottom"/>
            </w:pPr>
            <w:r>
              <w:rPr>
                <w:rFonts w:ascii="Arial" w:eastAsia="宋体" w:hAnsi="Arial" w:cs="Arial"/>
                <w:color w:val="000000"/>
                <w:sz w:val="20"/>
                <w:szCs w:val="20"/>
              </w:rPr>
              <w:t>Estimated potential concessions and other considerations to 737 MAX customers, net</w:t>
            </w:r>
          </w:p>
        </w:tc>
        <w:tc>
          <w:tcPr>
            <w:tcW w:w="0" w:type="auto"/>
            <w:gridSpan w:val="2"/>
            <w:shd w:val="clear" w:color="auto" w:fill="FFFFFF"/>
            <w:tcMar>
              <w:top w:w="40" w:type="dxa"/>
              <w:left w:w="20" w:type="dxa"/>
              <w:bottom w:w="40" w:type="dxa"/>
              <w:right w:w="0" w:type="dxa"/>
            </w:tcMar>
            <w:vAlign w:val="bottom"/>
          </w:tcPr>
          <w:p w14:paraId="4090EEEB" w14:textId="77777777" w:rsidR="00833634" w:rsidRDefault="00E15D51">
            <w:pPr>
              <w:jc w:val="right"/>
              <w:textAlignment w:val="bottom"/>
            </w:pPr>
            <w:r>
              <w:rPr>
                <w:rFonts w:ascii="Arial" w:eastAsia="宋体" w:hAnsi="Arial" w:cs="Arial"/>
                <w:b/>
                <w:bCs/>
                <w:color w:val="000000"/>
                <w:sz w:val="20"/>
                <w:szCs w:val="20"/>
              </w:rPr>
              <w:t>(370)</w:t>
            </w:r>
          </w:p>
        </w:tc>
        <w:tc>
          <w:tcPr>
            <w:tcW w:w="0" w:type="auto"/>
            <w:shd w:val="clear" w:color="auto" w:fill="FFFFFF"/>
            <w:tcMar>
              <w:top w:w="40" w:type="dxa"/>
              <w:left w:w="0" w:type="dxa"/>
              <w:bottom w:w="40" w:type="dxa"/>
              <w:right w:w="20" w:type="dxa"/>
            </w:tcMar>
            <w:vAlign w:val="bottom"/>
          </w:tcPr>
          <w:p w14:paraId="4090EEE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E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EEE" w14:textId="77777777" w:rsidR="00833634" w:rsidRDefault="00E15D51">
            <w:pPr>
              <w:jc w:val="right"/>
              <w:textAlignment w:val="bottom"/>
            </w:pPr>
            <w:r>
              <w:rPr>
                <w:rFonts w:ascii="Arial" w:eastAsia="宋体" w:hAnsi="Arial" w:cs="Arial"/>
                <w:color w:val="000000"/>
                <w:sz w:val="20"/>
                <w:szCs w:val="20"/>
              </w:rPr>
              <w:t>(5,610)</w:t>
            </w:r>
          </w:p>
        </w:tc>
        <w:tc>
          <w:tcPr>
            <w:tcW w:w="0" w:type="auto"/>
            <w:shd w:val="clear" w:color="auto" w:fill="FFFFFF"/>
            <w:tcMar>
              <w:top w:w="40" w:type="dxa"/>
              <w:left w:w="0" w:type="dxa"/>
              <w:bottom w:w="40" w:type="dxa"/>
              <w:right w:w="20" w:type="dxa"/>
            </w:tcMar>
            <w:vAlign w:val="bottom"/>
          </w:tcPr>
          <w:p w14:paraId="4090EEE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F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EF1" w14:textId="77777777" w:rsidR="00833634" w:rsidRDefault="00E15D51">
            <w:pPr>
              <w:jc w:val="right"/>
              <w:textAlignment w:val="bottom"/>
            </w:pPr>
            <w:r>
              <w:rPr>
                <w:rFonts w:ascii="Arial" w:eastAsia="宋体" w:hAnsi="Arial" w:cs="Arial"/>
                <w:b/>
                <w:bCs/>
                <w:color w:val="000000"/>
                <w:sz w:val="20"/>
                <w:szCs w:val="20"/>
              </w:rPr>
              <w:t>151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EF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EF3"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EF4" w14:textId="77777777" w:rsidR="00833634" w:rsidRDefault="00833634">
            <w:pPr>
              <w:rPr>
                <w:rFonts w:ascii="宋体"/>
              </w:rPr>
            </w:pPr>
          </w:p>
        </w:tc>
      </w:tr>
      <w:tr w:rsidR="00833634" w14:paraId="4090EF02"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EF6" w14:textId="77777777" w:rsidR="00833634" w:rsidRDefault="00E15D51">
            <w:pPr>
              <w:textAlignment w:val="bottom"/>
            </w:pPr>
            <w:r>
              <w:rPr>
                <w:rFonts w:ascii="Arial" w:eastAsia="宋体" w:hAnsi="Arial" w:cs="Arial"/>
                <w:color w:val="000000"/>
                <w:sz w:val="20"/>
                <w:szCs w:val="20"/>
              </w:rPr>
              <w:t>Tot</w:t>
            </w:r>
            <w:r>
              <w:rPr>
                <w:rFonts w:ascii="Arial" w:eastAsia="宋体" w:hAnsi="Arial" w:cs="Arial"/>
                <w:color w:val="000000"/>
                <w:sz w:val="20"/>
                <w:szCs w:val="20"/>
              </w:rPr>
              <w:t>al revenues from contracts with customers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EF7" w14:textId="77777777" w:rsidR="00833634" w:rsidRDefault="00E15D51">
            <w:pPr>
              <w:jc w:val="right"/>
              <w:textAlignment w:val="bottom"/>
            </w:pPr>
            <w:r>
              <w:rPr>
                <w:rFonts w:ascii="Arial" w:eastAsia="宋体" w:hAnsi="Arial" w:cs="Arial"/>
                <w:b/>
                <w:bCs/>
                <w:color w:val="000000"/>
                <w:sz w:val="20"/>
                <w:szCs w:val="20"/>
              </w:rPr>
              <w:t>11,400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EF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F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EFA" w14:textId="77777777" w:rsidR="00833634" w:rsidRDefault="00E15D51">
            <w:pPr>
              <w:jc w:val="right"/>
              <w:textAlignment w:val="bottom"/>
            </w:pPr>
            <w:r>
              <w:rPr>
                <w:rFonts w:ascii="Arial" w:eastAsia="宋体" w:hAnsi="Arial" w:cs="Arial"/>
                <w:color w:val="000000"/>
                <w:sz w:val="20"/>
                <w:szCs w:val="20"/>
              </w:rPr>
              <w:t>24,609 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EF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F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EFD" w14:textId="77777777" w:rsidR="00833634" w:rsidRDefault="00E15D51">
            <w:pPr>
              <w:jc w:val="right"/>
              <w:textAlignment w:val="bottom"/>
            </w:pPr>
            <w:r>
              <w:rPr>
                <w:rFonts w:ascii="Arial" w:eastAsia="宋体" w:hAnsi="Arial" w:cs="Arial"/>
                <w:b/>
                <w:bCs/>
                <w:color w:val="000000"/>
                <w:sz w:val="20"/>
                <w:szCs w:val="20"/>
              </w:rPr>
              <w:t>3,589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EF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EF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F00" w14:textId="77777777" w:rsidR="00833634" w:rsidRDefault="00E15D51">
            <w:pPr>
              <w:jc w:val="right"/>
              <w:textAlignment w:val="bottom"/>
            </w:pPr>
            <w:r>
              <w:rPr>
                <w:rFonts w:ascii="Arial" w:eastAsia="宋体" w:hAnsi="Arial" w:cs="Arial"/>
                <w:color w:val="000000"/>
                <w:sz w:val="20"/>
                <w:szCs w:val="20"/>
              </w:rPr>
              <w:t>8,242 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F01" w14:textId="77777777" w:rsidR="00833634" w:rsidRDefault="00833634">
            <w:pPr>
              <w:jc w:val="right"/>
              <w:rPr>
                <w:rFonts w:ascii="宋体"/>
              </w:rPr>
            </w:pPr>
          </w:p>
        </w:tc>
      </w:tr>
      <w:tr w:rsidR="00833634" w14:paraId="4090EF0F" w14:textId="77777777">
        <w:tc>
          <w:tcPr>
            <w:tcW w:w="0" w:type="auto"/>
            <w:gridSpan w:val="3"/>
            <w:shd w:val="clear" w:color="auto" w:fill="FFFFFF"/>
            <w:tcMar>
              <w:top w:w="40" w:type="dxa"/>
              <w:left w:w="225" w:type="dxa"/>
              <w:bottom w:w="40" w:type="dxa"/>
              <w:right w:w="20" w:type="dxa"/>
            </w:tcMar>
            <w:vAlign w:val="bottom"/>
          </w:tcPr>
          <w:p w14:paraId="4090EF03" w14:textId="77777777" w:rsidR="00833634" w:rsidRDefault="00E15D51">
            <w:pPr>
              <w:textAlignment w:val="bottom"/>
            </w:pPr>
            <w:r>
              <w:rPr>
                <w:rFonts w:ascii="Arial" w:eastAsia="宋体" w:hAnsi="Arial" w:cs="Arial"/>
                <w:color w:val="000000"/>
                <w:sz w:val="20"/>
                <w:szCs w:val="20"/>
              </w:rPr>
              <w:t>Intersegment revenues eliminated on consolidation</w:t>
            </w:r>
          </w:p>
        </w:tc>
        <w:tc>
          <w:tcPr>
            <w:tcW w:w="0" w:type="auto"/>
            <w:gridSpan w:val="2"/>
            <w:shd w:val="clear" w:color="auto" w:fill="FFFFFF"/>
            <w:tcMar>
              <w:top w:w="40" w:type="dxa"/>
              <w:left w:w="20" w:type="dxa"/>
              <w:bottom w:w="40" w:type="dxa"/>
              <w:right w:w="0" w:type="dxa"/>
            </w:tcMar>
            <w:vAlign w:val="bottom"/>
          </w:tcPr>
          <w:p w14:paraId="4090EF04" w14:textId="77777777" w:rsidR="00833634" w:rsidRDefault="00E15D51">
            <w:pPr>
              <w:jc w:val="right"/>
              <w:textAlignment w:val="bottom"/>
            </w:pPr>
            <w:r>
              <w:rPr>
                <w:rFonts w:ascii="Arial" w:eastAsia="宋体" w:hAnsi="Arial" w:cs="Arial"/>
                <w:b/>
                <w:bCs/>
                <w:color w:val="000000"/>
                <w:sz w:val="20"/>
                <w:szCs w:val="20"/>
              </w:rPr>
              <w:t>34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F0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F0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07" w14:textId="77777777" w:rsidR="00833634" w:rsidRDefault="00E15D51">
            <w:pPr>
              <w:jc w:val="right"/>
              <w:textAlignment w:val="bottom"/>
            </w:pPr>
            <w:r>
              <w:rPr>
                <w:rFonts w:ascii="Arial" w:eastAsia="宋体" w:hAnsi="Arial" w:cs="Arial"/>
                <w:color w:val="000000"/>
                <w:sz w:val="20"/>
                <w:szCs w:val="20"/>
              </w:rPr>
              <w:t>184 </w:t>
            </w:r>
          </w:p>
        </w:tc>
        <w:tc>
          <w:tcPr>
            <w:tcW w:w="0" w:type="auto"/>
            <w:shd w:val="clear" w:color="auto" w:fill="FFFFFF"/>
            <w:tcMar>
              <w:top w:w="40" w:type="dxa"/>
              <w:left w:w="0" w:type="dxa"/>
              <w:bottom w:w="40" w:type="dxa"/>
              <w:right w:w="20" w:type="dxa"/>
            </w:tcMar>
            <w:vAlign w:val="bottom"/>
          </w:tcPr>
          <w:p w14:paraId="4090EF0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F0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0A" w14:textId="77777777" w:rsidR="00833634" w:rsidRDefault="00E15D51">
            <w:pPr>
              <w:jc w:val="right"/>
              <w:textAlignment w:val="bottom"/>
            </w:pPr>
            <w:r>
              <w:rPr>
                <w:rFonts w:ascii="Arial" w:eastAsia="宋体" w:hAnsi="Arial" w:cs="Arial"/>
                <w:b/>
                <w:bCs/>
                <w:color w:val="000000"/>
                <w:sz w:val="20"/>
                <w:szCs w:val="20"/>
              </w:rPr>
              <w:t>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F0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F0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0D" w14:textId="77777777" w:rsidR="00833634" w:rsidRDefault="00E15D51">
            <w:pPr>
              <w:jc w:val="right"/>
              <w:textAlignment w:val="bottom"/>
            </w:pPr>
            <w:r>
              <w:rPr>
                <w:rFonts w:ascii="Arial" w:eastAsia="宋体" w:hAnsi="Arial" w:cs="Arial"/>
                <w:color w:val="000000"/>
                <w:sz w:val="20"/>
                <w:szCs w:val="20"/>
              </w:rPr>
              <w:t>7 </w:t>
            </w:r>
          </w:p>
        </w:tc>
        <w:tc>
          <w:tcPr>
            <w:tcW w:w="0" w:type="auto"/>
            <w:shd w:val="clear" w:color="auto" w:fill="FFFFFF"/>
            <w:tcMar>
              <w:top w:w="40" w:type="dxa"/>
              <w:left w:w="0" w:type="dxa"/>
              <w:bottom w:w="40" w:type="dxa"/>
              <w:right w:w="20" w:type="dxa"/>
            </w:tcMar>
            <w:vAlign w:val="bottom"/>
          </w:tcPr>
          <w:p w14:paraId="4090EF0E" w14:textId="77777777" w:rsidR="00833634" w:rsidRDefault="00833634">
            <w:pPr>
              <w:jc w:val="right"/>
              <w:rPr>
                <w:rFonts w:ascii="宋体"/>
              </w:rPr>
            </w:pPr>
          </w:p>
        </w:tc>
      </w:tr>
      <w:tr w:rsidR="00833634" w14:paraId="4090EF1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F10" w14:textId="77777777" w:rsidR="00833634" w:rsidRDefault="00E15D51">
            <w:pPr>
              <w:textAlignment w:val="bottom"/>
            </w:pPr>
            <w:r>
              <w:rPr>
                <w:rFonts w:ascii="Arial" w:eastAsia="宋体" w:hAnsi="Arial" w:cs="Arial"/>
                <w:color w:val="000000"/>
                <w:sz w:val="20"/>
                <w:szCs w:val="20"/>
              </w:rPr>
              <w:t>Total segment 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F11" w14:textId="77777777" w:rsidR="00833634" w:rsidRDefault="00E15D51">
            <w:pPr>
              <w:jc w:val="right"/>
              <w:textAlignment w:val="bottom"/>
            </w:pPr>
            <w:r>
              <w:rPr>
                <w:rFonts w:ascii="Arial" w:eastAsia="宋体" w:hAnsi="Arial" w:cs="Arial"/>
                <w:b/>
                <w:bCs/>
                <w:color w:val="000000"/>
                <w:sz w:val="20"/>
                <w:szCs w:val="20"/>
              </w:rPr>
              <w:t>$11,434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F1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F1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F14" w14:textId="77777777" w:rsidR="00833634" w:rsidRDefault="00E15D51">
            <w:pPr>
              <w:jc w:val="right"/>
              <w:textAlignment w:val="bottom"/>
            </w:pPr>
            <w:r>
              <w:rPr>
                <w:rFonts w:ascii="Arial" w:eastAsia="宋体" w:hAnsi="Arial" w:cs="Arial"/>
                <w:color w:val="000000"/>
                <w:sz w:val="20"/>
                <w:szCs w:val="20"/>
              </w:rPr>
              <w:t>$24,793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F1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F1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F17" w14:textId="77777777" w:rsidR="00833634" w:rsidRDefault="00E15D51">
            <w:pPr>
              <w:jc w:val="right"/>
              <w:textAlignment w:val="bottom"/>
            </w:pPr>
            <w:r>
              <w:rPr>
                <w:rFonts w:ascii="Arial" w:eastAsia="宋体" w:hAnsi="Arial" w:cs="Arial"/>
                <w:b/>
                <w:bCs/>
                <w:color w:val="000000"/>
                <w:sz w:val="20"/>
                <w:szCs w:val="20"/>
              </w:rPr>
              <w:t>$3,596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F1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F1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EF1A" w14:textId="77777777" w:rsidR="00833634" w:rsidRDefault="00E15D51">
            <w:pPr>
              <w:jc w:val="right"/>
              <w:textAlignment w:val="bottom"/>
            </w:pPr>
            <w:r>
              <w:rPr>
                <w:rFonts w:ascii="Arial" w:eastAsia="宋体" w:hAnsi="Arial" w:cs="Arial"/>
                <w:color w:val="000000"/>
                <w:sz w:val="20"/>
                <w:szCs w:val="20"/>
              </w:rPr>
              <w:t>$8,249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EF1B" w14:textId="77777777" w:rsidR="00833634" w:rsidRDefault="00833634">
            <w:pPr>
              <w:jc w:val="right"/>
              <w:rPr>
                <w:rFonts w:ascii="宋体"/>
              </w:rPr>
            </w:pPr>
          </w:p>
        </w:tc>
      </w:tr>
      <w:tr w:rsidR="00833634" w14:paraId="4090EF25" w14:textId="77777777">
        <w:trPr>
          <w:trHeight w:val="120"/>
        </w:trPr>
        <w:tc>
          <w:tcPr>
            <w:tcW w:w="0" w:type="auto"/>
            <w:gridSpan w:val="3"/>
            <w:tcBorders>
              <w:top w:val="double" w:sz="6" w:space="0" w:color="000000"/>
            </w:tcBorders>
            <w:shd w:val="clear" w:color="auto" w:fill="FFFFFF"/>
            <w:tcMar>
              <w:top w:w="0" w:type="dxa"/>
              <w:left w:w="20" w:type="dxa"/>
              <w:bottom w:w="0" w:type="dxa"/>
              <w:right w:w="20" w:type="dxa"/>
            </w:tcMar>
          </w:tcPr>
          <w:p w14:paraId="4090EF1D"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F1E"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F1F"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F20"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F21"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F22"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F23"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EF24" w14:textId="77777777" w:rsidR="00833634" w:rsidRDefault="00833634">
            <w:pPr>
              <w:rPr>
                <w:rFonts w:ascii="宋体"/>
              </w:rPr>
            </w:pPr>
          </w:p>
        </w:tc>
      </w:tr>
      <w:tr w:rsidR="00833634" w14:paraId="4090EF32" w14:textId="77777777">
        <w:tc>
          <w:tcPr>
            <w:tcW w:w="0" w:type="auto"/>
            <w:gridSpan w:val="3"/>
            <w:shd w:val="clear" w:color="auto" w:fill="CCEEFF"/>
            <w:tcMar>
              <w:top w:w="40" w:type="dxa"/>
              <w:left w:w="20" w:type="dxa"/>
              <w:bottom w:w="40" w:type="dxa"/>
              <w:right w:w="20" w:type="dxa"/>
            </w:tcMar>
            <w:vAlign w:val="bottom"/>
          </w:tcPr>
          <w:p w14:paraId="4090EF26" w14:textId="77777777" w:rsidR="00833634" w:rsidRDefault="00E15D51">
            <w:pPr>
              <w:textAlignment w:val="bottom"/>
            </w:pPr>
            <w:r>
              <w:rPr>
                <w:rFonts w:ascii="Arial" w:eastAsia="宋体" w:hAnsi="Arial" w:cs="Arial"/>
                <w:color w:val="000000"/>
                <w:sz w:val="20"/>
                <w:szCs w:val="20"/>
              </w:rPr>
              <w:t>Revenue recognized on fixed-price contracts</w:t>
            </w:r>
          </w:p>
        </w:tc>
        <w:tc>
          <w:tcPr>
            <w:tcW w:w="0" w:type="auto"/>
            <w:gridSpan w:val="2"/>
            <w:shd w:val="clear" w:color="auto" w:fill="CCEEFF"/>
            <w:tcMar>
              <w:top w:w="40" w:type="dxa"/>
              <w:left w:w="20" w:type="dxa"/>
              <w:bottom w:w="40" w:type="dxa"/>
              <w:right w:w="0" w:type="dxa"/>
            </w:tcMar>
            <w:vAlign w:val="bottom"/>
          </w:tcPr>
          <w:p w14:paraId="4090EF27" w14:textId="77777777" w:rsidR="00833634" w:rsidRDefault="00E15D51">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F28"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4090EF2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F2A" w14:textId="77777777" w:rsidR="00833634" w:rsidRDefault="00E15D51">
            <w:pPr>
              <w:jc w:val="right"/>
              <w:textAlignment w:val="bottom"/>
            </w:pPr>
            <w:r>
              <w:rPr>
                <w:rFonts w:ascii="Arial" w:eastAsia="宋体" w:hAnsi="Arial" w:cs="Arial"/>
                <w:color w:val="000000"/>
                <w:sz w:val="20"/>
                <w:szCs w:val="20"/>
              </w:rPr>
              <w:t>100 </w:t>
            </w:r>
          </w:p>
        </w:tc>
        <w:tc>
          <w:tcPr>
            <w:tcW w:w="0" w:type="auto"/>
            <w:shd w:val="clear" w:color="auto" w:fill="CCEEFF"/>
            <w:tcMar>
              <w:top w:w="40" w:type="dxa"/>
              <w:left w:w="0" w:type="dxa"/>
              <w:bottom w:w="40" w:type="dxa"/>
              <w:right w:w="20" w:type="dxa"/>
            </w:tcMar>
            <w:vAlign w:val="bottom"/>
          </w:tcPr>
          <w:p w14:paraId="4090EF2B" w14:textId="77777777" w:rsidR="00833634" w:rsidRDefault="00E15D51">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4090EF2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F2D" w14:textId="77777777" w:rsidR="00833634" w:rsidRDefault="00E15D51">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F2E"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4090EF2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F30" w14:textId="77777777" w:rsidR="00833634" w:rsidRDefault="00E15D51">
            <w:pPr>
              <w:jc w:val="right"/>
              <w:textAlignment w:val="bottom"/>
            </w:pPr>
            <w:r>
              <w:rPr>
                <w:rFonts w:ascii="Arial" w:eastAsia="宋体" w:hAnsi="Arial" w:cs="Arial"/>
                <w:color w:val="000000"/>
                <w:sz w:val="20"/>
                <w:szCs w:val="20"/>
              </w:rPr>
              <w:t>100 </w:t>
            </w:r>
          </w:p>
        </w:tc>
        <w:tc>
          <w:tcPr>
            <w:tcW w:w="0" w:type="auto"/>
            <w:shd w:val="clear" w:color="auto" w:fill="CCEEFF"/>
            <w:tcMar>
              <w:top w:w="40" w:type="dxa"/>
              <w:left w:w="0" w:type="dxa"/>
              <w:bottom w:w="40" w:type="dxa"/>
              <w:right w:w="20" w:type="dxa"/>
            </w:tcMar>
            <w:vAlign w:val="bottom"/>
          </w:tcPr>
          <w:p w14:paraId="4090EF31" w14:textId="77777777" w:rsidR="00833634" w:rsidRDefault="00E15D51">
            <w:pPr>
              <w:jc w:val="right"/>
              <w:textAlignment w:val="bottom"/>
            </w:pPr>
            <w:r>
              <w:rPr>
                <w:rFonts w:ascii="Arial" w:eastAsia="宋体" w:hAnsi="Arial" w:cs="Arial"/>
                <w:color w:val="000000"/>
                <w:sz w:val="20"/>
                <w:szCs w:val="20"/>
              </w:rPr>
              <w:t>%</w:t>
            </w:r>
          </w:p>
        </w:tc>
      </w:tr>
      <w:tr w:rsidR="00833634" w14:paraId="4090EF3B" w14:textId="77777777">
        <w:trPr>
          <w:trHeight w:val="100"/>
        </w:trPr>
        <w:tc>
          <w:tcPr>
            <w:tcW w:w="0" w:type="auto"/>
            <w:gridSpan w:val="3"/>
            <w:shd w:val="clear" w:color="auto" w:fill="FFFFFF"/>
            <w:tcMar>
              <w:top w:w="0" w:type="dxa"/>
              <w:left w:w="20" w:type="dxa"/>
              <w:bottom w:w="0" w:type="dxa"/>
              <w:right w:w="20" w:type="dxa"/>
            </w:tcMar>
          </w:tcPr>
          <w:p w14:paraId="4090EF33"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F34"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F35"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F36"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F37"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F3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F39"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EF3A" w14:textId="77777777" w:rsidR="00833634" w:rsidRDefault="00833634">
            <w:pPr>
              <w:rPr>
                <w:rFonts w:ascii="宋体"/>
              </w:rPr>
            </w:pPr>
          </w:p>
        </w:tc>
      </w:tr>
      <w:tr w:rsidR="00833634" w14:paraId="4090EF48"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EF3C" w14:textId="77777777" w:rsidR="00833634" w:rsidRDefault="00E15D51">
            <w:pPr>
              <w:textAlignment w:val="bottom"/>
            </w:pPr>
            <w:r>
              <w:rPr>
                <w:rFonts w:ascii="Arial" w:eastAsia="宋体" w:hAnsi="Arial" w:cs="Arial"/>
                <w:color w:val="000000"/>
                <w:sz w:val="20"/>
                <w:szCs w:val="20"/>
              </w:rPr>
              <w:t>Revenue recognized at a point in time</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EF3D" w14:textId="77777777" w:rsidR="00833634" w:rsidRDefault="00E15D51">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EF3E"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EF3F"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EF40" w14:textId="77777777" w:rsidR="00833634" w:rsidRDefault="00E15D51">
            <w:pPr>
              <w:jc w:val="right"/>
              <w:textAlignment w:val="bottom"/>
            </w:pPr>
            <w:r>
              <w:rPr>
                <w:rFonts w:ascii="Arial" w:eastAsia="宋体" w:hAnsi="Arial" w:cs="Arial"/>
                <w:color w:val="000000"/>
                <w:sz w:val="20"/>
                <w:szCs w:val="20"/>
              </w:rPr>
              <w:t>100 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EF41" w14:textId="77777777" w:rsidR="00833634" w:rsidRDefault="00E15D51">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EF42"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EF43" w14:textId="77777777" w:rsidR="00833634" w:rsidRDefault="00E15D51">
            <w:pPr>
              <w:jc w:val="right"/>
              <w:textAlignment w:val="bottom"/>
            </w:pPr>
            <w:r>
              <w:rPr>
                <w:rFonts w:ascii="Arial" w:eastAsia="宋体" w:hAnsi="Arial" w:cs="Arial"/>
                <w:b/>
                <w:bCs/>
                <w:color w:val="000000"/>
                <w:sz w:val="20"/>
                <w:szCs w:val="20"/>
              </w:rPr>
              <w:t>100</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EF44"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EF45"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EF46" w14:textId="77777777" w:rsidR="00833634" w:rsidRDefault="00E15D51">
            <w:pPr>
              <w:jc w:val="right"/>
              <w:textAlignment w:val="bottom"/>
            </w:pPr>
            <w:r>
              <w:rPr>
                <w:rFonts w:ascii="Arial" w:eastAsia="宋体" w:hAnsi="Arial" w:cs="Arial"/>
                <w:color w:val="000000"/>
                <w:sz w:val="20"/>
                <w:szCs w:val="20"/>
              </w:rPr>
              <w:t>100 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EF47" w14:textId="77777777" w:rsidR="00833634" w:rsidRDefault="00E15D51">
            <w:pPr>
              <w:jc w:val="right"/>
              <w:textAlignment w:val="bottom"/>
            </w:pPr>
            <w:r>
              <w:rPr>
                <w:rFonts w:ascii="Arial" w:eastAsia="宋体" w:hAnsi="Arial" w:cs="Arial"/>
                <w:color w:val="000000"/>
                <w:sz w:val="20"/>
                <w:szCs w:val="20"/>
              </w:rPr>
              <w:t>%</w:t>
            </w:r>
          </w:p>
        </w:tc>
      </w:tr>
    </w:tbl>
    <w:p w14:paraId="4090EF49" w14:textId="77777777" w:rsidR="00833634" w:rsidRDefault="00E15D51">
      <w:pPr>
        <w:spacing w:after="180"/>
        <w:jc w:val="center"/>
      </w:pPr>
      <w:r>
        <w:rPr>
          <w:rFonts w:ascii="Arial" w:eastAsia="宋体" w:hAnsi="Arial" w:cs="Arial"/>
          <w:color w:val="000000"/>
          <w:sz w:val="18"/>
          <w:szCs w:val="18"/>
        </w:rPr>
        <w:t>32</w:t>
      </w:r>
    </w:p>
    <w:p w14:paraId="4090EF4A" w14:textId="77777777" w:rsidR="00833634" w:rsidRDefault="00E15D51">
      <w:r>
        <w:pict w14:anchorId="4090FE40">
          <v:rect id="_x0000_i1058" style="width:415.3pt;height:1.5pt" o:hralign="center" o:hrstd="t" o:hr="t" fillcolor="#a0a0a0" stroked="f"/>
        </w:pict>
      </w:r>
    </w:p>
    <w:p w14:paraId="4090EF4B" w14:textId="77777777" w:rsidR="00833634" w:rsidRDefault="00E15D51">
      <w:pPr>
        <w:spacing w:after="180"/>
        <w:jc w:val="both"/>
      </w:pPr>
      <w:hyperlink r:id="rId135" w:anchor="i8d805bfb1e1c4815a1dcd5b6d1e0b117_10" w:history="1">
        <w:r>
          <w:rPr>
            <w:rStyle w:val="a5"/>
            <w:rFonts w:ascii="Arial" w:eastAsia="宋体" w:hAnsi="Arial" w:cs="Arial"/>
            <w:sz w:val="18"/>
            <w:szCs w:val="18"/>
          </w:rPr>
          <w:t>Table of Contents</w:t>
        </w:r>
      </w:hyperlink>
    </w:p>
    <w:p w14:paraId="4090EF4C" w14:textId="77777777" w:rsidR="00833634" w:rsidRDefault="00E15D51">
      <w:pPr>
        <w:jc w:val="both"/>
      </w:pPr>
      <w:r>
        <w:rPr>
          <w:rFonts w:ascii="Arial" w:eastAsia="宋体" w:hAnsi="Arial" w:cs="Arial"/>
          <w:color w:val="000000"/>
          <w:sz w:val="20"/>
          <w:szCs w:val="20"/>
        </w:rPr>
        <w:t>BDS revenues on contracts with customers, ba</w:t>
      </w:r>
      <w:r>
        <w:rPr>
          <w:rFonts w:ascii="Arial" w:eastAsia="宋体" w:hAnsi="Arial" w:cs="Arial"/>
          <w:color w:val="000000"/>
          <w:sz w:val="20"/>
          <w:szCs w:val="20"/>
        </w:rPr>
        <w:t>sed on the customer's location, consist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4148"/>
        <w:gridCol w:w="39"/>
        <w:gridCol w:w="71"/>
        <w:gridCol w:w="729"/>
        <w:gridCol w:w="199"/>
        <w:gridCol w:w="37"/>
        <w:gridCol w:w="37"/>
        <w:gridCol w:w="36"/>
        <w:gridCol w:w="71"/>
        <w:gridCol w:w="729"/>
        <w:gridCol w:w="198"/>
        <w:gridCol w:w="36"/>
        <w:gridCol w:w="36"/>
        <w:gridCol w:w="36"/>
        <w:gridCol w:w="62"/>
        <w:gridCol w:w="627"/>
        <w:gridCol w:w="199"/>
        <w:gridCol w:w="37"/>
        <w:gridCol w:w="37"/>
        <w:gridCol w:w="36"/>
        <w:gridCol w:w="62"/>
        <w:gridCol w:w="636"/>
        <w:gridCol w:w="198"/>
      </w:tblGrid>
      <w:tr w:rsidR="00833634" w14:paraId="4090EF65" w14:textId="77777777">
        <w:tc>
          <w:tcPr>
            <w:tcW w:w="50" w:type="pct"/>
            <w:shd w:val="clear" w:color="auto" w:fill="auto"/>
          </w:tcPr>
          <w:p w14:paraId="4090EF4D" w14:textId="77777777" w:rsidR="00833634" w:rsidRDefault="00833634">
            <w:pPr>
              <w:rPr>
                <w:rFonts w:ascii="宋体"/>
              </w:rPr>
            </w:pPr>
          </w:p>
        </w:tc>
        <w:tc>
          <w:tcPr>
            <w:tcW w:w="2549" w:type="pct"/>
            <w:shd w:val="clear" w:color="auto" w:fill="auto"/>
          </w:tcPr>
          <w:p w14:paraId="4090EF4E" w14:textId="77777777" w:rsidR="00833634" w:rsidRDefault="00833634">
            <w:pPr>
              <w:rPr>
                <w:rFonts w:ascii="宋体"/>
              </w:rPr>
            </w:pPr>
          </w:p>
        </w:tc>
        <w:tc>
          <w:tcPr>
            <w:tcW w:w="5" w:type="pct"/>
            <w:shd w:val="clear" w:color="auto" w:fill="auto"/>
          </w:tcPr>
          <w:p w14:paraId="4090EF4F" w14:textId="77777777" w:rsidR="00833634" w:rsidRDefault="00833634">
            <w:pPr>
              <w:rPr>
                <w:rFonts w:ascii="宋体"/>
              </w:rPr>
            </w:pPr>
          </w:p>
        </w:tc>
        <w:tc>
          <w:tcPr>
            <w:tcW w:w="50" w:type="pct"/>
            <w:shd w:val="clear" w:color="auto" w:fill="auto"/>
          </w:tcPr>
          <w:p w14:paraId="4090EF50" w14:textId="77777777" w:rsidR="00833634" w:rsidRDefault="00833634">
            <w:pPr>
              <w:rPr>
                <w:rFonts w:ascii="宋体"/>
              </w:rPr>
            </w:pPr>
          </w:p>
        </w:tc>
        <w:tc>
          <w:tcPr>
            <w:tcW w:w="513" w:type="pct"/>
            <w:shd w:val="clear" w:color="auto" w:fill="auto"/>
          </w:tcPr>
          <w:p w14:paraId="4090EF51" w14:textId="77777777" w:rsidR="00833634" w:rsidRDefault="00833634">
            <w:pPr>
              <w:rPr>
                <w:rFonts w:ascii="宋体"/>
              </w:rPr>
            </w:pPr>
          </w:p>
        </w:tc>
        <w:tc>
          <w:tcPr>
            <w:tcW w:w="5" w:type="pct"/>
            <w:shd w:val="clear" w:color="auto" w:fill="auto"/>
          </w:tcPr>
          <w:p w14:paraId="4090EF52" w14:textId="77777777" w:rsidR="00833634" w:rsidRDefault="00833634">
            <w:pPr>
              <w:rPr>
                <w:rFonts w:ascii="宋体"/>
              </w:rPr>
            </w:pPr>
          </w:p>
        </w:tc>
        <w:tc>
          <w:tcPr>
            <w:tcW w:w="5" w:type="pct"/>
            <w:shd w:val="clear" w:color="auto" w:fill="auto"/>
          </w:tcPr>
          <w:p w14:paraId="4090EF53" w14:textId="77777777" w:rsidR="00833634" w:rsidRDefault="00833634">
            <w:pPr>
              <w:rPr>
                <w:rFonts w:ascii="宋体"/>
              </w:rPr>
            </w:pPr>
          </w:p>
        </w:tc>
        <w:tc>
          <w:tcPr>
            <w:tcW w:w="30" w:type="pct"/>
            <w:shd w:val="clear" w:color="auto" w:fill="auto"/>
          </w:tcPr>
          <w:p w14:paraId="4090EF54" w14:textId="77777777" w:rsidR="00833634" w:rsidRDefault="00833634">
            <w:pPr>
              <w:rPr>
                <w:rFonts w:ascii="宋体"/>
              </w:rPr>
            </w:pPr>
          </w:p>
        </w:tc>
        <w:tc>
          <w:tcPr>
            <w:tcW w:w="5" w:type="pct"/>
            <w:shd w:val="clear" w:color="auto" w:fill="auto"/>
          </w:tcPr>
          <w:p w14:paraId="4090EF55" w14:textId="77777777" w:rsidR="00833634" w:rsidRDefault="00833634">
            <w:pPr>
              <w:rPr>
                <w:rFonts w:ascii="宋体"/>
              </w:rPr>
            </w:pPr>
          </w:p>
        </w:tc>
        <w:tc>
          <w:tcPr>
            <w:tcW w:w="50" w:type="pct"/>
            <w:shd w:val="clear" w:color="auto" w:fill="auto"/>
          </w:tcPr>
          <w:p w14:paraId="4090EF56" w14:textId="77777777" w:rsidR="00833634" w:rsidRDefault="00833634">
            <w:pPr>
              <w:rPr>
                <w:rFonts w:ascii="宋体"/>
              </w:rPr>
            </w:pPr>
          </w:p>
        </w:tc>
        <w:tc>
          <w:tcPr>
            <w:tcW w:w="513" w:type="pct"/>
            <w:shd w:val="clear" w:color="auto" w:fill="auto"/>
          </w:tcPr>
          <w:p w14:paraId="4090EF57" w14:textId="77777777" w:rsidR="00833634" w:rsidRDefault="00833634">
            <w:pPr>
              <w:rPr>
                <w:rFonts w:ascii="宋体"/>
              </w:rPr>
            </w:pPr>
          </w:p>
        </w:tc>
        <w:tc>
          <w:tcPr>
            <w:tcW w:w="5" w:type="pct"/>
            <w:shd w:val="clear" w:color="auto" w:fill="auto"/>
          </w:tcPr>
          <w:p w14:paraId="4090EF58" w14:textId="77777777" w:rsidR="00833634" w:rsidRDefault="00833634">
            <w:pPr>
              <w:rPr>
                <w:rFonts w:ascii="宋体"/>
              </w:rPr>
            </w:pPr>
          </w:p>
        </w:tc>
        <w:tc>
          <w:tcPr>
            <w:tcW w:w="5" w:type="pct"/>
            <w:shd w:val="clear" w:color="auto" w:fill="auto"/>
          </w:tcPr>
          <w:p w14:paraId="4090EF59" w14:textId="77777777" w:rsidR="00833634" w:rsidRDefault="00833634">
            <w:pPr>
              <w:rPr>
                <w:rFonts w:ascii="宋体"/>
              </w:rPr>
            </w:pPr>
          </w:p>
        </w:tc>
        <w:tc>
          <w:tcPr>
            <w:tcW w:w="30" w:type="pct"/>
            <w:shd w:val="clear" w:color="auto" w:fill="auto"/>
          </w:tcPr>
          <w:p w14:paraId="4090EF5A" w14:textId="77777777" w:rsidR="00833634" w:rsidRDefault="00833634">
            <w:pPr>
              <w:rPr>
                <w:rFonts w:ascii="宋体"/>
              </w:rPr>
            </w:pPr>
          </w:p>
        </w:tc>
        <w:tc>
          <w:tcPr>
            <w:tcW w:w="5" w:type="pct"/>
            <w:shd w:val="clear" w:color="auto" w:fill="auto"/>
          </w:tcPr>
          <w:p w14:paraId="4090EF5B" w14:textId="77777777" w:rsidR="00833634" w:rsidRDefault="00833634">
            <w:pPr>
              <w:rPr>
                <w:rFonts w:ascii="宋体"/>
              </w:rPr>
            </w:pPr>
          </w:p>
        </w:tc>
        <w:tc>
          <w:tcPr>
            <w:tcW w:w="50" w:type="pct"/>
            <w:shd w:val="clear" w:color="auto" w:fill="auto"/>
          </w:tcPr>
          <w:p w14:paraId="4090EF5C" w14:textId="77777777" w:rsidR="00833634" w:rsidRDefault="00833634">
            <w:pPr>
              <w:rPr>
                <w:rFonts w:ascii="宋体"/>
              </w:rPr>
            </w:pPr>
          </w:p>
        </w:tc>
        <w:tc>
          <w:tcPr>
            <w:tcW w:w="513" w:type="pct"/>
            <w:shd w:val="clear" w:color="auto" w:fill="auto"/>
          </w:tcPr>
          <w:p w14:paraId="4090EF5D" w14:textId="77777777" w:rsidR="00833634" w:rsidRDefault="00833634">
            <w:pPr>
              <w:rPr>
                <w:rFonts w:ascii="宋体"/>
              </w:rPr>
            </w:pPr>
          </w:p>
        </w:tc>
        <w:tc>
          <w:tcPr>
            <w:tcW w:w="5" w:type="pct"/>
            <w:shd w:val="clear" w:color="auto" w:fill="auto"/>
          </w:tcPr>
          <w:p w14:paraId="4090EF5E" w14:textId="77777777" w:rsidR="00833634" w:rsidRDefault="00833634">
            <w:pPr>
              <w:rPr>
                <w:rFonts w:ascii="宋体"/>
              </w:rPr>
            </w:pPr>
          </w:p>
        </w:tc>
        <w:tc>
          <w:tcPr>
            <w:tcW w:w="5" w:type="pct"/>
            <w:shd w:val="clear" w:color="auto" w:fill="auto"/>
          </w:tcPr>
          <w:p w14:paraId="4090EF5F" w14:textId="77777777" w:rsidR="00833634" w:rsidRDefault="00833634">
            <w:pPr>
              <w:rPr>
                <w:rFonts w:ascii="宋体"/>
              </w:rPr>
            </w:pPr>
          </w:p>
        </w:tc>
        <w:tc>
          <w:tcPr>
            <w:tcW w:w="30" w:type="pct"/>
            <w:shd w:val="clear" w:color="auto" w:fill="auto"/>
          </w:tcPr>
          <w:p w14:paraId="4090EF60" w14:textId="77777777" w:rsidR="00833634" w:rsidRDefault="00833634">
            <w:pPr>
              <w:rPr>
                <w:rFonts w:ascii="宋体"/>
              </w:rPr>
            </w:pPr>
          </w:p>
        </w:tc>
        <w:tc>
          <w:tcPr>
            <w:tcW w:w="5" w:type="pct"/>
            <w:shd w:val="clear" w:color="auto" w:fill="auto"/>
          </w:tcPr>
          <w:p w14:paraId="4090EF61" w14:textId="77777777" w:rsidR="00833634" w:rsidRDefault="00833634">
            <w:pPr>
              <w:rPr>
                <w:rFonts w:ascii="宋体"/>
              </w:rPr>
            </w:pPr>
          </w:p>
        </w:tc>
        <w:tc>
          <w:tcPr>
            <w:tcW w:w="50" w:type="pct"/>
            <w:shd w:val="clear" w:color="auto" w:fill="auto"/>
          </w:tcPr>
          <w:p w14:paraId="4090EF62" w14:textId="77777777" w:rsidR="00833634" w:rsidRDefault="00833634">
            <w:pPr>
              <w:rPr>
                <w:rFonts w:ascii="宋体"/>
              </w:rPr>
            </w:pPr>
          </w:p>
        </w:tc>
        <w:tc>
          <w:tcPr>
            <w:tcW w:w="513" w:type="pct"/>
            <w:shd w:val="clear" w:color="auto" w:fill="auto"/>
          </w:tcPr>
          <w:p w14:paraId="4090EF63" w14:textId="77777777" w:rsidR="00833634" w:rsidRDefault="00833634">
            <w:pPr>
              <w:rPr>
                <w:rFonts w:ascii="宋体"/>
              </w:rPr>
            </w:pPr>
          </w:p>
        </w:tc>
        <w:tc>
          <w:tcPr>
            <w:tcW w:w="5" w:type="pct"/>
            <w:shd w:val="clear" w:color="auto" w:fill="auto"/>
          </w:tcPr>
          <w:p w14:paraId="4090EF64" w14:textId="77777777" w:rsidR="00833634" w:rsidRDefault="00833634">
            <w:pPr>
              <w:rPr>
                <w:rFonts w:ascii="宋体"/>
              </w:rPr>
            </w:pPr>
          </w:p>
        </w:tc>
      </w:tr>
      <w:tr w:rsidR="00833634" w14:paraId="4090EF6A" w14:textId="77777777">
        <w:tc>
          <w:tcPr>
            <w:tcW w:w="0" w:type="auto"/>
            <w:gridSpan w:val="3"/>
            <w:shd w:val="clear" w:color="auto" w:fill="auto"/>
            <w:tcMar>
              <w:top w:w="40" w:type="dxa"/>
              <w:left w:w="20" w:type="dxa"/>
              <w:bottom w:w="40" w:type="dxa"/>
              <w:right w:w="20" w:type="dxa"/>
            </w:tcMar>
            <w:vAlign w:val="bottom"/>
          </w:tcPr>
          <w:p w14:paraId="4090EF66"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EF67"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EF68"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EF69"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EF73"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EF6B"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F6C" w14:textId="77777777" w:rsidR="00833634" w:rsidRDefault="00E15D51">
            <w:pPr>
              <w:jc w:val="center"/>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F6D"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F6E" w14:textId="77777777" w:rsidR="00833634" w:rsidRDefault="00E15D51">
            <w:pPr>
              <w:jc w:val="center"/>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EF6F"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F70" w14:textId="77777777" w:rsidR="00833634" w:rsidRDefault="00E15D51">
            <w:pPr>
              <w:jc w:val="center"/>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EF71"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EF72" w14:textId="77777777" w:rsidR="00833634" w:rsidRDefault="00E15D51">
            <w:pPr>
              <w:jc w:val="center"/>
              <w:textAlignment w:val="bottom"/>
            </w:pPr>
            <w:r>
              <w:rPr>
                <w:rFonts w:ascii="Arial" w:eastAsia="宋体" w:hAnsi="Arial" w:cs="Arial"/>
                <w:color w:val="000000"/>
                <w:sz w:val="20"/>
                <w:szCs w:val="20"/>
              </w:rPr>
              <w:t>2019</w:t>
            </w:r>
          </w:p>
        </w:tc>
      </w:tr>
      <w:tr w:rsidR="00833634" w14:paraId="4090EF7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EF74" w14:textId="77777777" w:rsidR="00833634" w:rsidRDefault="00E15D51">
            <w:pPr>
              <w:textAlignment w:val="bottom"/>
            </w:pPr>
            <w:r>
              <w:rPr>
                <w:rFonts w:ascii="Arial" w:eastAsia="宋体" w:hAnsi="Arial" w:cs="Arial"/>
                <w:color w:val="000000"/>
                <w:sz w:val="20"/>
                <w:szCs w:val="20"/>
              </w:rPr>
              <w:t>Revenue from contracts with customers:</w:t>
            </w:r>
          </w:p>
        </w:tc>
        <w:tc>
          <w:tcPr>
            <w:tcW w:w="0" w:type="auto"/>
            <w:gridSpan w:val="3"/>
            <w:tcBorders>
              <w:top w:val="single" w:sz="8" w:space="0" w:color="000000"/>
            </w:tcBorders>
            <w:shd w:val="clear" w:color="auto" w:fill="CCEEFF"/>
            <w:tcMar>
              <w:top w:w="0" w:type="dxa"/>
              <w:left w:w="20" w:type="dxa"/>
              <w:bottom w:w="0" w:type="dxa"/>
              <w:right w:w="20" w:type="dxa"/>
            </w:tcMar>
          </w:tcPr>
          <w:p w14:paraId="4090EF75"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F76"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F77"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F78"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F79"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F7A"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EF7B" w14:textId="77777777" w:rsidR="00833634" w:rsidRDefault="00833634">
            <w:pPr>
              <w:rPr>
                <w:rFonts w:ascii="宋体"/>
              </w:rPr>
            </w:pPr>
          </w:p>
        </w:tc>
      </w:tr>
      <w:tr w:rsidR="00833634" w14:paraId="4090EF89" w14:textId="77777777">
        <w:tc>
          <w:tcPr>
            <w:tcW w:w="0" w:type="auto"/>
            <w:gridSpan w:val="3"/>
            <w:shd w:val="clear" w:color="auto" w:fill="FFFFFF"/>
            <w:tcMar>
              <w:top w:w="40" w:type="dxa"/>
              <w:left w:w="225" w:type="dxa"/>
              <w:bottom w:w="40" w:type="dxa"/>
              <w:right w:w="20" w:type="dxa"/>
            </w:tcMar>
            <w:vAlign w:val="bottom"/>
          </w:tcPr>
          <w:p w14:paraId="4090EF7D" w14:textId="77777777" w:rsidR="00833634" w:rsidRDefault="00E15D51">
            <w:pPr>
              <w:textAlignment w:val="bottom"/>
            </w:pPr>
            <w:r>
              <w:rPr>
                <w:rFonts w:ascii="Arial" w:eastAsia="宋体" w:hAnsi="Arial" w:cs="Arial"/>
                <w:color w:val="000000"/>
                <w:sz w:val="20"/>
                <w:szCs w:val="20"/>
              </w:rPr>
              <w:t>U.S. customers</w:t>
            </w:r>
          </w:p>
        </w:tc>
        <w:tc>
          <w:tcPr>
            <w:tcW w:w="0" w:type="auto"/>
            <w:gridSpan w:val="2"/>
            <w:shd w:val="clear" w:color="auto" w:fill="FFFFFF"/>
            <w:tcMar>
              <w:top w:w="40" w:type="dxa"/>
              <w:left w:w="20" w:type="dxa"/>
              <w:bottom w:w="40" w:type="dxa"/>
              <w:right w:w="0" w:type="dxa"/>
            </w:tcMar>
            <w:vAlign w:val="bottom"/>
          </w:tcPr>
          <w:p w14:paraId="4090EF7E" w14:textId="77777777" w:rsidR="00833634" w:rsidRDefault="00E15D51">
            <w:pPr>
              <w:jc w:val="right"/>
              <w:textAlignment w:val="bottom"/>
            </w:pPr>
            <w:r>
              <w:rPr>
                <w:rFonts w:ascii="Arial" w:eastAsia="宋体" w:hAnsi="Arial" w:cs="Arial"/>
                <w:b/>
                <w:bCs/>
                <w:color w:val="000000"/>
                <w:sz w:val="20"/>
                <w:szCs w:val="20"/>
              </w:rPr>
              <w:t>$14,465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F7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F8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81" w14:textId="77777777" w:rsidR="00833634" w:rsidRDefault="00E15D51">
            <w:pPr>
              <w:jc w:val="right"/>
              <w:textAlignment w:val="bottom"/>
            </w:pPr>
            <w:r>
              <w:rPr>
                <w:rFonts w:ascii="Arial" w:eastAsia="宋体" w:hAnsi="Arial" w:cs="Arial"/>
                <w:color w:val="000000"/>
                <w:sz w:val="20"/>
                <w:szCs w:val="20"/>
              </w:rPr>
              <w:t>$15,141 </w:t>
            </w:r>
          </w:p>
        </w:tc>
        <w:tc>
          <w:tcPr>
            <w:tcW w:w="0" w:type="auto"/>
            <w:shd w:val="clear" w:color="auto" w:fill="FFFFFF"/>
            <w:tcMar>
              <w:top w:w="40" w:type="dxa"/>
              <w:left w:w="0" w:type="dxa"/>
              <w:bottom w:w="40" w:type="dxa"/>
              <w:right w:w="20" w:type="dxa"/>
            </w:tcMar>
            <w:vAlign w:val="bottom"/>
          </w:tcPr>
          <w:p w14:paraId="4090EF8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F8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84" w14:textId="77777777" w:rsidR="00833634" w:rsidRDefault="00E15D51">
            <w:pPr>
              <w:jc w:val="right"/>
              <w:textAlignment w:val="bottom"/>
            </w:pPr>
            <w:r>
              <w:rPr>
                <w:rFonts w:ascii="Arial" w:eastAsia="宋体" w:hAnsi="Arial" w:cs="Arial"/>
                <w:b/>
                <w:bCs/>
                <w:color w:val="000000"/>
                <w:sz w:val="20"/>
                <w:szCs w:val="20"/>
              </w:rPr>
              <w:t>$5,312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F8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EF8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87" w14:textId="77777777" w:rsidR="00833634" w:rsidRDefault="00E15D51">
            <w:pPr>
              <w:jc w:val="right"/>
              <w:textAlignment w:val="bottom"/>
            </w:pPr>
            <w:r>
              <w:rPr>
                <w:rFonts w:ascii="Arial" w:eastAsia="宋体" w:hAnsi="Arial" w:cs="Arial"/>
                <w:color w:val="000000"/>
                <w:sz w:val="20"/>
                <w:szCs w:val="20"/>
              </w:rPr>
              <w:t>$5,422 </w:t>
            </w:r>
          </w:p>
        </w:tc>
        <w:tc>
          <w:tcPr>
            <w:tcW w:w="0" w:type="auto"/>
            <w:shd w:val="clear" w:color="auto" w:fill="FFFFFF"/>
            <w:tcMar>
              <w:top w:w="40" w:type="dxa"/>
              <w:left w:w="0" w:type="dxa"/>
              <w:bottom w:w="40" w:type="dxa"/>
              <w:right w:w="20" w:type="dxa"/>
            </w:tcMar>
            <w:vAlign w:val="bottom"/>
          </w:tcPr>
          <w:p w14:paraId="4090EF88" w14:textId="77777777" w:rsidR="00833634" w:rsidRDefault="00833634">
            <w:pPr>
              <w:jc w:val="right"/>
              <w:rPr>
                <w:rFonts w:ascii="宋体"/>
              </w:rPr>
            </w:pPr>
          </w:p>
        </w:tc>
      </w:tr>
      <w:tr w:rsidR="00833634" w14:paraId="4090EF96" w14:textId="77777777">
        <w:tc>
          <w:tcPr>
            <w:tcW w:w="0" w:type="auto"/>
            <w:gridSpan w:val="3"/>
            <w:shd w:val="clear" w:color="auto" w:fill="CCEEFF"/>
            <w:tcMar>
              <w:top w:w="40" w:type="dxa"/>
              <w:left w:w="20" w:type="dxa"/>
              <w:bottom w:w="40" w:type="dxa"/>
              <w:right w:w="20" w:type="dxa"/>
            </w:tcMar>
            <w:vAlign w:val="bottom"/>
          </w:tcPr>
          <w:p w14:paraId="4090EF8A" w14:textId="77777777" w:rsidR="00833634" w:rsidRDefault="00E15D51">
            <w:pPr>
              <w:textAlignment w:val="bottom"/>
            </w:pPr>
            <w:r>
              <w:rPr>
                <w:rFonts w:ascii="Arial" w:eastAsia="宋体" w:hAnsi="Arial" w:cs="Arial"/>
                <w:color w:val="000000"/>
                <w:sz w:val="20"/>
                <w:szCs w:val="20"/>
              </w:rPr>
              <w:t>Non U.S. customers</w:t>
            </w:r>
            <w:r>
              <w:rPr>
                <w:rFonts w:ascii="Arial" w:eastAsia="宋体" w:hAnsi="Arial" w:cs="Arial"/>
                <w:color w:val="000000"/>
                <w:sz w:val="13"/>
                <w:szCs w:val="13"/>
              </w:rPr>
              <w:t>(1)</w:t>
            </w:r>
          </w:p>
        </w:tc>
        <w:tc>
          <w:tcPr>
            <w:tcW w:w="0" w:type="auto"/>
            <w:gridSpan w:val="2"/>
            <w:shd w:val="clear" w:color="auto" w:fill="CCEEFF"/>
            <w:tcMar>
              <w:top w:w="40" w:type="dxa"/>
              <w:left w:w="20" w:type="dxa"/>
              <w:bottom w:w="40" w:type="dxa"/>
              <w:right w:w="0" w:type="dxa"/>
            </w:tcMar>
            <w:vAlign w:val="bottom"/>
          </w:tcPr>
          <w:p w14:paraId="4090EF8B" w14:textId="77777777" w:rsidR="00833634" w:rsidRDefault="00E15D51">
            <w:pPr>
              <w:jc w:val="right"/>
              <w:textAlignment w:val="bottom"/>
            </w:pPr>
            <w:r>
              <w:rPr>
                <w:rFonts w:ascii="Arial" w:eastAsia="宋体" w:hAnsi="Arial" w:cs="Arial"/>
                <w:b/>
                <w:bCs/>
                <w:color w:val="000000"/>
                <w:sz w:val="20"/>
                <w:szCs w:val="20"/>
              </w:rPr>
              <w:t>5,013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F8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F8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F8E" w14:textId="77777777" w:rsidR="00833634" w:rsidRDefault="00E15D51">
            <w:pPr>
              <w:jc w:val="right"/>
              <w:textAlignment w:val="bottom"/>
            </w:pPr>
            <w:r>
              <w:rPr>
                <w:rFonts w:ascii="Arial" w:eastAsia="宋体" w:hAnsi="Arial" w:cs="Arial"/>
                <w:color w:val="000000"/>
                <w:sz w:val="20"/>
                <w:szCs w:val="20"/>
              </w:rPr>
              <w:t>5,027 </w:t>
            </w:r>
          </w:p>
        </w:tc>
        <w:tc>
          <w:tcPr>
            <w:tcW w:w="0" w:type="auto"/>
            <w:shd w:val="clear" w:color="auto" w:fill="CCEEFF"/>
            <w:tcMar>
              <w:top w:w="40" w:type="dxa"/>
              <w:left w:w="0" w:type="dxa"/>
              <w:bottom w:w="40" w:type="dxa"/>
              <w:right w:w="20" w:type="dxa"/>
            </w:tcMar>
            <w:vAlign w:val="bottom"/>
          </w:tcPr>
          <w:p w14:paraId="4090EF8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F9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F91" w14:textId="77777777" w:rsidR="00833634" w:rsidRDefault="00E15D51">
            <w:pPr>
              <w:jc w:val="right"/>
              <w:textAlignment w:val="bottom"/>
            </w:pPr>
            <w:r>
              <w:rPr>
                <w:rFonts w:ascii="Arial" w:eastAsia="宋体" w:hAnsi="Arial" w:cs="Arial"/>
                <w:b/>
                <w:bCs/>
                <w:color w:val="000000"/>
                <w:sz w:val="20"/>
                <w:szCs w:val="20"/>
              </w:rPr>
              <w:t>1,536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EF9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EF9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EF94" w14:textId="77777777" w:rsidR="00833634" w:rsidRDefault="00E15D51">
            <w:pPr>
              <w:jc w:val="right"/>
              <w:textAlignment w:val="bottom"/>
            </w:pPr>
            <w:r>
              <w:rPr>
                <w:rFonts w:ascii="Arial" w:eastAsia="宋体" w:hAnsi="Arial" w:cs="Arial"/>
                <w:color w:val="000000"/>
                <w:sz w:val="20"/>
                <w:szCs w:val="20"/>
              </w:rPr>
              <w:t>1,580 </w:t>
            </w:r>
          </w:p>
        </w:tc>
        <w:tc>
          <w:tcPr>
            <w:tcW w:w="0" w:type="auto"/>
            <w:shd w:val="clear" w:color="auto" w:fill="CCEEFF"/>
            <w:tcMar>
              <w:top w:w="40" w:type="dxa"/>
              <w:left w:w="0" w:type="dxa"/>
              <w:bottom w:w="40" w:type="dxa"/>
              <w:right w:w="20" w:type="dxa"/>
            </w:tcMar>
            <w:vAlign w:val="bottom"/>
          </w:tcPr>
          <w:p w14:paraId="4090EF95" w14:textId="77777777" w:rsidR="00833634" w:rsidRDefault="00833634">
            <w:pPr>
              <w:jc w:val="right"/>
              <w:rPr>
                <w:rFonts w:ascii="宋体"/>
              </w:rPr>
            </w:pPr>
          </w:p>
        </w:tc>
      </w:tr>
      <w:tr w:rsidR="00833634" w14:paraId="4090EFA3"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EF97" w14:textId="77777777" w:rsidR="00833634" w:rsidRDefault="00E15D51">
            <w:pPr>
              <w:textAlignment w:val="bottom"/>
            </w:pPr>
            <w:r>
              <w:rPr>
                <w:rFonts w:ascii="Arial" w:eastAsia="宋体" w:hAnsi="Arial" w:cs="Arial"/>
                <w:color w:val="000000"/>
                <w:sz w:val="20"/>
                <w:szCs w:val="20"/>
              </w:rPr>
              <w:t>Total segment revenue from contracts with customers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F98" w14:textId="77777777" w:rsidR="00833634" w:rsidRDefault="00E15D51">
            <w:pPr>
              <w:jc w:val="right"/>
              <w:textAlignment w:val="bottom"/>
            </w:pPr>
            <w:r>
              <w:rPr>
                <w:rFonts w:ascii="Arial" w:eastAsia="宋体" w:hAnsi="Arial" w:cs="Arial"/>
                <w:b/>
                <w:bCs/>
                <w:color w:val="000000"/>
                <w:sz w:val="20"/>
                <w:szCs w:val="20"/>
              </w:rPr>
              <w:t>$19,478</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F99"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F9A"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F9B" w14:textId="77777777" w:rsidR="00833634" w:rsidRDefault="00E15D51">
            <w:pPr>
              <w:jc w:val="right"/>
              <w:textAlignment w:val="bottom"/>
            </w:pPr>
            <w:r>
              <w:rPr>
                <w:rFonts w:ascii="Arial" w:eastAsia="宋体" w:hAnsi="Arial" w:cs="Arial"/>
                <w:color w:val="000000"/>
                <w:sz w:val="20"/>
                <w:szCs w:val="20"/>
              </w:rPr>
              <w:t>$20,168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F9C"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F9D"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F9E" w14:textId="77777777" w:rsidR="00833634" w:rsidRDefault="00E15D51">
            <w:pPr>
              <w:jc w:val="right"/>
              <w:textAlignment w:val="bottom"/>
            </w:pPr>
            <w:r>
              <w:rPr>
                <w:rFonts w:ascii="Arial" w:eastAsia="宋体" w:hAnsi="Arial" w:cs="Arial"/>
                <w:b/>
                <w:bCs/>
                <w:color w:val="000000"/>
                <w:sz w:val="20"/>
                <w:szCs w:val="20"/>
              </w:rPr>
              <w:t>$6,848</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F9F"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EFA0"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EFA1" w14:textId="77777777" w:rsidR="00833634" w:rsidRDefault="00E15D51">
            <w:pPr>
              <w:jc w:val="right"/>
              <w:textAlignment w:val="bottom"/>
            </w:pPr>
            <w:r>
              <w:rPr>
                <w:rFonts w:ascii="Arial" w:eastAsia="宋体" w:hAnsi="Arial" w:cs="Arial"/>
                <w:color w:val="000000"/>
                <w:sz w:val="20"/>
                <w:szCs w:val="20"/>
              </w:rPr>
              <w:t>$7,002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EFA2" w14:textId="77777777" w:rsidR="00833634" w:rsidRDefault="00833634">
            <w:pPr>
              <w:jc w:val="right"/>
              <w:rPr>
                <w:rFonts w:ascii="宋体"/>
              </w:rPr>
            </w:pPr>
          </w:p>
        </w:tc>
      </w:tr>
      <w:tr w:rsidR="00833634" w14:paraId="4090EFAC" w14:textId="77777777">
        <w:trPr>
          <w:trHeight w:val="120"/>
        </w:trPr>
        <w:tc>
          <w:tcPr>
            <w:tcW w:w="0" w:type="auto"/>
            <w:gridSpan w:val="3"/>
            <w:tcBorders>
              <w:top w:val="double" w:sz="6" w:space="0" w:color="000000"/>
            </w:tcBorders>
            <w:shd w:val="clear" w:color="auto" w:fill="CCEEFF"/>
            <w:tcMar>
              <w:top w:w="0" w:type="dxa"/>
              <w:left w:w="20" w:type="dxa"/>
              <w:bottom w:w="0" w:type="dxa"/>
              <w:right w:w="20" w:type="dxa"/>
            </w:tcMar>
          </w:tcPr>
          <w:p w14:paraId="4090EFA4"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EFA5"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EFA6"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EFA7"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EFA8"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EFA9"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EFAA"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EFAB" w14:textId="77777777" w:rsidR="00833634" w:rsidRDefault="00833634">
            <w:pPr>
              <w:rPr>
                <w:rFonts w:ascii="宋体"/>
              </w:rPr>
            </w:pPr>
          </w:p>
        </w:tc>
      </w:tr>
      <w:tr w:rsidR="00833634" w14:paraId="4090EFB9" w14:textId="77777777">
        <w:tc>
          <w:tcPr>
            <w:tcW w:w="0" w:type="auto"/>
            <w:gridSpan w:val="3"/>
            <w:shd w:val="clear" w:color="auto" w:fill="FFFFFF"/>
            <w:tcMar>
              <w:top w:w="40" w:type="dxa"/>
              <w:left w:w="20" w:type="dxa"/>
              <w:bottom w:w="40" w:type="dxa"/>
              <w:right w:w="20" w:type="dxa"/>
            </w:tcMar>
            <w:vAlign w:val="bottom"/>
          </w:tcPr>
          <w:p w14:paraId="4090EFAD" w14:textId="77777777" w:rsidR="00833634" w:rsidRDefault="00E15D51">
            <w:pPr>
              <w:textAlignment w:val="bottom"/>
            </w:pPr>
            <w:r>
              <w:rPr>
                <w:rFonts w:ascii="Arial" w:eastAsia="宋体" w:hAnsi="Arial" w:cs="Arial"/>
                <w:color w:val="000000"/>
                <w:sz w:val="20"/>
                <w:szCs w:val="20"/>
              </w:rPr>
              <w:t>Revenue recognized over time</w:t>
            </w:r>
          </w:p>
        </w:tc>
        <w:tc>
          <w:tcPr>
            <w:tcW w:w="0" w:type="auto"/>
            <w:gridSpan w:val="2"/>
            <w:shd w:val="clear" w:color="auto" w:fill="FFFFFF"/>
            <w:tcMar>
              <w:top w:w="40" w:type="dxa"/>
              <w:left w:w="20" w:type="dxa"/>
              <w:bottom w:w="40" w:type="dxa"/>
              <w:right w:w="0" w:type="dxa"/>
            </w:tcMar>
            <w:vAlign w:val="bottom"/>
          </w:tcPr>
          <w:p w14:paraId="4090EFAE" w14:textId="77777777" w:rsidR="00833634" w:rsidRDefault="00E15D51">
            <w:pPr>
              <w:jc w:val="right"/>
              <w:textAlignment w:val="bottom"/>
            </w:pPr>
            <w:r>
              <w:rPr>
                <w:rFonts w:ascii="Arial" w:eastAsia="宋体" w:hAnsi="Arial" w:cs="Arial"/>
                <w:b/>
                <w:bCs/>
                <w:color w:val="000000"/>
                <w:sz w:val="20"/>
                <w:szCs w:val="20"/>
              </w:rPr>
              <w:t>99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FAF"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EFB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B1" w14:textId="77777777" w:rsidR="00833634" w:rsidRDefault="00E15D51">
            <w:pPr>
              <w:jc w:val="right"/>
              <w:textAlignment w:val="bottom"/>
            </w:pPr>
            <w:r>
              <w:rPr>
                <w:rFonts w:ascii="Arial" w:eastAsia="宋体" w:hAnsi="Arial" w:cs="Arial"/>
                <w:color w:val="000000"/>
                <w:sz w:val="20"/>
                <w:szCs w:val="20"/>
              </w:rPr>
              <w:t>98 </w:t>
            </w:r>
          </w:p>
        </w:tc>
        <w:tc>
          <w:tcPr>
            <w:tcW w:w="0" w:type="auto"/>
            <w:shd w:val="clear" w:color="auto" w:fill="FFFFFF"/>
            <w:tcMar>
              <w:top w:w="40" w:type="dxa"/>
              <w:left w:w="0" w:type="dxa"/>
              <w:bottom w:w="40" w:type="dxa"/>
              <w:right w:w="20" w:type="dxa"/>
            </w:tcMar>
            <w:vAlign w:val="bottom"/>
          </w:tcPr>
          <w:p w14:paraId="4090EFB2" w14:textId="77777777" w:rsidR="00833634" w:rsidRDefault="00E15D51">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4090EFB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B4" w14:textId="77777777" w:rsidR="00833634" w:rsidRDefault="00E15D51">
            <w:pPr>
              <w:jc w:val="right"/>
              <w:textAlignment w:val="bottom"/>
            </w:pPr>
            <w:r>
              <w:rPr>
                <w:rFonts w:ascii="Arial" w:eastAsia="宋体" w:hAnsi="Arial" w:cs="Arial"/>
                <w:b/>
                <w:bCs/>
                <w:color w:val="000000"/>
                <w:sz w:val="20"/>
                <w:szCs w:val="20"/>
              </w:rPr>
              <w:t>99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FB5"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EFB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B7" w14:textId="77777777" w:rsidR="00833634" w:rsidRDefault="00E15D51">
            <w:pPr>
              <w:jc w:val="right"/>
              <w:textAlignment w:val="bottom"/>
            </w:pPr>
            <w:r>
              <w:rPr>
                <w:rFonts w:ascii="Arial" w:eastAsia="宋体" w:hAnsi="Arial" w:cs="Arial"/>
                <w:color w:val="000000"/>
                <w:sz w:val="20"/>
                <w:szCs w:val="20"/>
              </w:rPr>
              <w:t>97 </w:t>
            </w:r>
          </w:p>
        </w:tc>
        <w:tc>
          <w:tcPr>
            <w:tcW w:w="0" w:type="auto"/>
            <w:shd w:val="clear" w:color="auto" w:fill="FFFFFF"/>
            <w:tcMar>
              <w:top w:w="40" w:type="dxa"/>
              <w:left w:w="0" w:type="dxa"/>
              <w:bottom w:w="40" w:type="dxa"/>
              <w:right w:w="20" w:type="dxa"/>
            </w:tcMar>
            <w:vAlign w:val="bottom"/>
          </w:tcPr>
          <w:p w14:paraId="4090EFB8" w14:textId="77777777" w:rsidR="00833634" w:rsidRDefault="00E15D51">
            <w:pPr>
              <w:jc w:val="right"/>
              <w:textAlignment w:val="bottom"/>
            </w:pPr>
            <w:r>
              <w:rPr>
                <w:rFonts w:ascii="Arial" w:eastAsia="宋体" w:hAnsi="Arial" w:cs="Arial"/>
                <w:color w:val="000000"/>
                <w:sz w:val="20"/>
                <w:szCs w:val="20"/>
              </w:rPr>
              <w:t>%</w:t>
            </w:r>
          </w:p>
        </w:tc>
      </w:tr>
      <w:tr w:rsidR="00833634" w14:paraId="4090EFC2" w14:textId="77777777">
        <w:trPr>
          <w:trHeight w:val="100"/>
        </w:trPr>
        <w:tc>
          <w:tcPr>
            <w:tcW w:w="0" w:type="auto"/>
            <w:gridSpan w:val="3"/>
            <w:shd w:val="clear" w:color="auto" w:fill="CCEEFF"/>
            <w:tcMar>
              <w:top w:w="0" w:type="dxa"/>
              <w:left w:w="20" w:type="dxa"/>
              <w:bottom w:w="0" w:type="dxa"/>
              <w:right w:w="20" w:type="dxa"/>
            </w:tcMar>
          </w:tcPr>
          <w:p w14:paraId="4090EFBA"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B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BC"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BD"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BE"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B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C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C1" w14:textId="77777777" w:rsidR="00833634" w:rsidRDefault="00833634">
            <w:pPr>
              <w:rPr>
                <w:rFonts w:ascii="宋体"/>
              </w:rPr>
            </w:pPr>
          </w:p>
        </w:tc>
      </w:tr>
      <w:tr w:rsidR="00833634" w14:paraId="4090EFCF" w14:textId="77777777">
        <w:tc>
          <w:tcPr>
            <w:tcW w:w="0" w:type="auto"/>
            <w:gridSpan w:val="3"/>
            <w:shd w:val="clear" w:color="auto" w:fill="FFFFFF"/>
            <w:tcMar>
              <w:top w:w="40" w:type="dxa"/>
              <w:left w:w="20" w:type="dxa"/>
              <w:bottom w:w="40" w:type="dxa"/>
              <w:right w:w="20" w:type="dxa"/>
            </w:tcMar>
            <w:vAlign w:val="bottom"/>
          </w:tcPr>
          <w:p w14:paraId="4090EFC3" w14:textId="77777777" w:rsidR="00833634" w:rsidRDefault="00E15D51">
            <w:pPr>
              <w:textAlignment w:val="bottom"/>
            </w:pPr>
            <w:r>
              <w:rPr>
                <w:rFonts w:ascii="Arial" w:eastAsia="宋体" w:hAnsi="Arial" w:cs="Arial"/>
                <w:color w:val="000000"/>
                <w:sz w:val="20"/>
                <w:szCs w:val="20"/>
              </w:rPr>
              <w:t>Revenue recognized on fixed-price contracts</w:t>
            </w:r>
          </w:p>
        </w:tc>
        <w:tc>
          <w:tcPr>
            <w:tcW w:w="0" w:type="auto"/>
            <w:gridSpan w:val="2"/>
            <w:shd w:val="clear" w:color="auto" w:fill="FFFFFF"/>
            <w:tcMar>
              <w:top w:w="40" w:type="dxa"/>
              <w:left w:w="20" w:type="dxa"/>
              <w:bottom w:w="40" w:type="dxa"/>
              <w:right w:w="0" w:type="dxa"/>
            </w:tcMar>
            <w:vAlign w:val="bottom"/>
          </w:tcPr>
          <w:p w14:paraId="4090EFC4" w14:textId="77777777" w:rsidR="00833634" w:rsidRDefault="00E15D51">
            <w:pPr>
              <w:jc w:val="right"/>
              <w:textAlignment w:val="bottom"/>
            </w:pPr>
            <w:r>
              <w:rPr>
                <w:rFonts w:ascii="Arial" w:eastAsia="宋体" w:hAnsi="Arial" w:cs="Arial"/>
                <w:b/>
                <w:bCs/>
                <w:color w:val="000000"/>
                <w:sz w:val="20"/>
                <w:szCs w:val="20"/>
              </w:rPr>
              <w:t>68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FC5"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EFC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C7" w14:textId="77777777" w:rsidR="00833634" w:rsidRDefault="00E15D51">
            <w:pPr>
              <w:jc w:val="right"/>
              <w:textAlignment w:val="bottom"/>
            </w:pPr>
            <w:r>
              <w:rPr>
                <w:rFonts w:ascii="Arial" w:eastAsia="宋体" w:hAnsi="Arial" w:cs="Arial"/>
                <w:color w:val="000000"/>
                <w:sz w:val="20"/>
                <w:szCs w:val="20"/>
              </w:rPr>
              <w:t>69 </w:t>
            </w:r>
          </w:p>
        </w:tc>
        <w:tc>
          <w:tcPr>
            <w:tcW w:w="0" w:type="auto"/>
            <w:shd w:val="clear" w:color="auto" w:fill="FFFFFF"/>
            <w:tcMar>
              <w:top w:w="40" w:type="dxa"/>
              <w:left w:w="0" w:type="dxa"/>
              <w:bottom w:w="40" w:type="dxa"/>
              <w:right w:w="20" w:type="dxa"/>
            </w:tcMar>
            <w:vAlign w:val="bottom"/>
          </w:tcPr>
          <w:p w14:paraId="4090EFC8" w14:textId="77777777" w:rsidR="00833634" w:rsidRDefault="00E15D51">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4090EFC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CA" w14:textId="77777777" w:rsidR="00833634" w:rsidRDefault="00E15D51">
            <w:pPr>
              <w:jc w:val="right"/>
              <w:textAlignment w:val="bottom"/>
            </w:pPr>
            <w:r>
              <w:rPr>
                <w:rFonts w:ascii="Arial" w:eastAsia="宋体" w:hAnsi="Arial" w:cs="Arial"/>
                <w:b/>
                <w:bCs/>
                <w:color w:val="000000"/>
                <w:sz w:val="20"/>
                <w:szCs w:val="20"/>
              </w:rPr>
              <w:t>69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EFCB"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EFC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EFCD" w14:textId="77777777" w:rsidR="00833634" w:rsidRDefault="00E15D51">
            <w:pPr>
              <w:jc w:val="right"/>
              <w:textAlignment w:val="bottom"/>
            </w:pPr>
            <w:r>
              <w:rPr>
                <w:rFonts w:ascii="Arial" w:eastAsia="宋体" w:hAnsi="Arial" w:cs="Arial"/>
                <w:color w:val="000000"/>
                <w:sz w:val="20"/>
                <w:szCs w:val="20"/>
              </w:rPr>
              <w:t>70 </w:t>
            </w:r>
          </w:p>
        </w:tc>
        <w:tc>
          <w:tcPr>
            <w:tcW w:w="0" w:type="auto"/>
            <w:shd w:val="clear" w:color="auto" w:fill="FFFFFF"/>
            <w:tcMar>
              <w:top w:w="40" w:type="dxa"/>
              <w:left w:w="0" w:type="dxa"/>
              <w:bottom w:w="40" w:type="dxa"/>
              <w:right w:w="20" w:type="dxa"/>
            </w:tcMar>
            <w:vAlign w:val="bottom"/>
          </w:tcPr>
          <w:p w14:paraId="4090EFCE" w14:textId="77777777" w:rsidR="00833634" w:rsidRDefault="00E15D51">
            <w:pPr>
              <w:jc w:val="right"/>
              <w:textAlignment w:val="bottom"/>
            </w:pPr>
            <w:r>
              <w:rPr>
                <w:rFonts w:ascii="Arial" w:eastAsia="宋体" w:hAnsi="Arial" w:cs="Arial"/>
                <w:color w:val="000000"/>
                <w:sz w:val="20"/>
                <w:szCs w:val="20"/>
              </w:rPr>
              <w:t>%</w:t>
            </w:r>
          </w:p>
        </w:tc>
      </w:tr>
      <w:tr w:rsidR="00833634" w14:paraId="4090EFD8" w14:textId="77777777">
        <w:trPr>
          <w:trHeight w:val="100"/>
        </w:trPr>
        <w:tc>
          <w:tcPr>
            <w:tcW w:w="0" w:type="auto"/>
            <w:gridSpan w:val="3"/>
            <w:shd w:val="clear" w:color="auto" w:fill="CCEEFF"/>
            <w:tcMar>
              <w:top w:w="0" w:type="dxa"/>
              <w:left w:w="20" w:type="dxa"/>
              <w:bottom w:w="0" w:type="dxa"/>
              <w:right w:w="20" w:type="dxa"/>
            </w:tcMar>
          </w:tcPr>
          <w:p w14:paraId="4090EFD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D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D2"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D3"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D4"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D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D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EFD7" w14:textId="77777777" w:rsidR="00833634" w:rsidRDefault="00833634">
            <w:pPr>
              <w:rPr>
                <w:rFonts w:ascii="宋体"/>
              </w:rPr>
            </w:pPr>
          </w:p>
        </w:tc>
      </w:tr>
      <w:tr w:rsidR="00833634" w14:paraId="4090EFE5" w14:textId="77777777">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4090EFD9" w14:textId="77777777" w:rsidR="00833634" w:rsidRDefault="00E15D51">
            <w:pPr>
              <w:textAlignment w:val="bottom"/>
            </w:pPr>
            <w:r>
              <w:rPr>
                <w:rFonts w:ascii="Arial" w:eastAsia="宋体" w:hAnsi="Arial" w:cs="Arial"/>
                <w:color w:val="000000"/>
                <w:sz w:val="20"/>
                <w:szCs w:val="20"/>
              </w:rPr>
              <w:t>Revenue from the U.S. government</w:t>
            </w:r>
            <w:r>
              <w:rPr>
                <w:rFonts w:ascii="Arial" w:eastAsia="宋体" w:hAnsi="Arial" w:cs="Arial"/>
                <w:color w:val="000000"/>
                <w:sz w:val="13"/>
                <w:szCs w:val="13"/>
              </w:rPr>
              <w:t>(1)</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FDA" w14:textId="77777777" w:rsidR="00833634" w:rsidRDefault="00E15D51">
            <w:pPr>
              <w:jc w:val="right"/>
              <w:textAlignment w:val="bottom"/>
            </w:pPr>
            <w:r>
              <w:rPr>
                <w:rFonts w:ascii="Arial" w:eastAsia="宋体" w:hAnsi="Arial" w:cs="Arial"/>
                <w:b/>
                <w:bCs/>
                <w:color w:val="000000"/>
                <w:sz w:val="20"/>
                <w:szCs w:val="20"/>
              </w:rPr>
              <w:t>89</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FDB"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4090EFDC"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FDD" w14:textId="77777777" w:rsidR="00833634" w:rsidRDefault="00E15D51">
            <w:pPr>
              <w:jc w:val="right"/>
              <w:textAlignment w:val="bottom"/>
            </w:pPr>
            <w:r>
              <w:rPr>
                <w:rFonts w:ascii="Arial" w:eastAsia="宋体" w:hAnsi="Arial" w:cs="Arial"/>
                <w:color w:val="000000"/>
                <w:sz w:val="20"/>
                <w:szCs w:val="20"/>
              </w:rPr>
              <w:t>89 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FDE" w14:textId="77777777" w:rsidR="00833634" w:rsidRDefault="00E15D51">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4090EFDF"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FE0" w14:textId="77777777" w:rsidR="00833634" w:rsidRDefault="00E15D51">
            <w:pPr>
              <w:jc w:val="right"/>
              <w:textAlignment w:val="bottom"/>
            </w:pPr>
            <w:r>
              <w:rPr>
                <w:rFonts w:ascii="Arial" w:eastAsia="宋体" w:hAnsi="Arial" w:cs="Arial"/>
                <w:b/>
                <w:bCs/>
                <w:color w:val="000000"/>
                <w:sz w:val="20"/>
                <w:szCs w:val="20"/>
              </w:rPr>
              <w:t>90</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FE1"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4090EFE2"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EFE3" w14:textId="77777777" w:rsidR="00833634" w:rsidRDefault="00E15D51">
            <w:pPr>
              <w:jc w:val="right"/>
              <w:textAlignment w:val="bottom"/>
            </w:pPr>
            <w:r>
              <w:rPr>
                <w:rFonts w:ascii="Arial" w:eastAsia="宋体" w:hAnsi="Arial" w:cs="Arial"/>
                <w:color w:val="000000"/>
                <w:sz w:val="20"/>
                <w:szCs w:val="20"/>
              </w:rPr>
              <w:t>90 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EFE4" w14:textId="77777777" w:rsidR="00833634" w:rsidRDefault="00E15D51">
            <w:pPr>
              <w:jc w:val="right"/>
              <w:textAlignment w:val="bottom"/>
            </w:pPr>
            <w:r>
              <w:rPr>
                <w:rFonts w:ascii="Arial" w:eastAsia="宋体" w:hAnsi="Arial" w:cs="Arial"/>
                <w:color w:val="000000"/>
                <w:sz w:val="20"/>
                <w:szCs w:val="20"/>
              </w:rPr>
              <w:t>%</w:t>
            </w:r>
          </w:p>
        </w:tc>
      </w:tr>
    </w:tbl>
    <w:p w14:paraId="4090EFE6" w14:textId="77777777" w:rsidR="00833634" w:rsidRDefault="00E15D51">
      <w:pPr>
        <w:spacing w:after="180"/>
        <w:ind w:hanging="360"/>
        <w:jc w:val="both"/>
      </w:pPr>
      <w:r>
        <w:rPr>
          <w:rFonts w:ascii="Arial" w:eastAsia="宋体" w:hAnsi="Arial" w:cs="Arial"/>
          <w:color w:val="000000"/>
          <w:sz w:val="13"/>
          <w:szCs w:val="13"/>
        </w:rPr>
        <w:t>(1)</w:t>
      </w:r>
      <w:r>
        <w:rPr>
          <w:rFonts w:ascii="Arial" w:eastAsia="宋体" w:hAnsi="Arial" w:cs="Arial"/>
          <w:color w:val="000000"/>
          <w:sz w:val="20"/>
          <w:szCs w:val="20"/>
        </w:rPr>
        <w:t>Includes revenues earned from foreign military sales through the U.S. government.</w:t>
      </w:r>
    </w:p>
    <w:p w14:paraId="4090EFE7" w14:textId="77777777" w:rsidR="00833634" w:rsidRDefault="00E15D51">
      <w:pPr>
        <w:jc w:val="both"/>
      </w:pPr>
      <w:r>
        <w:rPr>
          <w:rFonts w:ascii="Arial" w:eastAsia="宋体" w:hAnsi="Arial" w:cs="Arial"/>
          <w:color w:val="000000"/>
          <w:sz w:val="20"/>
          <w:szCs w:val="20"/>
        </w:rPr>
        <w:t>BGS revenues consist of the following:</w:t>
      </w:r>
    </w:p>
    <w:tbl>
      <w:tblPr>
        <w:tblW w:w="5000" w:type="pct"/>
        <w:tblCellMar>
          <w:top w:w="15" w:type="dxa"/>
          <w:left w:w="15" w:type="dxa"/>
          <w:bottom w:w="15" w:type="dxa"/>
          <w:right w:w="15" w:type="dxa"/>
        </w:tblCellMar>
        <w:tblLook w:val="04A0" w:firstRow="1" w:lastRow="0" w:firstColumn="1" w:lastColumn="0" w:noHBand="0" w:noVBand="1"/>
      </w:tblPr>
      <w:tblGrid>
        <w:gridCol w:w="40"/>
        <w:gridCol w:w="4148"/>
        <w:gridCol w:w="39"/>
        <w:gridCol w:w="71"/>
        <w:gridCol w:w="729"/>
        <w:gridCol w:w="199"/>
        <w:gridCol w:w="37"/>
        <w:gridCol w:w="37"/>
        <w:gridCol w:w="36"/>
        <w:gridCol w:w="71"/>
        <w:gridCol w:w="729"/>
        <w:gridCol w:w="198"/>
        <w:gridCol w:w="36"/>
        <w:gridCol w:w="36"/>
        <w:gridCol w:w="36"/>
        <w:gridCol w:w="62"/>
        <w:gridCol w:w="627"/>
        <w:gridCol w:w="199"/>
        <w:gridCol w:w="37"/>
        <w:gridCol w:w="37"/>
        <w:gridCol w:w="36"/>
        <w:gridCol w:w="62"/>
        <w:gridCol w:w="636"/>
        <w:gridCol w:w="198"/>
      </w:tblGrid>
      <w:tr w:rsidR="00833634" w14:paraId="4090F000" w14:textId="77777777">
        <w:tc>
          <w:tcPr>
            <w:tcW w:w="50" w:type="pct"/>
            <w:shd w:val="clear" w:color="auto" w:fill="auto"/>
          </w:tcPr>
          <w:p w14:paraId="4090EFE8" w14:textId="77777777" w:rsidR="00833634" w:rsidRDefault="00833634">
            <w:pPr>
              <w:rPr>
                <w:rFonts w:ascii="宋体"/>
              </w:rPr>
            </w:pPr>
          </w:p>
        </w:tc>
        <w:tc>
          <w:tcPr>
            <w:tcW w:w="2549" w:type="pct"/>
            <w:shd w:val="clear" w:color="auto" w:fill="auto"/>
          </w:tcPr>
          <w:p w14:paraId="4090EFE9" w14:textId="77777777" w:rsidR="00833634" w:rsidRDefault="00833634">
            <w:pPr>
              <w:rPr>
                <w:rFonts w:ascii="宋体"/>
              </w:rPr>
            </w:pPr>
          </w:p>
        </w:tc>
        <w:tc>
          <w:tcPr>
            <w:tcW w:w="5" w:type="pct"/>
            <w:shd w:val="clear" w:color="auto" w:fill="auto"/>
          </w:tcPr>
          <w:p w14:paraId="4090EFEA" w14:textId="77777777" w:rsidR="00833634" w:rsidRDefault="00833634">
            <w:pPr>
              <w:rPr>
                <w:rFonts w:ascii="宋体"/>
              </w:rPr>
            </w:pPr>
          </w:p>
        </w:tc>
        <w:tc>
          <w:tcPr>
            <w:tcW w:w="50" w:type="pct"/>
            <w:shd w:val="clear" w:color="auto" w:fill="auto"/>
          </w:tcPr>
          <w:p w14:paraId="4090EFEB" w14:textId="77777777" w:rsidR="00833634" w:rsidRDefault="00833634">
            <w:pPr>
              <w:rPr>
                <w:rFonts w:ascii="宋体"/>
              </w:rPr>
            </w:pPr>
          </w:p>
        </w:tc>
        <w:tc>
          <w:tcPr>
            <w:tcW w:w="513" w:type="pct"/>
            <w:shd w:val="clear" w:color="auto" w:fill="auto"/>
          </w:tcPr>
          <w:p w14:paraId="4090EFEC" w14:textId="77777777" w:rsidR="00833634" w:rsidRDefault="00833634">
            <w:pPr>
              <w:rPr>
                <w:rFonts w:ascii="宋体"/>
              </w:rPr>
            </w:pPr>
          </w:p>
        </w:tc>
        <w:tc>
          <w:tcPr>
            <w:tcW w:w="5" w:type="pct"/>
            <w:shd w:val="clear" w:color="auto" w:fill="auto"/>
          </w:tcPr>
          <w:p w14:paraId="4090EFED" w14:textId="77777777" w:rsidR="00833634" w:rsidRDefault="00833634">
            <w:pPr>
              <w:rPr>
                <w:rFonts w:ascii="宋体"/>
              </w:rPr>
            </w:pPr>
          </w:p>
        </w:tc>
        <w:tc>
          <w:tcPr>
            <w:tcW w:w="5" w:type="pct"/>
            <w:shd w:val="clear" w:color="auto" w:fill="auto"/>
          </w:tcPr>
          <w:p w14:paraId="4090EFEE" w14:textId="77777777" w:rsidR="00833634" w:rsidRDefault="00833634">
            <w:pPr>
              <w:rPr>
                <w:rFonts w:ascii="宋体"/>
              </w:rPr>
            </w:pPr>
          </w:p>
        </w:tc>
        <w:tc>
          <w:tcPr>
            <w:tcW w:w="30" w:type="pct"/>
            <w:shd w:val="clear" w:color="auto" w:fill="auto"/>
          </w:tcPr>
          <w:p w14:paraId="4090EFEF" w14:textId="77777777" w:rsidR="00833634" w:rsidRDefault="00833634">
            <w:pPr>
              <w:rPr>
                <w:rFonts w:ascii="宋体"/>
              </w:rPr>
            </w:pPr>
          </w:p>
        </w:tc>
        <w:tc>
          <w:tcPr>
            <w:tcW w:w="5" w:type="pct"/>
            <w:shd w:val="clear" w:color="auto" w:fill="auto"/>
          </w:tcPr>
          <w:p w14:paraId="4090EFF0" w14:textId="77777777" w:rsidR="00833634" w:rsidRDefault="00833634">
            <w:pPr>
              <w:rPr>
                <w:rFonts w:ascii="宋体"/>
              </w:rPr>
            </w:pPr>
          </w:p>
        </w:tc>
        <w:tc>
          <w:tcPr>
            <w:tcW w:w="50" w:type="pct"/>
            <w:shd w:val="clear" w:color="auto" w:fill="auto"/>
          </w:tcPr>
          <w:p w14:paraId="4090EFF1" w14:textId="77777777" w:rsidR="00833634" w:rsidRDefault="00833634">
            <w:pPr>
              <w:rPr>
                <w:rFonts w:ascii="宋体"/>
              </w:rPr>
            </w:pPr>
          </w:p>
        </w:tc>
        <w:tc>
          <w:tcPr>
            <w:tcW w:w="513" w:type="pct"/>
            <w:shd w:val="clear" w:color="auto" w:fill="auto"/>
          </w:tcPr>
          <w:p w14:paraId="4090EFF2" w14:textId="77777777" w:rsidR="00833634" w:rsidRDefault="00833634">
            <w:pPr>
              <w:rPr>
                <w:rFonts w:ascii="宋体"/>
              </w:rPr>
            </w:pPr>
          </w:p>
        </w:tc>
        <w:tc>
          <w:tcPr>
            <w:tcW w:w="5" w:type="pct"/>
            <w:shd w:val="clear" w:color="auto" w:fill="auto"/>
          </w:tcPr>
          <w:p w14:paraId="4090EFF3" w14:textId="77777777" w:rsidR="00833634" w:rsidRDefault="00833634">
            <w:pPr>
              <w:rPr>
                <w:rFonts w:ascii="宋体"/>
              </w:rPr>
            </w:pPr>
          </w:p>
        </w:tc>
        <w:tc>
          <w:tcPr>
            <w:tcW w:w="5" w:type="pct"/>
            <w:shd w:val="clear" w:color="auto" w:fill="auto"/>
          </w:tcPr>
          <w:p w14:paraId="4090EFF4" w14:textId="77777777" w:rsidR="00833634" w:rsidRDefault="00833634">
            <w:pPr>
              <w:rPr>
                <w:rFonts w:ascii="宋体"/>
              </w:rPr>
            </w:pPr>
          </w:p>
        </w:tc>
        <w:tc>
          <w:tcPr>
            <w:tcW w:w="30" w:type="pct"/>
            <w:shd w:val="clear" w:color="auto" w:fill="auto"/>
          </w:tcPr>
          <w:p w14:paraId="4090EFF5" w14:textId="77777777" w:rsidR="00833634" w:rsidRDefault="00833634">
            <w:pPr>
              <w:rPr>
                <w:rFonts w:ascii="宋体"/>
              </w:rPr>
            </w:pPr>
          </w:p>
        </w:tc>
        <w:tc>
          <w:tcPr>
            <w:tcW w:w="5" w:type="pct"/>
            <w:shd w:val="clear" w:color="auto" w:fill="auto"/>
          </w:tcPr>
          <w:p w14:paraId="4090EFF6" w14:textId="77777777" w:rsidR="00833634" w:rsidRDefault="00833634">
            <w:pPr>
              <w:rPr>
                <w:rFonts w:ascii="宋体"/>
              </w:rPr>
            </w:pPr>
          </w:p>
        </w:tc>
        <w:tc>
          <w:tcPr>
            <w:tcW w:w="50" w:type="pct"/>
            <w:shd w:val="clear" w:color="auto" w:fill="auto"/>
          </w:tcPr>
          <w:p w14:paraId="4090EFF7" w14:textId="77777777" w:rsidR="00833634" w:rsidRDefault="00833634">
            <w:pPr>
              <w:rPr>
                <w:rFonts w:ascii="宋体"/>
              </w:rPr>
            </w:pPr>
          </w:p>
        </w:tc>
        <w:tc>
          <w:tcPr>
            <w:tcW w:w="513" w:type="pct"/>
            <w:shd w:val="clear" w:color="auto" w:fill="auto"/>
          </w:tcPr>
          <w:p w14:paraId="4090EFF8" w14:textId="77777777" w:rsidR="00833634" w:rsidRDefault="00833634">
            <w:pPr>
              <w:rPr>
                <w:rFonts w:ascii="宋体"/>
              </w:rPr>
            </w:pPr>
          </w:p>
        </w:tc>
        <w:tc>
          <w:tcPr>
            <w:tcW w:w="5" w:type="pct"/>
            <w:shd w:val="clear" w:color="auto" w:fill="auto"/>
          </w:tcPr>
          <w:p w14:paraId="4090EFF9" w14:textId="77777777" w:rsidR="00833634" w:rsidRDefault="00833634">
            <w:pPr>
              <w:rPr>
                <w:rFonts w:ascii="宋体"/>
              </w:rPr>
            </w:pPr>
          </w:p>
        </w:tc>
        <w:tc>
          <w:tcPr>
            <w:tcW w:w="5" w:type="pct"/>
            <w:shd w:val="clear" w:color="auto" w:fill="auto"/>
          </w:tcPr>
          <w:p w14:paraId="4090EFFA" w14:textId="77777777" w:rsidR="00833634" w:rsidRDefault="00833634">
            <w:pPr>
              <w:rPr>
                <w:rFonts w:ascii="宋体"/>
              </w:rPr>
            </w:pPr>
          </w:p>
        </w:tc>
        <w:tc>
          <w:tcPr>
            <w:tcW w:w="30" w:type="pct"/>
            <w:shd w:val="clear" w:color="auto" w:fill="auto"/>
          </w:tcPr>
          <w:p w14:paraId="4090EFFB" w14:textId="77777777" w:rsidR="00833634" w:rsidRDefault="00833634">
            <w:pPr>
              <w:rPr>
                <w:rFonts w:ascii="宋体"/>
              </w:rPr>
            </w:pPr>
          </w:p>
        </w:tc>
        <w:tc>
          <w:tcPr>
            <w:tcW w:w="5" w:type="pct"/>
            <w:shd w:val="clear" w:color="auto" w:fill="auto"/>
          </w:tcPr>
          <w:p w14:paraId="4090EFFC" w14:textId="77777777" w:rsidR="00833634" w:rsidRDefault="00833634">
            <w:pPr>
              <w:rPr>
                <w:rFonts w:ascii="宋体"/>
              </w:rPr>
            </w:pPr>
          </w:p>
        </w:tc>
        <w:tc>
          <w:tcPr>
            <w:tcW w:w="50" w:type="pct"/>
            <w:shd w:val="clear" w:color="auto" w:fill="auto"/>
          </w:tcPr>
          <w:p w14:paraId="4090EFFD" w14:textId="77777777" w:rsidR="00833634" w:rsidRDefault="00833634">
            <w:pPr>
              <w:rPr>
                <w:rFonts w:ascii="宋体"/>
              </w:rPr>
            </w:pPr>
          </w:p>
        </w:tc>
        <w:tc>
          <w:tcPr>
            <w:tcW w:w="513" w:type="pct"/>
            <w:shd w:val="clear" w:color="auto" w:fill="auto"/>
          </w:tcPr>
          <w:p w14:paraId="4090EFFE" w14:textId="77777777" w:rsidR="00833634" w:rsidRDefault="00833634">
            <w:pPr>
              <w:rPr>
                <w:rFonts w:ascii="宋体"/>
              </w:rPr>
            </w:pPr>
          </w:p>
        </w:tc>
        <w:tc>
          <w:tcPr>
            <w:tcW w:w="5" w:type="pct"/>
            <w:shd w:val="clear" w:color="auto" w:fill="auto"/>
          </w:tcPr>
          <w:p w14:paraId="4090EFFF" w14:textId="77777777" w:rsidR="00833634" w:rsidRDefault="00833634">
            <w:pPr>
              <w:rPr>
                <w:rFonts w:ascii="宋体"/>
              </w:rPr>
            </w:pPr>
          </w:p>
        </w:tc>
      </w:tr>
      <w:tr w:rsidR="00833634" w14:paraId="4090F005" w14:textId="77777777">
        <w:tc>
          <w:tcPr>
            <w:tcW w:w="0" w:type="auto"/>
            <w:gridSpan w:val="3"/>
            <w:shd w:val="clear" w:color="auto" w:fill="auto"/>
            <w:tcMar>
              <w:top w:w="40" w:type="dxa"/>
              <w:left w:w="20" w:type="dxa"/>
              <w:bottom w:w="40" w:type="dxa"/>
              <w:right w:w="20" w:type="dxa"/>
            </w:tcMar>
            <w:vAlign w:val="bottom"/>
          </w:tcPr>
          <w:p w14:paraId="4090F001"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002"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003"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004"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00E"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006"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007" w14:textId="77777777" w:rsidR="00833634" w:rsidRDefault="00E15D51">
            <w:pPr>
              <w:jc w:val="center"/>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008"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009" w14:textId="77777777" w:rsidR="00833634" w:rsidRDefault="00E15D51">
            <w:pPr>
              <w:jc w:val="center"/>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00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00B" w14:textId="77777777" w:rsidR="00833634" w:rsidRDefault="00E15D51">
            <w:pPr>
              <w:jc w:val="center"/>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00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00D" w14:textId="77777777" w:rsidR="00833634" w:rsidRDefault="00E15D51">
            <w:pPr>
              <w:jc w:val="center"/>
              <w:textAlignment w:val="bottom"/>
            </w:pPr>
            <w:r>
              <w:rPr>
                <w:rFonts w:ascii="Arial" w:eastAsia="宋体" w:hAnsi="Arial" w:cs="Arial"/>
                <w:color w:val="000000"/>
                <w:sz w:val="20"/>
                <w:szCs w:val="20"/>
              </w:rPr>
              <w:t>2019</w:t>
            </w:r>
          </w:p>
        </w:tc>
      </w:tr>
      <w:tr w:rsidR="00833634" w14:paraId="4090F017"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00F" w14:textId="77777777" w:rsidR="00833634" w:rsidRDefault="00E15D51">
            <w:pPr>
              <w:textAlignment w:val="bottom"/>
            </w:pPr>
            <w:r>
              <w:rPr>
                <w:rFonts w:ascii="Arial" w:eastAsia="宋体" w:hAnsi="Arial" w:cs="Arial"/>
                <w:color w:val="000000"/>
                <w:sz w:val="20"/>
                <w:szCs w:val="20"/>
              </w:rPr>
              <w:t>Revenue from contracts with customers:</w:t>
            </w:r>
          </w:p>
        </w:tc>
        <w:tc>
          <w:tcPr>
            <w:tcW w:w="0" w:type="auto"/>
            <w:gridSpan w:val="3"/>
            <w:tcBorders>
              <w:top w:val="single" w:sz="8" w:space="0" w:color="000000"/>
            </w:tcBorders>
            <w:shd w:val="clear" w:color="auto" w:fill="CCEEFF"/>
            <w:tcMar>
              <w:top w:w="0" w:type="dxa"/>
              <w:left w:w="20" w:type="dxa"/>
              <w:bottom w:w="0" w:type="dxa"/>
              <w:right w:w="20" w:type="dxa"/>
            </w:tcMar>
          </w:tcPr>
          <w:p w14:paraId="4090F010"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011"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012"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013"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014"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015"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016" w14:textId="77777777" w:rsidR="00833634" w:rsidRDefault="00833634">
            <w:pPr>
              <w:rPr>
                <w:rFonts w:ascii="宋体"/>
              </w:rPr>
            </w:pPr>
          </w:p>
        </w:tc>
      </w:tr>
      <w:tr w:rsidR="00833634" w14:paraId="4090F024" w14:textId="77777777">
        <w:tc>
          <w:tcPr>
            <w:tcW w:w="0" w:type="auto"/>
            <w:gridSpan w:val="3"/>
            <w:shd w:val="clear" w:color="auto" w:fill="FFFFFF"/>
            <w:tcMar>
              <w:top w:w="40" w:type="dxa"/>
              <w:left w:w="225" w:type="dxa"/>
              <w:bottom w:w="40" w:type="dxa"/>
              <w:right w:w="20" w:type="dxa"/>
            </w:tcMar>
            <w:vAlign w:val="bottom"/>
          </w:tcPr>
          <w:p w14:paraId="4090F018" w14:textId="77777777" w:rsidR="00833634" w:rsidRDefault="00E15D51">
            <w:pPr>
              <w:textAlignment w:val="bottom"/>
            </w:pPr>
            <w:r>
              <w:rPr>
                <w:rFonts w:ascii="Arial" w:eastAsia="宋体" w:hAnsi="Arial" w:cs="Arial"/>
                <w:color w:val="000000"/>
                <w:sz w:val="20"/>
                <w:szCs w:val="20"/>
              </w:rPr>
              <w:t>Commercial</w:t>
            </w:r>
          </w:p>
        </w:tc>
        <w:tc>
          <w:tcPr>
            <w:tcW w:w="0" w:type="auto"/>
            <w:gridSpan w:val="2"/>
            <w:shd w:val="clear" w:color="auto" w:fill="FFFFFF"/>
            <w:tcMar>
              <w:top w:w="40" w:type="dxa"/>
              <w:left w:w="20" w:type="dxa"/>
              <w:bottom w:w="40" w:type="dxa"/>
              <w:right w:w="0" w:type="dxa"/>
            </w:tcMar>
            <w:vAlign w:val="bottom"/>
          </w:tcPr>
          <w:p w14:paraId="4090F019" w14:textId="77777777" w:rsidR="00833634" w:rsidRDefault="00E15D51">
            <w:pPr>
              <w:jc w:val="right"/>
              <w:textAlignment w:val="bottom"/>
            </w:pPr>
            <w:r>
              <w:rPr>
                <w:rFonts w:ascii="Arial" w:eastAsia="宋体" w:hAnsi="Arial" w:cs="Arial"/>
                <w:b/>
                <w:bCs/>
                <w:color w:val="000000"/>
                <w:sz w:val="20"/>
                <w:szCs w:val="20"/>
              </w:rPr>
              <w:t>$5,382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01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01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1C" w14:textId="77777777" w:rsidR="00833634" w:rsidRDefault="00E15D51">
            <w:pPr>
              <w:jc w:val="right"/>
              <w:textAlignment w:val="bottom"/>
            </w:pPr>
            <w:r>
              <w:rPr>
                <w:rFonts w:ascii="Arial" w:eastAsia="宋体" w:hAnsi="Arial" w:cs="Arial"/>
                <w:color w:val="000000"/>
                <w:sz w:val="20"/>
                <w:szCs w:val="20"/>
              </w:rPr>
              <w:t>$7,621 </w:t>
            </w:r>
          </w:p>
        </w:tc>
        <w:tc>
          <w:tcPr>
            <w:tcW w:w="0" w:type="auto"/>
            <w:shd w:val="clear" w:color="auto" w:fill="FFFFFF"/>
            <w:tcMar>
              <w:top w:w="40" w:type="dxa"/>
              <w:left w:w="0" w:type="dxa"/>
              <w:bottom w:w="40" w:type="dxa"/>
              <w:right w:w="20" w:type="dxa"/>
            </w:tcMar>
            <w:vAlign w:val="bottom"/>
          </w:tcPr>
          <w:p w14:paraId="4090F01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01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1F" w14:textId="77777777" w:rsidR="00833634" w:rsidRDefault="00E15D51">
            <w:pPr>
              <w:jc w:val="right"/>
              <w:textAlignment w:val="bottom"/>
            </w:pPr>
            <w:r>
              <w:rPr>
                <w:rFonts w:ascii="Arial" w:eastAsia="宋体" w:hAnsi="Arial" w:cs="Arial"/>
                <w:b/>
                <w:bCs/>
                <w:color w:val="000000"/>
                <w:sz w:val="20"/>
                <w:szCs w:val="20"/>
              </w:rPr>
              <w:t>$1,488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02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02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22" w14:textId="77777777" w:rsidR="00833634" w:rsidRDefault="00E15D51">
            <w:pPr>
              <w:jc w:val="right"/>
              <w:textAlignment w:val="bottom"/>
            </w:pPr>
            <w:r>
              <w:rPr>
                <w:rFonts w:ascii="Arial" w:eastAsia="宋体" w:hAnsi="Arial" w:cs="Arial"/>
                <w:color w:val="000000"/>
                <w:sz w:val="20"/>
                <w:szCs w:val="20"/>
              </w:rPr>
              <w:t>$2,510 </w:t>
            </w:r>
          </w:p>
        </w:tc>
        <w:tc>
          <w:tcPr>
            <w:tcW w:w="0" w:type="auto"/>
            <w:shd w:val="clear" w:color="auto" w:fill="FFFFFF"/>
            <w:tcMar>
              <w:top w:w="40" w:type="dxa"/>
              <w:left w:w="0" w:type="dxa"/>
              <w:bottom w:w="40" w:type="dxa"/>
              <w:right w:w="20" w:type="dxa"/>
            </w:tcMar>
            <w:vAlign w:val="bottom"/>
          </w:tcPr>
          <w:p w14:paraId="4090F023" w14:textId="77777777" w:rsidR="00833634" w:rsidRDefault="00833634">
            <w:pPr>
              <w:jc w:val="right"/>
              <w:rPr>
                <w:rFonts w:ascii="宋体"/>
              </w:rPr>
            </w:pPr>
          </w:p>
        </w:tc>
      </w:tr>
      <w:tr w:rsidR="00833634" w14:paraId="4090F031" w14:textId="77777777">
        <w:tc>
          <w:tcPr>
            <w:tcW w:w="0" w:type="auto"/>
            <w:gridSpan w:val="3"/>
            <w:shd w:val="clear" w:color="auto" w:fill="CCEEFF"/>
            <w:tcMar>
              <w:top w:w="40" w:type="dxa"/>
              <w:left w:w="225" w:type="dxa"/>
              <w:bottom w:w="40" w:type="dxa"/>
              <w:right w:w="20" w:type="dxa"/>
            </w:tcMar>
            <w:vAlign w:val="bottom"/>
          </w:tcPr>
          <w:p w14:paraId="4090F025" w14:textId="77777777" w:rsidR="00833634" w:rsidRDefault="00E15D51">
            <w:pPr>
              <w:textAlignment w:val="bottom"/>
            </w:pPr>
            <w:r>
              <w:rPr>
                <w:rFonts w:ascii="Arial" w:eastAsia="宋体" w:hAnsi="Arial" w:cs="Arial"/>
                <w:color w:val="000000"/>
                <w:sz w:val="20"/>
                <w:szCs w:val="20"/>
              </w:rPr>
              <w:t>Government</w:t>
            </w:r>
          </w:p>
        </w:tc>
        <w:tc>
          <w:tcPr>
            <w:tcW w:w="0" w:type="auto"/>
            <w:gridSpan w:val="2"/>
            <w:shd w:val="clear" w:color="auto" w:fill="CCEEFF"/>
            <w:tcMar>
              <w:top w:w="40" w:type="dxa"/>
              <w:left w:w="20" w:type="dxa"/>
              <w:bottom w:w="40" w:type="dxa"/>
              <w:right w:w="0" w:type="dxa"/>
            </w:tcMar>
            <w:vAlign w:val="bottom"/>
          </w:tcPr>
          <w:p w14:paraId="4090F026" w14:textId="77777777" w:rsidR="00833634" w:rsidRDefault="00E15D51">
            <w:pPr>
              <w:jc w:val="right"/>
              <w:textAlignment w:val="bottom"/>
            </w:pPr>
            <w:r>
              <w:rPr>
                <w:rFonts w:ascii="Arial" w:eastAsia="宋体" w:hAnsi="Arial" w:cs="Arial"/>
                <w:b/>
                <w:bCs/>
                <w:color w:val="000000"/>
                <w:sz w:val="20"/>
                <w:szCs w:val="20"/>
              </w:rPr>
              <w:t>6,241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02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02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029" w14:textId="77777777" w:rsidR="00833634" w:rsidRDefault="00E15D51">
            <w:pPr>
              <w:jc w:val="right"/>
              <w:textAlignment w:val="bottom"/>
            </w:pPr>
            <w:r>
              <w:rPr>
                <w:rFonts w:ascii="Arial" w:eastAsia="宋体" w:hAnsi="Arial" w:cs="Arial"/>
                <w:color w:val="000000"/>
                <w:sz w:val="20"/>
                <w:szCs w:val="20"/>
              </w:rPr>
              <w:t>6,075 </w:t>
            </w:r>
          </w:p>
        </w:tc>
        <w:tc>
          <w:tcPr>
            <w:tcW w:w="0" w:type="auto"/>
            <w:shd w:val="clear" w:color="auto" w:fill="CCEEFF"/>
            <w:tcMar>
              <w:top w:w="40" w:type="dxa"/>
              <w:left w:w="0" w:type="dxa"/>
              <w:bottom w:w="40" w:type="dxa"/>
              <w:right w:w="20" w:type="dxa"/>
            </w:tcMar>
            <w:vAlign w:val="bottom"/>
          </w:tcPr>
          <w:p w14:paraId="4090F02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02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02C" w14:textId="77777777" w:rsidR="00833634" w:rsidRDefault="00E15D51">
            <w:pPr>
              <w:jc w:val="right"/>
              <w:textAlignment w:val="bottom"/>
            </w:pPr>
            <w:r>
              <w:rPr>
                <w:rFonts w:ascii="Arial" w:eastAsia="宋体" w:hAnsi="Arial" w:cs="Arial"/>
                <w:b/>
                <w:bCs/>
                <w:color w:val="000000"/>
                <w:sz w:val="20"/>
                <w:szCs w:val="20"/>
              </w:rPr>
              <w:t>2,142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02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02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02F" w14:textId="77777777" w:rsidR="00833634" w:rsidRDefault="00E15D51">
            <w:pPr>
              <w:jc w:val="right"/>
              <w:textAlignment w:val="bottom"/>
            </w:pPr>
            <w:r>
              <w:rPr>
                <w:rFonts w:ascii="Arial" w:eastAsia="宋体" w:hAnsi="Arial" w:cs="Arial"/>
                <w:color w:val="000000"/>
                <w:sz w:val="20"/>
                <w:szCs w:val="20"/>
              </w:rPr>
              <w:t>2,101 </w:t>
            </w:r>
          </w:p>
        </w:tc>
        <w:tc>
          <w:tcPr>
            <w:tcW w:w="0" w:type="auto"/>
            <w:shd w:val="clear" w:color="auto" w:fill="CCEEFF"/>
            <w:tcMar>
              <w:top w:w="40" w:type="dxa"/>
              <w:left w:w="0" w:type="dxa"/>
              <w:bottom w:w="40" w:type="dxa"/>
              <w:right w:w="20" w:type="dxa"/>
            </w:tcMar>
            <w:vAlign w:val="bottom"/>
          </w:tcPr>
          <w:p w14:paraId="4090F030" w14:textId="77777777" w:rsidR="00833634" w:rsidRDefault="00833634">
            <w:pPr>
              <w:jc w:val="right"/>
              <w:rPr>
                <w:rFonts w:ascii="宋体"/>
              </w:rPr>
            </w:pPr>
          </w:p>
        </w:tc>
      </w:tr>
      <w:tr w:rsidR="00833634" w14:paraId="4090F03E"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F032" w14:textId="77777777" w:rsidR="00833634" w:rsidRDefault="00E15D51">
            <w:pPr>
              <w:textAlignment w:val="bottom"/>
            </w:pPr>
            <w:r>
              <w:rPr>
                <w:rFonts w:ascii="Arial" w:eastAsia="宋体" w:hAnsi="Arial" w:cs="Arial"/>
                <w:color w:val="000000"/>
                <w:sz w:val="20"/>
                <w:szCs w:val="20"/>
              </w:rPr>
              <w:t>Total revenues from contracts with customers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033" w14:textId="77777777" w:rsidR="00833634" w:rsidRDefault="00E15D51">
            <w:pPr>
              <w:jc w:val="right"/>
              <w:textAlignment w:val="bottom"/>
            </w:pPr>
            <w:r>
              <w:rPr>
                <w:rFonts w:ascii="Arial" w:eastAsia="宋体" w:hAnsi="Arial" w:cs="Arial"/>
                <w:b/>
                <w:bCs/>
                <w:color w:val="000000"/>
                <w:sz w:val="20"/>
                <w:szCs w:val="20"/>
              </w:rPr>
              <w:t>11,623</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034"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035"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036" w14:textId="77777777" w:rsidR="00833634" w:rsidRDefault="00E15D51">
            <w:pPr>
              <w:jc w:val="right"/>
              <w:textAlignment w:val="bottom"/>
            </w:pPr>
            <w:r>
              <w:rPr>
                <w:rFonts w:ascii="Arial" w:eastAsia="宋体" w:hAnsi="Arial" w:cs="Arial"/>
                <w:color w:val="000000"/>
                <w:sz w:val="20"/>
                <w:szCs w:val="20"/>
              </w:rPr>
              <w:t>13,696 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037"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038"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039" w14:textId="77777777" w:rsidR="00833634" w:rsidRDefault="00E15D51">
            <w:pPr>
              <w:jc w:val="right"/>
              <w:textAlignment w:val="bottom"/>
            </w:pPr>
            <w:r>
              <w:rPr>
                <w:rFonts w:ascii="Arial" w:eastAsia="宋体" w:hAnsi="Arial" w:cs="Arial"/>
                <w:b/>
                <w:bCs/>
                <w:color w:val="000000"/>
                <w:sz w:val="20"/>
                <w:szCs w:val="20"/>
              </w:rPr>
              <w:t>3,630</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03A"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03B"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03C" w14:textId="77777777" w:rsidR="00833634" w:rsidRDefault="00E15D51">
            <w:pPr>
              <w:jc w:val="right"/>
              <w:textAlignment w:val="bottom"/>
            </w:pPr>
            <w:r>
              <w:rPr>
                <w:rFonts w:ascii="Arial" w:eastAsia="宋体" w:hAnsi="Arial" w:cs="Arial"/>
                <w:color w:val="000000"/>
                <w:sz w:val="20"/>
                <w:szCs w:val="20"/>
              </w:rPr>
              <w:t>4,611 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03D" w14:textId="77777777" w:rsidR="00833634" w:rsidRDefault="00833634">
            <w:pPr>
              <w:jc w:val="right"/>
              <w:rPr>
                <w:rFonts w:ascii="宋体"/>
              </w:rPr>
            </w:pPr>
          </w:p>
        </w:tc>
      </w:tr>
      <w:tr w:rsidR="00833634" w14:paraId="4090F04B" w14:textId="77777777">
        <w:tc>
          <w:tcPr>
            <w:tcW w:w="0" w:type="auto"/>
            <w:gridSpan w:val="3"/>
            <w:shd w:val="clear" w:color="auto" w:fill="CCEEFF"/>
            <w:tcMar>
              <w:top w:w="40" w:type="dxa"/>
              <w:left w:w="225" w:type="dxa"/>
              <w:bottom w:w="40" w:type="dxa"/>
              <w:right w:w="20" w:type="dxa"/>
            </w:tcMar>
            <w:vAlign w:val="bottom"/>
          </w:tcPr>
          <w:p w14:paraId="4090F03F" w14:textId="77777777" w:rsidR="00833634" w:rsidRDefault="00E15D51">
            <w:pPr>
              <w:textAlignment w:val="bottom"/>
            </w:pPr>
            <w:r>
              <w:rPr>
                <w:rFonts w:ascii="Arial" w:eastAsia="宋体" w:hAnsi="Arial" w:cs="Arial"/>
                <w:color w:val="000000"/>
                <w:sz w:val="20"/>
                <w:szCs w:val="20"/>
              </w:rPr>
              <w:t>Intersegment revenues eliminated on consolidation</w:t>
            </w:r>
          </w:p>
        </w:tc>
        <w:tc>
          <w:tcPr>
            <w:tcW w:w="0" w:type="auto"/>
            <w:gridSpan w:val="2"/>
            <w:shd w:val="clear" w:color="auto" w:fill="CCEEFF"/>
            <w:tcMar>
              <w:top w:w="40" w:type="dxa"/>
              <w:left w:w="20" w:type="dxa"/>
              <w:bottom w:w="40" w:type="dxa"/>
              <w:right w:w="0" w:type="dxa"/>
            </w:tcMar>
            <w:vAlign w:val="bottom"/>
          </w:tcPr>
          <w:p w14:paraId="4090F040" w14:textId="77777777" w:rsidR="00833634" w:rsidRDefault="00E15D51">
            <w:pPr>
              <w:jc w:val="right"/>
              <w:textAlignment w:val="bottom"/>
            </w:pPr>
            <w:r>
              <w:rPr>
                <w:rFonts w:ascii="Arial" w:eastAsia="宋体" w:hAnsi="Arial" w:cs="Arial"/>
                <w:b/>
                <w:bCs/>
                <w:color w:val="000000"/>
                <w:sz w:val="20"/>
                <w:szCs w:val="20"/>
              </w:rPr>
              <w:t>187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04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04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043" w14:textId="77777777" w:rsidR="00833634" w:rsidRDefault="00E15D51">
            <w:pPr>
              <w:jc w:val="right"/>
              <w:textAlignment w:val="bottom"/>
            </w:pPr>
            <w:r>
              <w:rPr>
                <w:rFonts w:ascii="Arial" w:eastAsia="宋体" w:hAnsi="Arial" w:cs="Arial"/>
                <w:color w:val="000000"/>
                <w:sz w:val="20"/>
                <w:szCs w:val="20"/>
              </w:rPr>
              <w:t>124 </w:t>
            </w:r>
          </w:p>
        </w:tc>
        <w:tc>
          <w:tcPr>
            <w:tcW w:w="0" w:type="auto"/>
            <w:shd w:val="clear" w:color="auto" w:fill="CCEEFF"/>
            <w:tcMar>
              <w:top w:w="40" w:type="dxa"/>
              <w:left w:w="0" w:type="dxa"/>
              <w:bottom w:w="40" w:type="dxa"/>
              <w:right w:w="20" w:type="dxa"/>
            </w:tcMar>
            <w:vAlign w:val="bottom"/>
          </w:tcPr>
          <w:p w14:paraId="4090F04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04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046" w14:textId="77777777" w:rsidR="00833634" w:rsidRDefault="00E15D51">
            <w:pPr>
              <w:jc w:val="right"/>
              <w:textAlignment w:val="bottom"/>
            </w:pPr>
            <w:r>
              <w:rPr>
                <w:rFonts w:ascii="Arial" w:eastAsia="宋体" w:hAnsi="Arial" w:cs="Arial"/>
                <w:b/>
                <w:bCs/>
                <w:color w:val="000000"/>
                <w:sz w:val="20"/>
                <w:szCs w:val="20"/>
              </w:rPr>
              <w:t>64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04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04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049" w14:textId="77777777" w:rsidR="00833634" w:rsidRDefault="00E15D51">
            <w:pPr>
              <w:jc w:val="right"/>
              <w:textAlignment w:val="bottom"/>
            </w:pPr>
            <w:r>
              <w:rPr>
                <w:rFonts w:ascii="Arial" w:eastAsia="宋体" w:hAnsi="Arial" w:cs="Arial"/>
                <w:color w:val="000000"/>
                <w:sz w:val="20"/>
                <w:szCs w:val="20"/>
              </w:rPr>
              <w:t>47 </w:t>
            </w:r>
          </w:p>
        </w:tc>
        <w:tc>
          <w:tcPr>
            <w:tcW w:w="0" w:type="auto"/>
            <w:shd w:val="clear" w:color="auto" w:fill="CCEEFF"/>
            <w:tcMar>
              <w:top w:w="40" w:type="dxa"/>
              <w:left w:w="0" w:type="dxa"/>
              <w:bottom w:w="40" w:type="dxa"/>
              <w:right w:w="20" w:type="dxa"/>
            </w:tcMar>
            <w:vAlign w:val="bottom"/>
          </w:tcPr>
          <w:p w14:paraId="4090F04A" w14:textId="77777777" w:rsidR="00833634" w:rsidRDefault="00833634">
            <w:pPr>
              <w:jc w:val="right"/>
              <w:rPr>
                <w:rFonts w:ascii="宋体"/>
              </w:rPr>
            </w:pPr>
          </w:p>
        </w:tc>
      </w:tr>
      <w:tr w:rsidR="00833634" w14:paraId="4090F058"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F04C" w14:textId="77777777" w:rsidR="00833634" w:rsidRDefault="00E15D51">
            <w:pPr>
              <w:textAlignment w:val="bottom"/>
            </w:pPr>
            <w:r>
              <w:rPr>
                <w:rFonts w:ascii="Arial" w:eastAsia="宋体" w:hAnsi="Arial" w:cs="Arial"/>
                <w:color w:val="000000"/>
                <w:sz w:val="20"/>
                <w:szCs w:val="20"/>
              </w:rPr>
              <w:t>Total segment revenues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04D" w14:textId="77777777" w:rsidR="00833634" w:rsidRDefault="00E15D51">
            <w:pPr>
              <w:jc w:val="right"/>
              <w:textAlignment w:val="bottom"/>
            </w:pPr>
            <w:r>
              <w:rPr>
                <w:rFonts w:ascii="Arial" w:eastAsia="宋体" w:hAnsi="Arial" w:cs="Arial"/>
                <w:b/>
                <w:bCs/>
                <w:color w:val="000000"/>
                <w:sz w:val="20"/>
                <w:szCs w:val="20"/>
              </w:rPr>
              <w:t>$11,810</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04E"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04F"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050" w14:textId="77777777" w:rsidR="00833634" w:rsidRDefault="00E15D51">
            <w:pPr>
              <w:jc w:val="right"/>
              <w:textAlignment w:val="bottom"/>
            </w:pPr>
            <w:r>
              <w:rPr>
                <w:rFonts w:ascii="Arial" w:eastAsia="宋体" w:hAnsi="Arial" w:cs="Arial"/>
                <w:color w:val="000000"/>
                <w:sz w:val="20"/>
                <w:szCs w:val="20"/>
              </w:rPr>
              <w:t>$13,820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051"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052"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053" w14:textId="77777777" w:rsidR="00833634" w:rsidRDefault="00E15D51">
            <w:pPr>
              <w:jc w:val="right"/>
              <w:textAlignment w:val="bottom"/>
            </w:pPr>
            <w:r>
              <w:rPr>
                <w:rFonts w:ascii="Arial" w:eastAsia="宋体" w:hAnsi="Arial" w:cs="Arial"/>
                <w:b/>
                <w:bCs/>
                <w:color w:val="000000"/>
                <w:sz w:val="20"/>
                <w:szCs w:val="20"/>
              </w:rPr>
              <w:t>$3,694</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054"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055"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056" w14:textId="77777777" w:rsidR="00833634" w:rsidRDefault="00E15D51">
            <w:pPr>
              <w:jc w:val="right"/>
              <w:textAlignment w:val="bottom"/>
            </w:pPr>
            <w:r>
              <w:rPr>
                <w:rFonts w:ascii="Arial" w:eastAsia="宋体" w:hAnsi="Arial" w:cs="Arial"/>
                <w:color w:val="000000"/>
                <w:sz w:val="20"/>
                <w:szCs w:val="20"/>
              </w:rPr>
              <w:t>$4,658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057" w14:textId="77777777" w:rsidR="00833634" w:rsidRDefault="00833634">
            <w:pPr>
              <w:jc w:val="right"/>
              <w:rPr>
                <w:rFonts w:ascii="宋体"/>
              </w:rPr>
            </w:pPr>
          </w:p>
        </w:tc>
      </w:tr>
      <w:tr w:rsidR="00833634" w14:paraId="4090F061" w14:textId="77777777">
        <w:trPr>
          <w:trHeight w:val="100"/>
        </w:trPr>
        <w:tc>
          <w:tcPr>
            <w:tcW w:w="0" w:type="auto"/>
            <w:gridSpan w:val="3"/>
            <w:tcBorders>
              <w:top w:val="double" w:sz="6" w:space="0" w:color="000000"/>
            </w:tcBorders>
            <w:shd w:val="clear" w:color="auto" w:fill="CCEEFF"/>
            <w:tcMar>
              <w:top w:w="0" w:type="dxa"/>
              <w:left w:w="20" w:type="dxa"/>
              <w:bottom w:w="0" w:type="dxa"/>
              <w:right w:w="20" w:type="dxa"/>
            </w:tcMar>
          </w:tcPr>
          <w:p w14:paraId="4090F059"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05A"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05B"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05C"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05D"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05E"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05F"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060" w14:textId="77777777" w:rsidR="00833634" w:rsidRDefault="00833634">
            <w:pPr>
              <w:rPr>
                <w:rFonts w:ascii="宋体"/>
              </w:rPr>
            </w:pPr>
          </w:p>
        </w:tc>
      </w:tr>
      <w:tr w:rsidR="00833634" w14:paraId="4090F06E" w14:textId="77777777">
        <w:tc>
          <w:tcPr>
            <w:tcW w:w="0" w:type="auto"/>
            <w:gridSpan w:val="3"/>
            <w:shd w:val="clear" w:color="auto" w:fill="FFFFFF"/>
            <w:tcMar>
              <w:top w:w="40" w:type="dxa"/>
              <w:left w:w="20" w:type="dxa"/>
              <w:bottom w:w="40" w:type="dxa"/>
              <w:right w:w="20" w:type="dxa"/>
            </w:tcMar>
            <w:vAlign w:val="bottom"/>
          </w:tcPr>
          <w:p w14:paraId="4090F062" w14:textId="77777777" w:rsidR="00833634" w:rsidRDefault="00E15D51">
            <w:pPr>
              <w:textAlignment w:val="bottom"/>
            </w:pPr>
            <w:r>
              <w:rPr>
                <w:rFonts w:ascii="Arial" w:eastAsia="宋体" w:hAnsi="Arial" w:cs="Arial"/>
                <w:color w:val="000000"/>
                <w:sz w:val="20"/>
                <w:szCs w:val="20"/>
              </w:rPr>
              <w:t>Revenue recognized at a point in time</w:t>
            </w:r>
          </w:p>
        </w:tc>
        <w:tc>
          <w:tcPr>
            <w:tcW w:w="0" w:type="auto"/>
            <w:gridSpan w:val="2"/>
            <w:shd w:val="clear" w:color="auto" w:fill="FFFFFF"/>
            <w:tcMar>
              <w:top w:w="40" w:type="dxa"/>
              <w:left w:w="20" w:type="dxa"/>
              <w:bottom w:w="40" w:type="dxa"/>
              <w:right w:w="0" w:type="dxa"/>
            </w:tcMar>
            <w:vAlign w:val="bottom"/>
          </w:tcPr>
          <w:p w14:paraId="4090F063" w14:textId="77777777" w:rsidR="00833634" w:rsidRDefault="00E15D51">
            <w:pPr>
              <w:jc w:val="right"/>
              <w:textAlignment w:val="bottom"/>
            </w:pPr>
            <w:r>
              <w:rPr>
                <w:rFonts w:ascii="Arial" w:eastAsia="宋体" w:hAnsi="Arial" w:cs="Arial"/>
                <w:b/>
                <w:bCs/>
                <w:color w:val="000000"/>
                <w:sz w:val="20"/>
                <w:szCs w:val="20"/>
              </w:rPr>
              <w:t>47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064"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F06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66" w14:textId="77777777" w:rsidR="00833634" w:rsidRDefault="00E15D51">
            <w:pPr>
              <w:jc w:val="right"/>
              <w:textAlignment w:val="bottom"/>
            </w:pPr>
            <w:r>
              <w:rPr>
                <w:rFonts w:ascii="Arial" w:eastAsia="宋体" w:hAnsi="Arial" w:cs="Arial"/>
                <w:color w:val="000000"/>
                <w:sz w:val="20"/>
                <w:szCs w:val="20"/>
              </w:rPr>
              <w:t>56 </w:t>
            </w:r>
          </w:p>
        </w:tc>
        <w:tc>
          <w:tcPr>
            <w:tcW w:w="0" w:type="auto"/>
            <w:shd w:val="clear" w:color="auto" w:fill="FFFFFF"/>
            <w:tcMar>
              <w:top w:w="40" w:type="dxa"/>
              <w:left w:w="0" w:type="dxa"/>
              <w:bottom w:w="40" w:type="dxa"/>
              <w:right w:w="20" w:type="dxa"/>
            </w:tcMar>
            <w:vAlign w:val="bottom"/>
          </w:tcPr>
          <w:p w14:paraId="4090F067" w14:textId="77777777" w:rsidR="00833634" w:rsidRDefault="00E15D51">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4090F06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69" w14:textId="77777777" w:rsidR="00833634" w:rsidRDefault="00E15D51">
            <w:pPr>
              <w:jc w:val="right"/>
              <w:textAlignment w:val="bottom"/>
            </w:pPr>
            <w:r>
              <w:rPr>
                <w:rFonts w:ascii="Arial" w:eastAsia="宋体" w:hAnsi="Arial" w:cs="Arial"/>
                <w:b/>
                <w:bCs/>
                <w:color w:val="000000"/>
                <w:sz w:val="20"/>
                <w:szCs w:val="20"/>
              </w:rPr>
              <w:t>42</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06A"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F06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6C" w14:textId="77777777" w:rsidR="00833634" w:rsidRDefault="00E15D51">
            <w:pPr>
              <w:jc w:val="right"/>
              <w:textAlignment w:val="bottom"/>
            </w:pPr>
            <w:r>
              <w:rPr>
                <w:rFonts w:ascii="Arial" w:eastAsia="宋体" w:hAnsi="Arial" w:cs="Arial"/>
                <w:color w:val="000000"/>
                <w:sz w:val="20"/>
                <w:szCs w:val="20"/>
              </w:rPr>
              <w:t>54 </w:t>
            </w:r>
          </w:p>
        </w:tc>
        <w:tc>
          <w:tcPr>
            <w:tcW w:w="0" w:type="auto"/>
            <w:shd w:val="clear" w:color="auto" w:fill="FFFFFF"/>
            <w:tcMar>
              <w:top w:w="40" w:type="dxa"/>
              <w:left w:w="0" w:type="dxa"/>
              <w:bottom w:w="40" w:type="dxa"/>
              <w:right w:w="20" w:type="dxa"/>
            </w:tcMar>
            <w:vAlign w:val="bottom"/>
          </w:tcPr>
          <w:p w14:paraId="4090F06D" w14:textId="77777777" w:rsidR="00833634" w:rsidRDefault="00E15D51">
            <w:pPr>
              <w:jc w:val="right"/>
              <w:textAlignment w:val="bottom"/>
            </w:pPr>
            <w:r>
              <w:rPr>
                <w:rFonts w:ascii="Arial" w:eastAsia="宋体" w:hAnsi="Arial" w:cs="Arial"/>
                <w:color w:val="000000"/>
                <w:sz w:val="20"/>
                <w:szCs w:val="20"/>
              </w:rPr>
              <w:t>%</w:t>
            </w:r>
          </w:p>
        </w:tc>
      </w:tr>
      <w:tr w:rsidR="00833634" w14:paraId="4090F077" w14:textId="77777777">
        <w:trPr>
          <w:trHeight w:val="100"/>
        </w:trPr>
        <w:tc>
          <w:tcPr>
            <w:tcW w:w="0" w:type="auto"/>
            <w:gridSpan w:val="3"/>
            <w:shd w:val="clear" w:color="auto" w:fill="CCEEFF"/>
            <w:tcMar>
              <w:top w:w="0" w:type="dxa"/>
              <w:left w:w="20" w:type="dxa"/>
              <w:bottom w:w="0" w:type="dxa"/>
              <w:right w:w="20" w:type="dxa"/>
            </w:tcMar>
          </w:tcPr>
          <w:p w14:paraId="4090F06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7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71"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72"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73"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74"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7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76" w14:textId="77777777" w:rsidR="00833634" w:rsidRDefault="00833634">
            <w:pPr>
              <w:rPr>
                <w:rFonts w:ascii="宋体"/>
              </w:rPr>
            </w:pPr>
          </w:p>
        </w:tc>
      </w:tr>
      <w:tr w:rsidR="00833634" w14:paraId="4090F084" w14:textId="77777777">
        <w:tc>
          <w:tcPr>
            <w:tcW w:w="0" w:type="auto"/>
            <w:gridSpan w:val="3"/>
            <w:shd w:val="clear" w:color="auto" w:fill="FFFFFF"/>
            <w:tcMar>
              <w:top w:w="40" w:type="dxa"/>
              <w:left w:w="20" w:type="dxa"/>
              <w:bottom w:w="40" w:type="dxa"/>
              <w:right w:w="20" w:type="dxa"/>
            </w:tcMar>
            <w:vAlign w:val="bottom"/>
          </w:tcPr>
          <w:p w14:paraId="4090F078" w14:textId="77777777" w:rsidR="00833634" w:rsidRDefault="00E15D51">
            <w:pPr>
              <w:textAlignment w:val="bottom"/>
            </w:pPr>
            <w:r>
              <w:rPr>
                <w:rFonts w:ascii="Arial" w:eastAsia="宋体" w:hAnsi="Arial" w:cs="Arial"/>
                <w:color w:val="000000"/>
                <w:sz w:val="20"/>
                <w:szCs w:val="20"/>
              </w:rPr>
              <w:t>Revenue recognized on fixed-price contracts</w:t>
            </w:r>
          </w:p>
        </w:tc>
        <w:tc>
          <w:tcPr>
            <w:tcW w:w="0" w:type="auto"/>
            <w:gridSpan w:val="2"/>
            <w:shd w:val="clear" w:color="auto" w:fill="FFFFFF"/>
            <w:tcMar>
              <w:top w:w="40" w:type="dxa"/>
              <w:left w:w="20" w:type="dxa"/>
              <w:bottom w:w="40" w:type="dxa"/>
              <w:right w:w="0" w:type="dxa"/>
            </w:tcMar>
            <w:vAlign w:val="bottom"/>
          </w:tcPr>
          <w:p w14:paraId="4090F079" w14:textId="77777777" w:rsidR="00833634" w:rsidRDefault="00E15D51">
            <w:pPr>
              <w:jc w:val="right"/>
              <w:textAlignment w:val="bottom"/>
            </w:pPr>
            <w:r>
              <w:rPr>
                <w:rFonts w:ascii="Arial" w:eastAsia="宋体" w:hAnsi="Arial" w:cs="Arial"/>
                <w:b/>
                <w:bCs/>
                <w:color w:val="000000"/>
                <w:sz w:val="20"/>
                <w:szCs w:val="20"/>
              </w:rPr>
              <w:t>88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07A"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F07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7C" w14:textId="77777777" w:rsidR="00833634" w:rsidRDefault="00E15D51">
            <w:pPr>
              <w:jc w:val="right"/>
              <w:textAlignment w:val="bottom"/>
            </w:pPr>
            <w:r>
              <w:rPr>
                <w:rFonts w:ascii="Arial" w:eastAsia="宋体" w:hAnsi="Arial" w:cs="Arial"/>
                <w:color w:val="000000"/>
                <w:sz w:val="20"/>
                <w:szCs w:val="20"/>
              </w:rPr>
              <w:t>89 </w:t>
            </w:r>
          </w:p>
        </w:tc>
        <w:tc>
          <w:tcPr>
            <w:tcW w:w="0" w:type="auto"/>
            <w:shd w:val="clear" w:color="auto" w:fill="FFFFFF"/>
            <w:tcMar>
              <w:top w:w="40" w:type="dxa"/>
              <w:left w:w="0" w:type="dxa"/>
              <w:bottom w:w="40" w:type="dxa"/>
              <w:right w:w="20" w:type="dxa"/>
            </w:tcMar>
            <w:vAlign w:val="bottom"/>
          </w:tcPr>
          <w:p w14:paraId="4090F07D" w14:textId="77777777" w:rsidR="00833634" w:rsidRDefault="00E15D51">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4090F07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7F" w14:textId="77777777" w:rsidR="00833634" w:rsidRDefault="00E15D51">
            <w:pPr>
              <w:jc w:val="right"/>
              <w:textAlignment w:val="bottom"/>
            </w:pPr>
            <w:r>
              <w:rPr>
                <w:rFonts w:ascii="Arial" w:eastAsia="宋体" w:hAnsi="Arial" w:cs="Arial"/>
                <w:b/>
                <w:bCs/>
                <w:color w:val="000000"/>
                <w:sz w:val="20"/>
                <w:szCs w:val="20"/>
              </w:rPr>
              <w:t>87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080"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F08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82" w14:textId="77777777" w:rsidR="00833634" w:rsidRDefault="00E15D51">
            <w:pPr>
              <w:jc w:val="right"/>
              <w:textAlignment w:val="bottom"/>
            </w:pPr>
            <w:r>
              <w:rPr>
                <w:rFonts w:ascii="Arial" w:eastAsia="宋体" w:hAnsi="Arial" w:cs="Arial"/>
                <w:color w:val="000000"/>
                <w:sz w:val="20"/>
                <w:szCs w:val="20"/>
              </w:rPr>
              <w:t>90 </w:t>
            </w:r>
          </w:p>
        </w:tc>
        <w:tc>
          <w:tcPr>
            <w:tcW w:w="0" w:type="auto"/>
            <w:shd w:val="clear" w:color="auto" w:fill="FFFFFF"/>
            <w:tcMar>
              <w:top w:w="40" w:type="dxa"/>
              <w:left w:w="0" w:type="dxa"/>
              <w:bottom w:w="40" w:type="dxa"/>
              <w:right w:w="20" w:type="dxa"/>
            </w:tcMar>
            <w:vAlign w:val="bottom"/>
          </w:tcPr>
          <w:p w14:paraId="4090F083" w14:textId="77777777" w:rsidR="00833634" w:rsidRDefault="00E15D51">
            <w:pPr>
              <w:jc w:val="right"/>
              <w:textAlignment w:val="bottom"/>
            </w:pPr>
            <w:r>
              <w:rPr>
                <w:rFonts w:ascii="Arial" w:eastAsia="宋体" w:hAnsi="Arial" w:cs="Arial"/>
                <w:color w:val="000000"/>
                <w:sz w:val="20"/>
                <w:szCs w:val="20"/>
              </w:rPr>
              <w:t>%</w:t>
            </w:r>
          </w:p>
        </w:tc>
      </w:tr>
      <w:tr w:rsidR="00833634" w14:paraId="4090F08D" w14:textId="77777777">
        <w:trPr>
          <w:trHeight w:val="100"/>
        </w:trPr>
        <w:tc>
          <w:tcPr>
            <w:tcW w:w="0" w:type="auto"/>
            <w:gridSpan w:val="3"/>
            <w:shd w:val="clear" w:color="auto" w:fill="CCEEFF"/>
            <w:tcMar>
              <w:top w:w="0" w:type="dxa"/>
              <w:left w:w="20" w:type="dxa"/>
              <w:bottom w:w="0" w:type="dxa"/>
              <w:right w:w="20" w:type="dxa"/>
            </w:tcMar>
          </w:tcPr>
          <w:p w14:paraId="4090F08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8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8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8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8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8A"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8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08C" w14:textId="77777777" w:rsidR="00833634" w:rsidRDefault="00833634">
            <w:pPr>
              <w:rPr>
                <w:rFonts w:ascii="宋体"/>
              </w:rPr>
            </w:pPr>
          </w:p>
        </w:tc>
      </w:tr>
      <w:tr w:rsidR="00833634" w14:paraId="4090F09A" w14:textId="77777777">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4090F08E" w14:textId="77777777" w:rsidR="00833634" w:rsidRDefault="00E15D51">
            <w:pPr>
              <w:textAlignment w:val="bottom"/>
            </w:pPr>
            <w:r>
              <w:rPr>
                <w:rFonts w:ascii="Arial" w:eastAsia="宋体" w:hAnsi="Arial" w:cs="Arial"/>
                <w:color w:val="000000"/>
                <w:sz w:val="20"/>
                <w:szCs w:val="20"/>
              </w:rPr>
              <w:t>Revenue from the U.S. government</w:t>
            </w:r>
            <w:r>
              <w:rPr>
                <w:rFonts w:ascii="Arial" w:eastAsia="宋体" w:hAnsi="Arial" w:cs="Arial"/>
                <w:color w:val="000000"/>
                <w:sz w:val="13"/>
                <w:szCs w:val="13"/>
              </w:rPr>
              <w:t>(1)</w:t>
            </w: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F08F" w14:textId="77777777" w:rsidR="00833634" w:rsidRDefault="00E15D51">
            <w:pPr>
              <w:jc w:val="right"/>
              <w:textAlignment w:val="bottom"/>
            </w:pPr>
            <w:r>
              <w:rPr>
                <w:rFonts w:ascii="Arial" w:eastAsia="宋体" w:hAnsi="Arial" w:cs="Arial"/>
                <w:b/>
                <w:bCs/>
                <w:color w:val="000000"/>
                <w:sz w:val="20"/>
                <w:szCs w:val="20"/>
              </w:rPr>
              <w:t>41</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F090"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4090F091"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F092" w14:textId="77777777" w:rsidR="00833634" w:rsidRDefault="00E15D51">
            <w:pPr>
              <w:jc w:val="right"/>
              <w:textAlignment w:val="bottom"/>
            </w:pPr>
            <w:r>
              <w:rPr>
                <w:rFonts w:ascii="Arial" w:eastAsia="宋体" w:hAnsi="Arial" w:cs="Arial"/>
                <w:color w:val="000000"/>
                <w:sz w:val="20"/>
                <w:szCs w:val="20"/>
              </w:rPr>
              <w:t>33 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F093" w14:textId="77777777" w:rsidR="00833634" w:rsidRDefault="00E15D51">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4090F094"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F095" w14:textId="77777777" w:rsidR="00833634" w:rsidRDefault="00E15D51">
            <w:pPr>
              <w:jc w:val="right"/>
              <w:textAlignment w:val="bottom"/>
            </w:pPr>
            <w:r>
              <w:rPr>
                <w:rFonts w:ascii="Arial" w:eastAsia="宋体" w:hAnsi="Arial" w:cs="Arial"/>
                <w:b/>
                <w:bCs/>
                <w:color w:val="000000"/>
                <w:sz w:val="20"/>
                <w:szCs w:val="20"/>
              </w:rPr>
              <w:t>45</w:t>
            </w:r>
            <w:r>
              <w:rPr>
                <w:rFonts w:ascii="Arial" w:eastAsia="宋体" w:hAnsi="Arial" w:cs="Arial"/>
                <w:color w:val="000000"/>
                <w:sz w:val="20"/>
                <w:szCs w:val="20"/>
              </w:rPr>
              <w:t>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F096"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FFFFFF"/>
            <w:tcMar>
              <w:top w:w="0" w:type="dxa"/>
              <w:left w:w="20" w:type="dxa"/>
              <w:bottom w:w="0" w:type="dxa"/>
              <w:right w:w="20" w:type="dxa"/>
            </w:tcMar>
          </w:tcPr>
          <w:p w14:paraId="4090F097" w14:textId="77777777" w:rsidR="00833634" w:rsidRDefault="00833634">
            <w:pPr>
              <w:rPr>
                <w:rFonts w:ascii="宋体"/>
              </w:rPr>
            </w:pPr>
          </w:p>
        </w:tc>
        <w:tc>
          <w:tcPr>
            <w:tcW w:w="0" w:type="auto"/>
            <w:gridSpan w:val="2"/>
            <w:tcBorders>
              <w:bottom w:val="double" w:sz="6" w:space="0" w:color="000000"/>
            </w:tcBorders>
            <w:shd w:val="clear" w:color="auto" w:fill="FFFFFF"/>
            <w:tcMar>
              <w:top w:w="40" w:type="dxa"/>
              <w:left w:w="20" w:type="dxa"/>
              <w:bottom w:w="40" w:type="dxa"/>
              <w:right w:w="0" w:type="dxa"/>
            </w:tcMar>
            <w:vAlign w:val="bottom"/>
          </w:tcPr>
          <w:p w14:paraId="4090F098" w14:textId="77777777" w:rsidR="00833634" w:rsidRDefault="00E15D51">
            <w:pPr>
              <w:jc w:val="right"/>
              <w:textAlignment w:val="bottom"/>
            </w:pPr>
            <w:r>
              <w:rPr>
                <w:rFonts w:ascii="Arial" w:eastAsia="宋体" w:hAnsi="Arial" w:cs="Arial"/>
                <w:color w:val="000000"/>
                <w:sz w:val="20"/>
                <w:szCs w:val="20"/>
              </w:rPr>
              <w:t>35 </w:t>
            </w:r>
          </w:p>
        </w:tc>
        <w:tc>
          <w:tcPr>
            <w:tcW w:w="0" w:type="auto"/>
            <w:tcBorders>
              <w:bottom w:val="double" w:sz="6" w:space="0" w:color="000000"/>
            </w:tcBorders>
            <w:shd w:val="clear" w:color="auto" w:fill="FFFFFF"/>
            <w:tcMar>
              <w:top w:w="40" w:type="dxa"/>
              <w:left w:w="0" w:type="dxa"/>
              <w:bottom w:w="40" w:type="dxa"/>
              <w:right w:w="20" w:type="dxa"/>
            </w:tcMar>
            <w:vAlign w:val="bottom"/>
          </w:tcPr>
          <w:p w14:paraId="4090F099" w14:textId="77777777" w:rsidR="00833634" w:rsidRDefault="00E15D51">
            <w:pPr>
              <w:jc w:val="right"/>
              <w:textAlignment w:val="bottom"/>
            </w:pPr>
            <w:r>
              <w:rPr>
                <w:rFonts w:ascii="Arial" w:eastAsia="宋体" w:hAnsi="Arial" w:cs="Arial"/>
                <w:color w:val="000000"/>
                <w:sz w:val="20"/>
                <w:szCs w:val="20"/>
              </w:rPr>
              <w:t>%</w:t>
            </w:r>
          </w:p>
        </w:tc>
      </w:tr>
    </w:tbl>
    <w:p w14:paraId="4090F09B" w14:textId="77777777" w:rsidR="00833634" w:rsidRDefault="00E15D51">
      <w:pPr>
        <w:spacing w:after="180"/>
        <w:ind w:hanging="360"/>
        <w:jc w:val="both"/>
      </w:pPr>
      <w:r>
        <w:rPr>
          <w:rFonts w:ascii="Arial" w:eastAsia="宋体" w:hAnsi="Arial" w:cs="Arial"/>
          <w:color w:val="000000"/>
          <w:sz w:val="13"/>
          <w:szCs w:val="13"/>
        </w:rPr>
        <w:t>(1)</w:t>
      </w:r>
      <w:r>
        <w:rPr>
          <w:rFonts w:ascii="Arial" w:eastAsia="宋体" w:hAnsi="Arial" w:cs="Arial"/>
          <w:color w:val="000000"/>
          <w:sz w:val="20"/>
          <w:szCs w:val="20"/>
        </w:rPr>
        <w:t>Includes revenues earned from foreign military sales through the U.S. government.</w:t>
      </w:r>
    </w:p>
    <w:p w14:paraId="4090F09C" w14:textId="77777777" w:rsidR="00833634" w:rsidRDefault="00E15D51">
      <w:pPr>
        <w:spacing w:after="180"/>
        <w:jc w:val="both"/>
      </w:pPr>
      <w:r>
        <w:rPr>
          <w:rFonts w:ascii="Arial" w:eastAsia="宋体" w:hAnsi="Arial" w:cs="Arial"/>
          <w:b/>
          <w:bCs/>
          <w:color w:val="000000"/>
          <w:sz w:val="20"/>
          <w:szCs w:val="20"/>
        </w:rPr>
        <w:t>Backlog</w:t>
      </w:r>
    </w:p>
    <w:p w14:paraId="4090F09D" w14:textId="77777777" w:rsidR="00833634" w:rsidRDefault="00E15D51">
      <w:pPr>
        <w:spacing w:after="180"/>
        <w:jc w:val="both"/>
      </w:pPr>
      <w:r>
        <w:rPr>
          <w:rFonts w:ascii="Arial" w:eastAsia="宋体" w:hAnsi="Arial" w:cs="Arial"/>
          <w:color w:val="000000"/>
          <w:sz w:val="20"/>
          <w:szCs w:val="20"/>
        </w:rPr>
        <w:t>Our total backlog represents the estimated transaction prices on performance obligations to our customers for which work remai</w:t>
      </w:r>
      <w:r>
        <w:rPr>
          <w:rFonts w:ascii="Arial" w:eastAsia="宋体" w:hAnsi="Arial" w:cs="Arial"/>
          <w:color w:val="000000"/>
          <w:sz w:val="20"/>
          <w:szCs w:val="20"/>
        </w:rPr>
        <w:t>ns to be performed. Backlog is converted into revenue in future periods as work is performed, primarily based on the cost incurred or at delivery and acceptance of products, depending on the applicable accounting method.</w:t>
      </w:r>
    </w:p>
    <w:p w14:paraId="4090F09E" w14:textId="77777777" w:rsidR="00833634" w:rsidRDefault="00E15D51">
      <w:pPr>
        <w:spacing w:after="180"/>
        <w:jc w:val="both"/>
      </w:pPr>
      <w:r>
        <w:rPr>
          <w:rFonts w:ascii="Arial" w:eastAsia="宋体" w:hAnsi="Arial" w:cs="Arial"/>
          <w:color w:val="000000"/>
          <w:sz w:val="20"/>
          <w:szCs w:val="20"/>
        </w:rPr>
        <w:t>Our backlog at September 30, 2020 w</w:t>
      </w:r>
      <w:r>
        <w:rPr>
          <w:rFonts w:ascii="Arial" w:eastAsia="宋体" w:hAnsi="Arial" w:cs="Arial"/>
          <w:color w:val="000000"/>
          <w:sz w:val="20"/>
          <w:szCs w:val="20"/>
        </w:rPr>
        <w:t>as $393,067. We expect approximately 24% to be converted to revenue through 2021 and approximately 68% through 2024, with the remainder thereafter. There is significant uncertainty regarding the timing of when backlog will convert into revenue due to the o</w:t>
      </w:r>
      <w:r>
        <w:rPr>
          <w:rFonts w:ascii="Arial" w:eastAsia="宋体" w:hAnsi="Arial" w:cs="Arial"/>
          <w:color w:val="000000"/>
          <w:sz w:val="20"/>
          <w:szCs w:val="20"/>
        </w:rPr>
        <w:t xml:space="preserve">ngoing 737 MAX grounding and COVID-19 impacts.  </w:t>
      </w:r>
    </w:p>
    <w:p w14:paraId="4090F09F" w14:textId="77777777" w:rsidR="00833634" w:rsidRDefault="00E15D51">
      <w:pPr>
        <w:spacing w:after="180"/>
        <w:jc w:val="center"/>
      </w:pPr>
      <w:r>
        <w:rPr>
          <w:rFonts w:ascii="Arial" w:eastAsia="宋体" w:hAnsi="Arial" w:cs="Arial"/>
          <w:color w:val="000000"/>
          <w:sz w:val="18"/>
          <w:szCs w:val="18"/>
        </w:rPr>
        <w:t>33</w:t>
      </w:r>
    </w:p>
    <w:p w14:paraId="4090F0A0" w14:textId="77777777" w:rsidR="00833634" w:rsidRDefault="00E15D51">
      <w:r>
        <w:pict w14:anchorId="4090FE41">
          <v:rect id="_x0000_i1059" style="width:415.3pt;height:1.5pt" o:hralign="center" o:hrstd="t" o:hr="t" fillcolor="#a0a0a0" stroked="f"/>
        </w:pict>
      </w:r>
    </w:p>
    <w:p w14:paraId="4090F0A1" w14:textId="77777777" w:rsidR="00833634" w:rsidRDefault="00E15D51">
      <w:pPr>
        <w:spacing w:after="180"/>
        <w:jc w:val="both"/>
      </w:pPr>
      <w:hyperlink r:id="rId136" w:anchor="i8d805bfb1e1c4815a1dcd5b6d1e0b117_10" w:history="1">
        <w:r>
          <w:rPr>
            <w:rStyle w:val="a5"/>
            <w:rFonts w:ascii="Arial" w:eastAsia="宋体" w:hAnsi="Arial" w:cs="Arial"/>
            <w:sz w:val="18"/>
            <w:szCs w:val="18"/>
          </w:rPr>
          <w:t>Table of Contents</w:t>
        </w:r>
      </w:hyperlink>
    </w:p>
    <w:p w14:paraId="4090F0A2" w14:textId="77777777" w:rsidR="00833634" w:rsidRDefault="00E15D51">
      <w:pPr>
        <w:spacing w:after="180"/>
        <w:jc w:val="both"/>
      </w:pPr>
      <w:r>
        <w:rPr>
          <w:rFonts w:ascii="Arial" w:eastAsia="宋体" w:hAnsi="Arial" w:cs="Arial"/>
          <w:b/>
          <w:bCs/>
          <w:color w:val="000000"/>
          <w:sz w:val="20"/>
          <w:szCs w:val="20"/>
        </w:rPr>
        <w:t xml:space="preserve">Unallocated Items, </w:t>
      </w:r>
      <w:r>
        <w:rPr>
          <w:rFonts w:ascii="Arial" w:eastAsia="宋体" w:hAnsi="Arial" w:cs="Arial"/>
          <w:b/>
          <w:bCs/>
          <w:color w:val="000000"/>
          <w:sz w:val="20"/>
          <w:szCs w:val="20"/>
        </w:rPr>
        <w:t>Eliminations and other</w:t>
      </w:r>
    </w:p>
    <w:p w14:paraId="4090F0A3" w14:textId="77777777" w:rsidR="00833634" w:rsidRDefault="00E15D51">
      <w:pPr>
        <w:jc w:val="both"/>
      </w:pPr>
      <w:r>
        <w:rPr>
          <w:rFonts w:ascii="Arial" w:eastAsia="宋体" w:hAnsi="Arial" w:cs="Arial"/>
          <w:color w:val="000000"/>
          <w:sz w:val="20"/>
          <w:szCs w:val="20"/>
        </w:rPr>
        <w:t xml:space="preserve">Unallocated items, eliminations and other include common internal services that support Boeing’s global business operations, intercompany guarantees provided to BCC and eliminations of certain sales between segments. Such sales </w:t>
      </w:r>
      <w:r>
        <w:rPr>
          <w:rFonts w:ascii="Arial" w:eastAsia="宋体" w:hAnsi="Arial" w:cs="Arial"/>
          <w:color w:val="000000"/>
          <w:sz w:val="20"/>
          <w:szCs w:val="20"/>
        </w:rPr>
        <w:t>include airplanes accounted for as operating leases and considered transferred to the BCC segment. We generally allocate costs to business segments based on the U.S. federal cost accounting standards. Components of Unallocated items, eliminations and other</w:t>
      </w:r>
      <w:r>
        <w:rPr>
          <w:rFonts w:ascii="Arial" w:eastAsia="宋体" w:hAnsi="Arial" w:cs="Arial"/>
          <w:color w:val="000000"/>
          <w:sz w:val="20"/>
          <w:szCs w:val="20"/>
        </w:rPr>
        <w:t xml:space="preserve"> are shown in the following table.</w:t>
      </w:r>
    </w:p>
    <w:tbl>
      <w:tblPr>
        <w:tblW w:w="5000" w:type="pct"/>
        <w:tblCellMar>
          <w:top w:w="15" w:type="dxa"/>
          <w:left w:w="15" w:type="dxa"/>
          <w:bottom w:w="15" w:type="dxa"/>
          <w:right w:w="15" w:type="dxa"/>
        </w:tblCellMar>
        <w:tblLook w:val="04A0" w:firstRow="1" w:lastRow="0" w:firstColumn="1" w:lastColumn="0" w:noHBand="0" w:noVBand="1"/>
      </w:tblPr>
      <w:tblGrid>
        <w:gridCol w:w="59"/>
        <w:gridCol w:w="4256"/>
        <w:gridCol w:w="38"/>
        <w:gridCol w:w="62"/>
        <w:gridCol w:w="828"/>
        <w:gridCol w:w="37"/>
        <w:gridCol w:w="37"/>
        <w:gridCol w:w="37"/>
        <w:gridCol w:w="36"/>
        <w:gridCol w:w="70"/>
        <w:gridCol w:w="783"/>
        <w:gridCol w:w="36"/>
        <w:gridCol w:w="36"/>
        <w:gridCol w:w="36"/>
        <w:gridCol w:w="36"/>
        <w:gridCol w:w="54"/>
        <w:gridCol w:w="828"/>
        <w:gridCol w:w="37"/>
        <w:gridCol w:w="37"/>
        <w:gridCol w:w="36"/>
        <w:gridCol w:w="36"/>
        <w:gridCol w:w="54"/>
        <w:gridCol w:w="831"/>
        <w:gridCol w:w="36"/>
      </w:tblGrid>
      <w:tr w:rsidR="00833634" w14:paraId="4090F0BC" w14:textId="77777777">
        <w:tc>
          <w:tcPr>
            <w:tcW w:w="50" w:type="pct"/>
            <w:shd w:val="clear" w:color="auto" w:fill="auto"/>
          </w:tcPr>
          <w:p w14:paraId="4090F0A4" w14:textId="77777777" w:rsidR="00833634" w:rsidRDefault="00833634">
            <w:pPr>
              <w:rPr>
                <w:rFonts w:ascii="宋体"/>
              </w:rPr>
            </w:pPr>
          </w:p>
        </w:tc>
        <w:tc>
          <w:tcPr>
            <w:tcW w:w="2565" w:type="pct"/>
            <w:shd w:val="clear" w:color="auto" w:fill="auto"/>
          </w:tcPr>
          <w:p w14:paraId="4090F0A5" w14:textId="77777777" w:rsidR="00833634" w:rsidRDefault="00833634">
            <w:pPr>
              <w:rPr>
                <w:rFonts w:ascii="宋体"/>
              </w:rPr>
            </w:pPr>
          </w:p>
        </w:tc>
        <w:tc>
          <w:tcPr>
            <w:tcW w:w="5" w:type="pct"/>
            <w:shd w:val="clear" w:color="auto" w:fill="auto"/>
          </w:tcPr>
          <w:p w14:paraId="4090F0A6" w14:textId="77777777" w:rsidR="00833634" w:rsidRDefault="00833634">
            <w:pPr>
              <w:rPr>
                <w:rFonts w:ascii="宋体"/>
              </w:rPr>
            </w:pPr>
          </w:p>
        </w:tc>
        <w:tc>
          <w:tcPr>
            <w:tcW w:w="50" w:type="pct"/>
            <w:shd w:val="clear" w:color="auto" w:fill="auto"/>
          </w:tcPr>
          <w:p w14:paraId="4090F0A7" w14:textId="77777777" w:rsidR="00833634" w:rsidRDefault="00833634">
            <w:pPr>
              <w:rPr>
                <w:rFonts w:ascii="宋体"/>
              </w:rPr>
            </w:pPr>
          </w:p>
        </w:tc>
        <w:tc>
          <w:tcPr>
            <w:tcW w:w="513" w:type="pct"/>
            <w:shd w:val="clear" w:color="auto" w:fill="auto"/>
          </w:tcPr>
          <w:p w14:paraId="4090F0A8" w14:textId="77777777" w:rsidR="00833634" w:rsidRDefault="00833634">
            <w:pPr>
              <w:rPr>
                <w:rFonts w:ascii="宋体"/>
              </w:rPr>
            </w:pPr>
          </w:p>
        </w:tc>
        <w:tc>
          <w:tcPr>
            <w:tcW w:w="5" w:type="pct"/>
            <w:shd w:val="clear" w:color="auto" w:fill="auto"/>
          </w:tcPr>
          <w:p w14:paraId="4090F0A9" w14:textId="77777777" w:rsidR="00833634" w:rsidRDefault="00833634">
            <w:pPr>
              <w:rPr>
                <w:rFonts w:ascii="宋体"/>
              </w:rPr>
            </w:pPr>
          </w:p>
        </w:tc>
        <w:tc>
          <w:tcPr>
            <w:tcW w:w="5" w:type="pct"/>
            <w:shd w:val="clear" w:color="auto" w:fill="auto"/>
          </w:tcPr>
          <w:p w14:paraId="4090F0AA" w14:textId="77777777" w:rsidR="00833634" w:rsidRDefault="00833634">
            <w:pPr>
              <w:rPr>
                <w:rFonts w:ascii="宋体"/>
              </w:rPr>
            </w:pPr>
          </w:p>
        </w:tc>
        <w:tc>
          <w:tcPr>
            <w:tcW w:w="30" w:type="pct"/>
            <w:shd w:val="clear" w:color="auto" w:fill="auto"/>
          </w:tcPr>
          <w:p w14:paraId="4090F0AB" w14:textId="77777777" w:rsidR="00833634" w:rsidRDefault="00833634">
            <w:pPr>
              <w:rPr>
                <w:rFonts w:ascii="宋体"/>
              </w:rPr>
            </w:pPr>
          </w:p>
        </w:tc>
        <w:tc>
          <w:tcPr>
            <w:tcW w:w="5" w:type="pct"/>
            <w:shd w:val="clear" w:color="auto" w:fill="auto"/>
          </w:tcPr>
          <w:p w14:paraId="4090F0AC" w14:textId="77777777" w:rsidR="00833634" w:rsidRDefault="00833634">
            <w:pPr>
              <w:rPr>
                <w:rFonts w:ascii="宋体"/>
              </w:rPr>
            </w:pPr>
          </w:p>
        </w:tc>
        <w:tc>
          <w:tcPr>
            <w:tcW w:w="50" w:type="pct"/>
            <w:shd w:val="clear" w:color="auto" w:fill="auto"/>
          </w:tcPr>
          <w:p w14:paraId="4090F0AD" w14:textId="77777777" w:rsidR="00833634" w:rsidRDefault="00833634">
            <w:pPr>
              <w:rPr>
                <w:rFonts w:ascii="宋体"/>
              </w:rPr>
            </w:pPr>
          </w:p>
        </w:tc>
        <w:tc>
          <w:tcPr>
            <w:tcW w:w="497" w:type="pct"/>
            <w:shd w:val="clear" w:color="auto" w:fill="auto"/>
          </w:tcPr>
          <w:p w14:paraId="4090F0AE" w14:textId="77777777" w:rsidR="00833634" w:rsidRDefault="00833634">
            <w:pPr>
              <w:rPr>
                <w:rFonts w:ascii="宋体"/>
              </w:rPr>
            </w:pPr>
          </w:p>
        </w:tc>
        <w:tc>
          <w:tcPr>
            <w:tcW w:w="5" w:type="pct"/>
            <w:shd w:val="clear" w:color="auto" w:fill="auto"/>
          </w:tcPr>
          <w:p w14:paraId="4090F0AF" w14:textId="77777777" w:rsidR="00833634" w:rsidRDefault="00833634">
            <w:pPr>
              <w:rPr>
                <w:rFonts w:ascii="宋体"/>
              </w:rPr>
            </w:pPr>
          </w:p>
        </w:tc>
        <w:tc>
          <w:tcPr>
            <w:tcW w:w="5" w:type="pct"/>
            <w:shd w:val="clear" w:color="auto" w:fill="auto"/>
          </w:tcPr>
          <w:p w14:paraId="4090F0B0" w14:textId="77777777" w:rsidR="00833634" w:rsidRDefault="00833634">
            <w:pPr>
              <w:rPr>
                <w:rFonts w:ascii="宋体"/>
              </w:rPr>
            </w:pPr>
          </w:p>
        </w:tc>
        <w:tc>
          <w:tcPr>
            <w:tcW w:w="30" w:type="pct"/>
            <w:shd w:val="clear" w:color="auto" w:fill="auto"/>
          </w:tcPr>
          <w:p w14:paraId="4090F0B1" w14:textId="77777777" w:rsidR="00833634" w:rsidRDefault="00833634">
            <w:pPr>
              <w:rPr>
                <w:rFonts w:ascii="宋体"/>
              </w:rPr>
            </w:pPr>
          </w:p>
        </w:tc>
        <w:tc>
          <w:tcPr>
            <w:tcW w:w="5" w:type="pct"/>
            <w:shd w:val="clear" w:color="auto" w:fill="auto"/>
          </w:tcPr>
          <w:p w14:paraId="4090F0B2" w14:textId="77777777" w:rsidR="00833634" w:rsidRDefault="00833634">
            <w:pPr>
              <w:rPr>
                <w:rFonts w:ascii="宋体"/>
              </w:rPr>
            </w:pPr>
          </w:p>
        </w:tc>
        <w:tc>
          <w:tcPr>
            <w:tcW w:w="50" w:type="pct"/>
            <w:shd w:val="clear" w:color="auto" w:fill="auto"/>
          </w:tcPr>
          <w:p w14:paraId="4090F0B3" w14:textId="77777777" w:rsidR="00833634" w:rsidRDefault="00833634">
            <w:pPr>
              <w:rPr>
                <w:rFonts w:ascii="宋体"/>
              </w:rPr>
            </w:pPr>
          </w:p>
        </w:tc>
        <w:tc>
          <w:tcPr>
            <w:tcW w:w="513" w:type="pct"/>
            <w:shd w:val="clear" w:color="auto" w:fill="auto"/>
          </w:tcPr>
          <w:p w14:paraId="4090F0B4" w14:textId="77777777" w:rsidR="00833634" w:rsidRDefault="00833634">
            <w:pPr>
              <w:rPr>
                <w:rFonts w:ascii="宋体"/>
              </w:rPr>
            </w:pPr>
          </w:p>
        </w:tc>
        <w:tc>
          <w:tcPr>
            <w:tcW w:w="5" w:type="pct"/>
            <w:shd w:val="clear" w:color="auto" w:fill="auto"/>
          </w:tcPr>
          <w:p w14:paraId="4090F0B5" w14:textId="77777777" w:rsidR="00833634" w:rsidRDefault="00833634">
            <w:pPr>
              <w:rPr>
                <w:rFonts w:ascii="宋体"/>
              </w:rPr>
            </w:pPr>
          </w:p>
        </w:tc>
        <w:tc>
          <w:tcPr>
            <w:tcW w:w="5" w:type="pct"/>
            <w:shd w:val="clear" w:color="auto" w:fill="auto"/>
          </w:tcPr>
          <w:p w14:paraId="4090F0B6" w14:textId="77777777" w:rsidR="00833634" w:rsidRDefault="00833634">
            <w:pPr>
              <w:rPr>
                <w:rFonts w:ascii="宋体"/>
              </w:rPr>
            </w:pPr>
          </w:p>
        </w:tc>
        <w:tc>
          <w:tcPr>
            <w:tcW w:w="30" w:type="pct"/>
            <w:shd w:val="clear" w:color="auto" w:fill="auto"/>
          </w:tcPr>
          <w:p w14:paraId="4090F0B7" w14:textId="77777777" w:rsidR="00833634" w:rsidRDefault="00833634">
            <w:pPr>
              <w:rPr>
                <w:rFonts w:ascii="宋体"/>
              </w:rPr>
            </w:pPr>
          </w:p>
        </w:tc>
        <w:tc>
          <w:tcPr>
            <w:tcW w:w="5" w:type="pct"/>
            <w:shd w:val="clear" w:color="auto" w:fill="auto"/>
          </w:tcPr>
          <w:p w14:paraId="4090F0B8" w14:textId="77777777" w:rsidR="00833634" w:rsidRDefault="00833634">
            <w:pPr>
              <w:rPr>
                <w:rFonts w:ascii="宋体"/>
              </w:rPr>
            </w:pPr>
          </w:p>
        </w:tc>
        <w:tc>
          <w:tcPr>
            <w:tcW w:w="50" w:type="pct"/>
            <w:shd w:val="clear" w:color="auto" w:fill="auto"/>
          </w:tcPr>
          <w:p w14:paraId="4090F0B9" w14:textId="77777777" w:rsidR="00833634" w:rsidRDefault="00833634">
            <w:pPr>
              <w:rPr>
                <w:rFonts w:ascii="宋体"/>
              </w:rPr>
            </w:pPr>
          </w:p>
        </w:tc>
        <w:tc>
          <w:tcPr>
            <w:tcW w:w="514" w:type="pct"/>
            <w:shd w:val="clear" w:color="auto" w:fill="auto"/>
          </w:tcPr>
          <w:p w14:paraId="4090F0BA" w14:textId="77777777" w:rsidR="00833634" w:rsidRDefault="00833634">
            <w:pPr>
              <w:rPr>
                <w:rFonts w:ascii="宋体"/>
              </w:rPr>
            </w:pPr>
          </w:p>
        </w:tc>
        <w:tc>
          <w:tcPr>
            <w:tcW w:w="5" w:type="pct"/>
            <w:shd w:val="clear" w:color="auto" w:fill="auto"/>
          </w:tcPr>
          <w:p w14:paraId="4090F0BB" w14:textId="77777777" w:rsidR="00833634" w:rsidRDefault="00833634">
            <w:pPr>
              <w:rPr>
                <w:rFonts w:ascii="宋体"/>
              </w:rPr>
            </w:pPr>
          </w:p>
        </w:tc>
      </w:tr>
      <w:tr w:rsidR="00833634" w14:paraId="4090F0C1" w14:textId="77777777">
        <w:tc>
          <w:tcPr>
            <w:tcW w:w="0" w:type="auto"/>
            <w:gridSpan w:val="3"/>
            <w:shd w:val="clear" w:color="auto" w:fill="auto"/>
            <w:tcMar>
              <w:top w:w="0" w:type="dxa"/>
              <w:left w:w="20" w:type="dxa"/>
              <w:bottom w:w="0" w:type="dxa"/>
              <w:right w:w="20" w:type="dxa"/>
            </w:tcMar>
          </w:tcPr>
          <w:p w14:paraId="4090F0BD"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0BE"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0BF"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0C0"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0CA"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0C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0C3"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0C4"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0C5"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0C6"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0C7"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0C8"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0C9" w14:textId="77777777" w:rsidR="00833634" w:rsidRDefault="00E15D51">
            <w:pPr>
              <w:jc w:val="right"/>
              <w:textAlignment w:val="bottom"/>
            </w:pPr>
            <w:r>
              <w:rPr>
                <w:rFonts w:ascii="Arial" w:eastAsia="宋体" w:hAnsi="Arial" w:cs="Arial"/>
                <w:color w:val="000000"/>
                <w:sz w:val="20"/>
                <w:szCs w:val="20"/>
              </w:rPr>
              <w:t>2019</w:t>
            </w:r>
          </w:p>
        </w:tc>
      </w:tr>
      <w:tr w:rsidR="00833634" w14:paraId="4090F0D7"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0CB" w14:textId="77777777" w:rsidR="00833634" w:rsidRDefault="00E15D51">
            <w:pPr>
              <w:textAlignment w:val="bottom"/>
            </w:pPr>
            <w:r>
              <w:rPr>
                <w:rFonts w:ascii="Arial" w:eastAsia="宋体" w:hAnsi="Arial" w:cs="Arial"/>
                <w:color w:val="000000"/>
                <w:sz w:val="20"/>
                <w:szCs w:val="20"/>
              </w:rPr>
              <w:t>Share-based plans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0CC" w14:textId="77777777" w:rsidR="00833634" w:rsidRDefault="00E15D51">
            <w:pPr>
              <w:jc w:val="right"/>
              <w:textAlignment w:val="bottom"/>
            </w:pPr>
            <w:r>
              <w:rPr>
                <w:rFonts w:ascii="Arial" w:eastAsia="宋体" w:hAnsi="Arial" w:cs="Arial"/>
                <w:b/>
                <w:bCs/>
                <w:color w:val="000000"/>
                <w:sz w:val="20"/>
                <w:szCs w:val="20"/>
              </w:rPr>
              <w:t>($80)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0C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0C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0CF" w14:textId="77777777" w:rsidR="00833634" w:rsidRDefault="00E15D51">
            <w:pPr>
              <w:jc w:val="right"/>
              <w:textAlignment w:val="bottom"/>
            </w:pPr>
            <w:r>
              <w:rPr>
                <w:rFonts w:ascii="Arial" w:eastAsia="宋体" w:hAnsi="Arial" w:cs="Arial"/>
                <w:color w:val="000000"/>
                <w:sz w:val="20"/>
                <w:szCs w:val="20"/>
              </w:rPr>
              <w:t>($57)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0D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0D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0D2" w14:textId="77777777" w:rsidR="00833634" w:rsidRDefault="00E15D51">
            <w:pPr>
              <w:jc w:val="right"/>
              <w:textAlignment w:val="bottom"/>
            </w:pPr>
            <w:r>
              <w:rPr>
                <w:rFonts w:ascii="Arial" w:eastAsia="宋体" w:hAnsi="Arial" w:cs="Arial"/>
                <w:b/>
                <w:bCs/>
                <w:color w:val="000000"/>
                <w:sz w:val="20"/>
                <w:szCs w:val="20"/>
              </w:rPr>
              <w:t>($37)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0D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0D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0D5" w14:textId="77777777" w:rsidR="00833634" w:rsidRDefault="00E15D51">
            <w:pPr>
              <w:jc w:val="right"/>
              <w:textAlignment w:val="bottom"/>
            </w:pPr>
            <w:r>
              <w:rPr>
                <w:rFonts w:ascii="Arial" w:eastAsia="宋体" w:hAnsi="Arial" w:cs="Arial"/>
                <w:color w:val="000000"/>
                <w:sz w:val="20"/>
                <w:szCs w:val="20"/>
              </w:rPr>
              <w:t>($21)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0D6" w14:textId="77777777" w:rsidR="00833634" w:rsidRDefault="00833634">
            <w:pPr>
              <w:jc w:val="right"/>
              <w:rPr>
                <w:rFonts w:ascii="宋体"/>
              </w:rPr>
            </w:pPr>
          </w:p>
        </w:tc>
      </w:tr>
      <w:tr w:rsidR="00833634" w14:paraId="4090F0E4" w14:textId="77777777">
        <w:tc>
          <w:tcPr>
            <w:tcW w:w="0" w:type="auto"/>
            <w:gridSpan w:val="3"/>
            <w:shd w:val="clear" w:color="auto" w:fill="FFFFFF"/>
            <w:tcMar>
              <w:top w:w="40" w:type="dxa"/>
              <w:left w:w="20" w:type="dxa"/>
              <w:bottom w:w="40" w:type="dxa"/>
              <w:right w:w="20" w:type="dxa"/>
            </w:tcMar>
            <w:vAlign w:val="bottom"/>
          </w:tcPr>
          <w:p w14:paraId="4090F0D8" w14:textId="77777777" w:rsidR="00833634" w:rsidRDefault="00E15D51">
            <w:pPr>
              <w:textAlignment w:val="bottom"/>
            </w:pPr>
            <w:r>
              <w:rPr>
                <w:rFonts w:ascii="Arial" w:eastAsia="宋体" w:hAnsi="Arial" w:cs="Arial"/>
                <w:color w:val="000000"/>
                <w:sz w:val="20"/>
                <w:szCs w:val="20"/>
              </w:rPr>
              <w:t>Deferred compensation</w:t>
            </w:r>
          </w:p>
        </w:tc>
        <w:tc>
          <w:tcPr>
            <w:tcW w:w="0" w:type="auto"/>
            <w:gridSpan w:val="2"/>
            <w:shd w:val="clear" w:color="auto" w:fill="FFFFFF"/>
            <w:tcMar>
              <w:top w:w="40" w:type="dxa"/>
              <w:left w:w="20" w:type="dxa"/>
              <w:bottom w:w="40" w:type="dxa"/>
              <w:right w:w="0" w:type="dxa"/>
            </w:tcMar>
            <w:vAlign w:val="bottom"/>
          </w:tcPr>
          <w:p w14:paraId="4090F0D9" w14:textId="77777777" w:rsidR="00833634" w:rsidRDefault="00E15D51">
            <w:pPr>
              <w:jc w:val="right"/>
              <w:textAlignment w:val="bottom"/>
            </w:pPr>
            <w:r>
              <w:rPr>
                <w:rFonts w:ascii="Arial" w:eastAsia="宋体" w:hAnsi="Arial" w:cs="Arial"/>
                <w:b/>
                <w:bCs/>
                <w:color w:val="000000"/>
                <w:sz w:val="20"/>
                <w:szCs w:val="20"/>
              </w:rPr>
              <w:t>34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0D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0D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DC" w14:textId="77777777" w:rsidR="00833634" w:rsidRDefault="00E15D51">
            <w:pPr>
              <w:jc w:val="right"/>
              <w:textAlignment w:val="bottom"/>
            </w:pPr>
            <w:r>
              <w:rPr>
                <w:rFonts w:ascii="Arial" w:eastAsia="宋体" w:hAnsi="Arial" w:cs="Arial"/>
                <w:color w:val="000000"/>
                <w:sz w:val="20"/>
                <w:szCs w:val="20"/>
              </w:rPr>
              <w:t>(154)</w:t>
            </w:r>
          </w:p>
        </w:tc>
        <w:tc>
          <w:tcPr>
            <w:tcW w:w="0" w:type="auto"/>
            <w:shd w:val="clear" w:color="auto" w:fill="FFFFFF"/>
            <w:tcMar>
              <w:top w:w="40" w:type="dxa"/>
              <w:left w:w="0" w:type="dxa"/>
              <w:bottom w:w="40" w:type="dxa"/>
              <w:right w:w="20" w:type="dxa"/>
            </w:tcMar>
            <w:vAlign w:val="bottom"/>
          </w:tcPr>
          <w:p w14:paraId="4090F0D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0D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DF" w14:textId="77777777" w:rsidR="00833634" w:rsidRDefault="00E15D51">
            <w:pPr>
              <w:jc w:val="right"/>
              <w:textAlignment w:val="bottom"/>
            </w:pPr>
            <w:r>
              <w:rPr>
                <w:rFonts w:ascii="Arial" w:eastAsia="宋体" w:hAnsi="Arial" w:cs="Arial"/>
                <w:b/>
                <w:bCs/>
                <w:color w:val="000000"/>
                <w:sz w:val="20"/>
                <w:szCs w:val="20"/>
              </w:rPr>
              <w:t>(39)</w:t>
            </w:r>
          </w:p>
        </w:tc>
        <w:tc>
          <w:tcPr>
            <w:tcW w:w="0" w:type="auto"/>
            <w:shd w:val="clear" w:color="auto" w:fill="FFFFFF"/>
            <w:tcMar>
              <w:top w:w="40" w:type="dxa"/>
              <w:left w:w="0" w:type="dxa"/>
              <w:bottom w:w="40" w:type="dxa"/>
              <w:right w:w="20" w:type="dxa"/>
            </w:tcMar>
            <w:vAlign w:val="bottom"/>
          </w:tcPr>
          <w:p w14:paraId="4090F0E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0E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E2" w14:textId="77777777" w:rsidR="00833634" w:rsidRDefault="00E15D51">
            <w:pPr>
              <w:jc w:val="right"/>
              <w:textAlignment w:val="bottom"/>
            </w:pPr>
            <w:r>
              <w:rPr>
                <w:rFonts w:ascii="Arial" w:eastAsia="宋体" w:hAnsi="Arial" w:cs="Arial"/>
                <w:color w:val="000000"/>
                <w:sz w:val="20"/>
                <w:szCs w:val="20"/>
              </w:rPr>
              <w:t>(25)</w:t>
            </w:r>
          </w:p>
        </w:tc>
        <w:tc>
          <w:tcPr>
            <w:tcW w:w="0" w:type="auto"/>
            <w:shd w:val="clear" w:color="auto" w:fill="FFFFFF"/>
            <w:tcMar>
              <w:top w:w="40" w:type="dxa"/>
              <w:left w:w="0" w:type="dxa"/>
              <w:bottom w:w="40" w:type="dxa"/>
              <w:right w:w="20" w:type="dxa"/>
            </w:tcMar>
            <w:vAlign w:val="bottom"/>
          </w:tcPr>
          <w:p w14:paraId="4090F0E3" w14:textId="77777777" w:rsidR="00833634" w:rsidRDefault="00833634">
            <w:pPr>
              <w:jc w:val="right"/>
              <w:rPr>
                <w:rFonts w:ascii="宋体"/>
              </w:rPr>
            </w:pPr>
          </w:p>
        </w:tc>
      </w:tr>
      <w:tr w:rsidR="00833634" w14:paraId="4090F0F1" w14:textId="77777777">
        <w:tc>
          <w:tcPr>
            <w:tcW w:w="0" w:type="auto"/>
            <w:gridSpan w:val="3"/>
            <w:shd w:val="clear" w:color="auto" w:fill="CCEEFF"/>
            <w:tcMar>
              <w:top w:w="40" w:type="dxa"/>
              <w:left w:w="20" w:type="dxa"/>
              <w:bottom w:w="40" w:type="dxa"/>
              <w:right w:w="20" w:type="dxa"/>
            </w:tcMar>
            <w:vAlign w:val="bottom"/>
          </w:tcPr>
          <w:p w14:paraId="4090F0E5" w14:textId="77777777" w:rsidR="00833634" w:rsidRDefault="00E15D51">
            <w:pPr>
              <w:textAlignment w:val="bottom"/>
            </w:pPr>
            <w:r>
              <w:rPr>
                <w:rFonts w:ascii="Arial" w:eastAsia="宋体" w:hAnsi="Arial" w:cs="Arial"/>
                <w:color w:val="000000"/>
                <w:sz w:val="20"/>
                <w:szCs w:val="20"/>
              </w:rPr>
              <w:t>Amortization of previously capitalized interest</w:t>
            </w:r>
          </w:p>
        </w:tc>
        <w:tc>
          <w:tcPr>
            <w:tcW w:w="0" w:type="auto"/>
            <w:gridSpan w:val="2"/>
            <w:shd w:val="clear" w:color="auto" w:fill="CCEEFF"/>
            <w:tcMar>
              <w:top w:w="40" w:type="dxa"/>
              <w:left w:w="20" w:type="dxa"/>
              <w:bottom w:w="40" w:type="dxa"/>
              <w:right w:w="0" w:type="dxa"/>
            </w:tcMar>
            <w:vAlign w:val="bottom"/>
          </w:tcPr>
          <w:p w14:paraId="4090F0E6" w14:textId="77777777" w:rsidR="00833634" w:rsidRDefault="00E15D51">
            <w:pPr>
              <w:jc w:val="right"/>
              <w:textAlignment w:val="bottom"/>
            </w:pPr>
            <w:r>
              <w:rPr>
                <w:rFonts w:ascii="Arial" w:eastAsia="宋体" w:hAnsi="Arial" w:cs="Arial"/>
                <w:b/>
                <w:bCs/>
                <w:color w:val="000000"/>
                <w:sz w:val="20"/>
                <w:szCs w:val="20"/>
              </w:rPr>
              <w:t>(69)</w:t>
            </w:r>
          </w:p>
        </w:tc>
        <w:tc>
          <w:tcPr>
            <w:tcW w:w="0" w:type="auto"/>
            <w:shd w:val="clear" w:color="auto" w:fill="CCEEFF"/>
            <w:tcMar>
              <w:top w:w="40" w:type="dxa"/>
              <w:left w:w="0" w:type="dxa"/>
              <w:bottom w:w="40" w:type="dxa"/>
              <w:right w:w="20" w:type="dxa"/>
            </w:tcMar>
            <w:vAlign w:val="bottom"/>
          </w:tcPr>
          <w:p w14:paraId="4090F0E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0E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0E9" w14:textId="77777777" w:rsidR="00833634" w:rsidRDefault="00E15D51">
            <w:pPr>
              <w:jc w:val="right"/>
              <w:textAlignment w:val="bottom"/>
            </w:pPr>
            <w:r>
              <w:rPr>
                <w:rFonts w:ascii="Arial" w:eastAsia="宋体" w:hAnsi="Arial" w:cs="Arial"/>
                <w:color w:val="000000"/>
                <w:sz w:val="20"/>
                <w:szCs w:val="20"/>
              </w:rPr>
              <w:t>(68)</w:t>
            </w:r>
          </w:p>
        </w:tc>
        <w:tc>
          <w:tcPr>
            <w:tcW w:w="0" w:type="auto"/>
            <w:shd w:val="clear" w:color="auto" w:fill="CCEEFF"/>
            <w:tcMar>
              <w:top w:w="40" w:type="dxa"/>
              <w:left w:w="0" w:type="dxa"/>
              <w:bottom w:w="40" w:type="dxa"/>
              <w:right w:w="20" w:type="dxa"/>
            </w:tcMar>
            <w:vAlign w:val="bottom"/>
          </w:tcPr>
          <w:p w14:paraId="4090F0E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0E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0EC" w14:textId="77777777" w:rsidR="00833634" w:rsidRDefault="00E15D51">
            <w:pPr>
              <w:jc w:val="right"/>
              <w:textAlignment w:val="bottom"/>
            </w:pPr>
            <w:r>
              <w:rPr>
                <w:rFonts w:ascii="Arial" w:eastAsia="宋体" w:hAnsi="Arial" w:cs="Arial"/>
                <w:b/>
                <w:bCs/>
                <w:color w:val="000000"/>
                <w:sz w:val="20"/>
                <w:szCs w:val="20"/>
              </w:rPr>
              <w:t>(19)</w:t>
            </w:r>
          </w:p>
        </w:tc>
        <w:tc>
          <w:tcPr>
            <w:tcW w:w="0" w:type="auto"/>
            <w:shd w:val="clear" w:color="auto" w:fill="CCEEFF"/>
            <w:tcMar>
              <w:top w:w="40" w:type="dxa"/>
              <w:left w:w="0" w:type="dxa"/>
              <w:bottom w:w="40" w:type="dxa"/>
              <w:right w:w="20" w:type="dxa"/>
            </w:tcMar>
            <w:vAlign w:val="bottom"/>
          </w:tcPr>
          <w:p w14:paraId="4090F0E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0E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0EF" w14:textId="77777777" w:rsidR="00833634" w:rsidRDefault="00E15D51">
            <w:pPr>
              <w:jc w:val="right"/>
              <w:textAlignment w:val="bottom"/>
            </w:pPr>
            <w:r>
              <w:rPr>
                <w:rFonts w:ascii="Arial" w:eastAsia="宋体" w:hAnsi="Arial" w:cs="Arial"/>
                <w:color w:val="000000"/>
                <w:sz w:val="20"/>
                <w:szCs w:val="20"/>
              </w:rPr>
              <w:t>(23)</w:t>
            </w:r>
          </w:p>
        </w:tc>
        <w:tc>
          <w:tcPr>
            <w:tcW w:w="0" w:type="auto"/>
            <w:shd w:val="clear" w:color="auto" w:fill="CCEEFF"/>
            <w:tcMar>
              <w:top w:w="40" w:type="dxa"/>
              <w:left w:w="0" w:type="dxa"/>
              <w:bottom w:w="40" w:type="dxa"/>
              <w:right w:w="20" w:type="dxa"/>
            </w:tcMar>
            <w:vAlign w:val="bottom"/>
          </w:tcPr>
          <w:p w14:paraId="4090F0F0" w14:textId="77777777" w:rsidR="00833634" w:rsidRDefault="00833634">
            <w:pPr>
              <w:jc w:val="right"/>
              <w:rPr>
                <w:rFonts w:ascii="宋体"/>
              </w:rPr>
            </w:pPr>
          </w:p>
        </w:tc>
      </w:tr>
      <w:tr w:rsidR="00833634" w14:paraId="4090F0FE" w14:textId="77777777">
        <w:tc>
          <w:tcPr>
            <w:tcW w:w="0" w:type="auto"/>
            <w:gridSpan w:val="3"/>
            <w:shd w:val="clear" w:color="auto" w:fill="FFFFFF"/>
            <w:tcMar>
              <w:top w:w="40" w:type="dxa"/>
              <w:left w:w="20" w:type="dxa"/>
              <w:bottom w:w="40" w:type="dxa"/>
              <w:right w:w="20" w:type="dxa"/>
            </w:tcMar>
            <w:vAlign w:val="bottom"/>
          </w:tcPr>
          <w:p w14:paraId="4090F0F2" w14:textId="77777777" w:rsidR="00833634" w:rsidRDefault="00E15D51">
            <w:pPr>
              <w:textAlignment w:val="bottom"/>
            </w:pPr>
            <w:r>
              <w:rPr>
                <w:rFonts w:ascii="Arial" w:eastAsia="宋体" w:hAnsi="Arial" w:cs="Arial"/>
                <w:color w:val="000000"/>
                <w:sz w:val="20"/>
                <w:szCs w:val="20"/>
              </w:rPr>
              <w:t>Research and development expense, net</w:t>
            </w:r>
          </w:p>
        </w:tc>
        <w:tc>
          <w:tcPr>
            <w:tcW w:w="0" w:type="auto"/>
            <w:gridSpan w:val="2"/>
            <w:shd w:val="clear" w:color="auto" w:fill="FFFFFF"/>
            <w:tcMar>
              <w:top w:w="40" w:type="dxa"/>
              <w:left w:w="20" w:type="dxa"/>
              <w:bottom w:w="40" w:type="dxa"/>
              <w:right w:w="0" w:type="dxa"/>
            </w:tcMar>
            <w:vAlign w:val="bottom"/>
          </w:tcPr>
          <w:p w14:paraId="4090F0F3" w14:textId="77777777" w:rsidR="00833634" w:rsidRDefault="00E15D51">
            <w:pPr>
              <w:jc w:val="right"/>
              <w:textAlignment w:val="bottom"/>
            </w:pPr>
            <w:r>
              <w:rPr>
                <w:rFonts w:ascii="Arial" w:eastAsia="宋体" w:hAnsi="Arial" w:cs="Arial"/>
                <w:b/>
                <w:bCs/>
                <w:color w:val="000000"/>
                <w:sz w:val="20"/>
                <w:szCs w:val="20"/>
              </w:rPr>
              <w:t>(160)</w:t>
            </w:r>
          </w:p>
        </w:tc>
        <w:tc>
          <w:tcPr>
            <w:tcW w:w="0" w:type="auto"/>
            <w:shd w:val="clear" w:color="auto" w:fill="FFFFFF"/>
            <w:tcMar>
              <w:top w:w="40" w:type="dxa"/>
              <w:left w:w="0" w:type="dxa"/>
              <w:bottom w:w="40" w:type="dxa"/>
              <w:right w:w="20" w:type="dxa"/>
            </w:tcMar>
            <w:vAlign w:val="bottom"/>
          </w:tcPr>
          <w:p w14:paraId="4090F0F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0F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F6" w14:textId="77777777" w:rsidR="00833634" w:rsidRDefault="00E15D51">
            <w:pPr>
              <w:jc w:val="right"/>
              <w:textAlignment w:val="bottom"/>
            </w:pPr>
            <w:r>
              <w:rPr>
                <w:rFonts w:ascii="Arial" w:eastAsia="宋体" w:hAnsi="Arial" w:cs="Arial"/>
                <w:color w:val="000000"/>
                <w:sz w:val="20"/>
                <w:szCs w:val="20"/>
              </w:rPr>
              <w:t>(283)</w:t>
            </w:r>
          </w:p>
        </w:tc>
        <w:tc>
          <w:tcPr>
            <w:tcW w:w="0" w:type="auto"/>
            <w:shd w:val="clear" w:color="auto" w:fill="FFFFFF"/>
            <w:tcMar>
              <w:top w:w="40" w:type="dxa"/>
              <w:left w:w="0" w:type="dxa"/>
              <w:bottom w:w="40" w:type="dxa"/>
              <w:right w:w="20" w:type="dxa"/>
            </w:tcMar>
            <w:vAlign w:val="bottom"/>
          </w:tcPr>
          <w:p w14:paraId="4090F0F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0F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F9" w14:textId="77777777" w:rsidR="00833634" w:rsidRDefault="00E15D51">
            <w:pPr>
              <w:jc w:val="right"/>
              <w:textAlignment w:val="bottom"/>
            </w:pPr>
            <w:r>
              <w:rPr>
                <w:rFonts w:ascii="Arial" w:eastAsia="宋体" w:hAnsi="Arial" w:cs="Arial"/>
                <w:b/>
                <w:bCs/>
                <w:color w:val="000000"/>
                <w:sz w:val="20"/>
                <w:szCs w:val="20"/>
              </w:rPr>
              <w:t>(44)</w:t>
            </w:r>
          </w:p>
        </w:tc>
        <w:tc>
          <w:tcPr>
            <w:tcW w:w="0" w:type="auto"/>
            <w:shd w:val="clear" w:color="auto" w:fill="FFFFFF"/>
            <w:tcMar>
              <w:top w:w="40" w:type="dxa"/>
              <w:left w:w="0" w:type="dxa"/>
              <w:bottom w:w="40" w:type="dxa"/>
              <w:right w:w="20" w:type="dxa"/>
            </w:tcMar>
            <w:vAlign w:val="bottom"/>
          </w:tcPr>
          <w:p w14:paraId="4090F0F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0F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0FC" w14:textId="77777777" w:rsidR="00833634" w:rsidRDefault="00E15D51">
            <w:pPr>
              <w:jc w:val="right"/>
              <w:textAlignment w:val="bottom"/>
            </w:pPr>
            <w:r>
              <w:rPr>
                <w:rFonts w:ascii="Arial" w:eastAsia="宋体" w:hAnsi="Arial" w:cs="Arial"/>
                <w:color w:val="000000"/>
                <w:sz w:val="20"/>
                <w:szCs w:val="20"/>
              </w:rPr>
              <w:t>(100)</w:t>
            </w:r>
          </w:p>
        </w:tc>
        <w:tc>
          <w:tcPr>
            <w:tcW w:w="0" w:type="auto"/>
            <w:shd w:val="clear" w:color="auto" w:fill="FFFFFF"/>
            <w:tcMar>
              <w:top w:w="40" w:type="dxa"/>
              <w:left w:w="0" w:type="dxa"/>
              <w:bottom w:w="40" w:type="dxa"/>
              <w:right w:w="20" w:type="dxa"/>
            </w:tcMar>
            <w:vAlign w:val="bottom"/>
          </w:tcPr>
          <w:p w14:paraId="4090F0FD" w14:textId="77777777" w:rsidR="00833634" w:rsidRDefault="00833634">
            <w:pPr>
              <w:jc w:val="right"/>
              <w:rPr>
                <w:rFonts w:ascii="宋体"/>
              </w:rPr>
            </w:pPr>
          </w:p>
        </w:tc>
      </w:tr>
      <w:tr w:rsidR="00833634" w14:paraId="4090F108" w14:textId="77777777">
        <w:tc>
          <w:tcPr>
            <w:tcW w:w="0" w:type="auto"/>
            <w:gridSpan w:val="3"/>
            <w:shd w:val="clear" w:color="auto" w:fill="CCEEFF"/>
            <w:tcMar>
              <w:top w:w="40" w:type="dxa"/>
              <w:left w:w="20" w:type="dxa"/>
              <w:bottom w:w="40" w:type="dxa"/>
              <w:right w:w="20" w:type="dxa"/>
            </w:tcMar>
            <w:vAlign w:val="bottom"/>
          </w:tcPr>
          <w:p w14:paraId="4090F0FF" w14:textId="77777777" w:rsidR="00833634" w:rsidRDefault="00E15D51">
            <w:pPr>
              <w:textAlignment w:val="bottom"/>
            </w:pPr>
            <w:r>
              <w:rPr>
                <w:rFonts w:ascii="Arial" w:eastAsia="宋体" w:hAnsi="Arial" w:cs="Arial"/>
                <w:color w:val="000000"/>
                <w:sz w:val="20"/>
                <w:szCs w:val="20"/>
              </w:rPr>
              <w:t>Customer financing impairment</w:t>
            </w:r>
          </w:p>
        </w:tc>
        <w:tc>
          <w:tcPr>
            <w:tcW w:w="0" w:type="auto"/>
            <w:gridSpan w:val="3"/>
            <w:shd w:val="clear" w:color="auto" w:fill="CCEEFF"/>
            <w:tcMar>
              <w:top w:w="0" w:type="dxa"/>
              <w:left w:w="20" w:type="dxa"/>
              <w:bottom w:w="0" w:type="dxa"/>
              <w:right w:w="20" w:type="dxa"/>
            </w:tcMar>
          </w:tcPr>
          <w:p w14:paraId="4090F10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10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102" w14:textId="77777777" w:rsidR="00833634" w:rsidRDefault="00E15D51">
            <w:pPr>
              <w:jc w:val="right"/>
              <w:textAlignment w:val="bottom"/>
            </w:pPr>
            <w:r>
              <w:rPr>
                <w:rFonts w:ascii="Arial" w:eastAsia="宋体" w:hAnsi="Arial" w:cs="Arial"/>
                <w:color w:val="000000"/>
                <w:sz w:val="20"/>
                <w:szCs w:val="20"/>
              </w:rPr>
              <w:t>(250)</w:t>
            </w:r>
          </w:p>
        </w:tc>
        <w:tc>
          <w:tcPr>
            <w:tcW w:w="0" w:type="auto"/>
            <w:shd w:val="clear" w:color="auto" w:fill="CCEEFF"/>
            <w:tcMar>
              <w:top w:w="40" w:type="dxa"/>
              <w:left w:w="0" w:type="dxa"/>
              <w:bottom w:w="40" w:type="dxa"/>
              <w:right w:w="20" w:type="dxa"/>
            </w:tcMar>
            <w:vAlign w:val="bottom"/>
          </w:tcPr>
          <w:p w14:paraId="4090F10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104"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105"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10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107" w14:textId="77777777" w:rsidR="00833634" w:rsidRDefault="00833634">
            <w:pPr>
              <w:rPr>
                <w:rFonts w:ascii="宋体"/>
              </w:rPr>
            </w:pPr>
          </w:p>
        </w:tc>
      </w:tr>
      <w:tr w:rsidR="00833634" w14:paraId="4090F112" w14:textId="77777777">
        <w:tc>
          <w:tcPr>
            <w:tcW w:w="0" w:type="auto"/>
            <w:gridSpan w:val="3"/>
            <w:shd w:val="clear" w:color="auto" w:fill="FFFFFF"/>
            <w:tcMar>
              <w:top w:w="40" w:type="dxa"/>
              <w:left w:w="20" w:type="dxa"/>
              <w:bottom w:w="40" w:type="dxa"/>
              <w:right w:w="20" w:type="dxa"/>
            </w:tcMar>
            <w:vAlign w:val="bottom"/>
          </w:tcPr>
          <w:p w14:paraId="4090F109" w14:textId="77777777" w:rsidR="00833634" w:rsidRDefault="00E15D51">
            <w:pPr>
              <w:textAlignment w:val="bottom"/>
            </w:pPr>
            <w:r>
              <w:rPr>
                <w:rFonts w:ascii="Arial" w:eastAsia="宋体" w:hAnsi="Arial" w:cs="Arial"/>
                <w:color w:val="000000"/>
                <w:sz w:val="20"/>
                <w:szCs w:val="20"/>
              </w:rPr>
              <w:t>Litigation</w:t>
            </w:r>
          </w:p>
        </w:tc>
        <w:tc>
          <w:tcPr>
            <w:tcW w:w="0" w:type="auto"/>
            <w:gridSpan w:val="3"/>
            <w:shd w:val="clear" w:color="auto" w:fill="FFFFFF"/>
            <w:tcMar>
              <w:top w:w="0" w:type="dxa"/>
              <w:left w:w="20" w:type="dxa"/>
              <w:bottom w:w="0" w:type="dxa"/>
              <w:right w:w="20" w:type="dxa"/>
            </w:tcMar>
          </w:tcPr>
          <w:p w14:paraId="4090F10A"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10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10C" w14:textId="77777777" w:rsidR="00833634" w:rsidRDefault="00E15D51">
            <w:pPr>
              <w:jc w:val="right"/>
              <w:textAlignment w:val="bottom"/>
            </w:pPr>
            <w:r>
              <w:rPr>
                <w:rFonts w:ascii="Arial" w:eastAsia="宋体" w:hAnsi="Arial" w:cs="Arial"/>
                <w:color w:val="000000"/>
                <w:sz w:val="20"/>
                <w:szCs w:val="20"/>
              </w:rPr>
              <w:t>(109)</w:t>
            </w:r>
          </w:p>
        </w:tc>
        <w:tc>
          <w:tcPr>
            <w:tcW w:w="0" w:type="auto"/>
            <w:shd w:val="clear" w:color="auto" w:fill="FFFFFF"/>
            <w:tcMar>
              <w:top w:w="40" w:type="dxa"/>
              <w:left w:w="0" w:type="dxa"/>
              <w:bottom w:w="40" w:type="dxa"/>
              <w:right w:w="20" w:type="dxa"/>
            </w:tcMar>
            <w:vAlign w:val="bottom"/>
          </w:tcPr>
          <w:p w14:paraId="4090F10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10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10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11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111" w14:textId="77777777" w:rsidR="00833634" w:rsidRDefault="00833634">
            <w:pPr>
              <w:rPr>
                <w:rFonts w:ascii="宋体"/>
              </w:rPr>
            </w:pPr>
          </w:p>
        </w:tc>
      </w:tr>
      <w:tr w:rsidR="00833634" w14:paraId="4090F11F" w14:textId="77777777">
        <w:tc>
          <w:tcPr>
            <w:tcW w:w="0" w:type="auto"/>
            <w:gridSpan w:val="3"/>
            <w:shd w:val="clear" w:color="auto" w:fill="CCEEFF"/>
            <w:tcMar>
              <w:top w:w="40" w:type="dxa"/>
              <w:left w:w="20" w:type="dxa"/>
              <w:bottom w:w="40" w:type="dxa"/>
              <w:right w:w="20" w:type="dxa"/>
            </w:tcMar>
            <w:vAlign w:val="bottom"/>
          </w:tcPr>
          <w:p w14:paraId="4090F113" w14:textId="77777777" w:rsidR="00833634" w:rsidRDefault="00E15D51">
            <w:pPr>
              <w:textAlignment w:val="bottom"/>
            </w:pPr>
            <w:r>
              <w:rPr>
                <w:rFonts w:ascii="Arial" w:eastAsia="宋体" w:hAnsi="Arial" w:cs="Arial"/>
                <w:color w:val="000000"/>
                <w:sz w:val="20"/>
                <w:szCs w:val="20"/>
              </w:rPr>
              <w:t>Eliminations and other unallocated items</w:t>
            </w:r>
          </w:p>
        </w:tc>
        <w:tc>
          <w:tcPr>
            <w:tcW w:w="0" w:type="auto"/>
            <w:gridSpan w:val="2"/>
            <w:shd w:val="clear" w:color="auto" w:fill="CCEEFF"/>
            <w:tcMar>
              <w:top w:w="40" w:type="dxa"/>
              <w:left w:w="20" w:type="dxa"/>
              <w:bottom w:w="40" w:type="dxa"/>
              <w:right w:w="0" w:type="dxa"/>
            </w:tcMar>
            <w:vAlign w:val="bottom"/>
          </w:tcPr>
          <w:p w14:paraId="4090F114" w14:textId="77777777" w:rsidR="00833634" w:rsidRDefault="00E15D51">
            <w:pPr>
              <w:jc w:val="right"/>
              <w:textAlignment w:val="bottom"/>
            </w:pPr>
            <w:r>
              <w:rPr>
                <w:rFonts w:ascii="Arial" w:eastAsia="宋体" w:hAnsi="Arial" w:cs="Arial"/>
                <w:b/>
                <w:bCs/>
                <w:color w:val="000000"/>
                <w:sz w:val="20"/>
                <w:szCs w:val="20"/>
              </w:rPr>
              <w:t>(690)</w:t>
            </w:r>
          </w:p>
        </w:tc>
        <w:tc>
          <w:tcPr>
            <w:tcW w:w="0" w:type="auto"/>
            <w:shd w:val="clear" w:color="auto" w:fill="CCEEFF"/>
            <w:tcMar>
              <w:top w:w="40" w:type="dxa"/>
              <w:left w:w="0" w:type="dxa"/>
              <w:bottom w:w="40" w:type="dxa"/>
              <w:right w:w="20" w:type="dxa"/>
            </w:tcMar>
            <w:vAlign w:val="bottom"/>
          </w:tcPr>
          <w:p w14:paraId="4090F11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11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117" w14:textId="77777777" w:rsidR="00833634" w:rsidRDefault="00E15D51">
            <w:pPr>
              <w:jc w:val="right"/>
              <w:textAlignment w:val="bottom"/>
            </w:pPr>
            <w:r>
              <w:rPr>
                <w:rFonts w:ascii="Arial" w:eastAsia="宋体" w:hAnsi="Arial" w:cs="Arial"/>
                <w:color w:val="000000"/>
                <w:sz w:val="20"/>
                <w:szCs w:val="20"/>
              </w:rPr>
              <w:t>(810)</w:t>
            </w:r>
          </w:p>
        </w:tc>
        <w:tc>
          <w:tcPr>
            <w:tcW w:w="0" w:type="auto"/>
            <w:shd w:val="clear" w:color="auto" w:fill="CCEEFF"/>
            <w:tcMar>
              <w:top w:w="40" w:type="dxa"/>
              <w:left w:w="0" w:type="dxa"/>
              <w:bottom w:w="40" w:type="dxa"/>
              <w:right w:w="20" w:type="dxa"/>
            </w:tcMar>
            <w:vAlign w:val="bottom"/>
          </w:tcPr>
          <w:p w14:paraId="4090F11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11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11A" w14:textId="77777777" w:rsidR="00833634" w:rsidRDefault="00E15D51">
            <w:pPr>
              <w:jc w:val="right"/>
              <w:textAlignment w:val="bottom"/>
            </w:pPr>
            <w:r>
              <w:rPr>
                <w:rFonts w:ascii="Arial" w:eastAsia="宋体" w:hAnsi="Arial" w:cs="Arial"/>
                <w:b/>
                <w:bCs/>
                <w:color w:val="000000"/>
                <w:sz w:val="20"/>
                <w:szCs w:val="20"/>
              </w:rPr>
              <w:t>(175)</w:t>
            </w:r>
          </w:p>
        </w:tc>
        <w:tc>
          <w:tcPr>
            <w:tcW w:w="0" w:type="auto"/>
            <w:shd w:val="clear" w:color="auto" w:fill="CCEEFF"/>
            <w:tcMar>
              <w:top w:w="40" w:type="dxa"/>
              <w:left w:w="0" w:type="dxa"/>
              <w:bottom w:w="40" w:type="dxa"/>
              <w:right w:w="20" w:type="dxa"/>
            </w:tcMar>
            <w:vAlign w:val="bottom"/>
          </w:tcPr>
          <w:p w14:paraId="4090F11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11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11D" w14:textId="77777777" w:rsidR="00833634" w:rsidRDefault="00E15D51">
            <w:pPr>
              <w:jc w:val="right"/>
              <w:textAlignment w:val="bottom"/>
            </w:pPr>
            <w:r>
              <w:rPr>
                <w:rFonts w:ascii="Arial" w:eastAsia="宋体" w:hAnsi="Arial" w:cs="Arial"/>
                <w:color w:val="000000"/>
                <w:sz w:val="20"/>
                <w:szCs w:val="20"/>
              </w:rPr>
              <w:t>(352)</w:t>
            </w:r>
          </w:p>
        </w:tc>
        <w:tc>
          <w:tcPr>
            <w:tcW w:w="0" w:type="auto"/>
            <w:shd w:val="clear" w:color="auto" w:fill="CCEEFF"/>
            <w:tcMar>
              <w:top w:w="40" w:type="dxa"/>
              <w:left w:w="0" w:type="dxa"/>
              <w:bottom w:w="40" w:type="dxa"/>
              <w:right w:w="20" w:type="dxa"/>
            </w:tcMar>
            <w:vAlign w:val="bottom"/>
          </w:tcPr>
          <w:p w14:paraId="4090F11E" w14:textId="77777777" w:rsidR="00833634" w:rsidRDefault="00833634">
            <w:pPr>
              <w:jc w:val="right"/>
              <w:rPr>
                <w:rFonts w:ascii="宋体"/>
              </w:rPr>
            </w:pPr>
          </w:p>
        </w:tc>
      </w:tr>
      <w:tr w:rsidR="00833634" w14:paraId="4090F12C"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F120" w14:textId="77777777" w:rsidR="00833634" w:rsidRDefault="00E15D51">
            <w:pPr>
              <w:spacing w:after="180"/>
              <w:jc w:val="both"/>
              <w:textAlignment w:val="bottom"/>
            </w:pPr>
            <w:r>
              <w:rPr>
                <w:rFonts w:ascii="Arial" w:eastAsia="宋体" w:hAnsi="Arial" w:cs="Arial"/>
                <w:color w:val="000000"/>
                <w:sz w:val="20"/>
                <w:szCs w:val="20"/>
              </w:rPr>
              <w:t>Unallocated items, eliminations and other</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121" w14:textId="77777777" w:rsidR="00833634" w:rsidRDefault="00E15D51">
            <w:pPr>
              <w:jc w:val="right"/>
              <w:textAlignment w:val="bottom"/>
            </w:pPr>
            <w:r>
              <w:rPr>
                <w:rFonts w:ascii="Arial" w:eastAsia="宋体" w:hAnsi="Arial" w:cs="Arial"/>
                <w:b/>
                <w:bCs/>
                <w:color w:val="000000"/>
                <w:sz w:val="20"/>
                <w:szCs w:val="20"/>
              </w:rPr>
              <w:t>($965)</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122"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123"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124" w14:textId="77777777" w:rsidR="00833634" w:rsidRDefault="00E15D51">
            <w:pPr>
              <w:jc w:val="right"/>
              <w:textAlignment w:val="bottom"/>
            </w:pPr>
            <w:r>
              <w:rPr>
                <w:rFonts w:ascii="Arial" w:eastAsia="宋体" w:hAnsi="Arial" w:cs="Arial"/>
                <w:color w:val="000000"/>
                <w:sz w:val="20"/>
                <w:szCs w:val="20"/>
              </w:rPr>
              <w:t>($1,731)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125"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126"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127" w14:textId="77777777" w:rsidR="00833634" w:rsidRDefault="00E15D51">
            <w:pPr>
              <w:jc w:val="right"/>
              <w:textAlignment w:val="bottom"/>
            </w:pPr>
            <w:r>
              <w:rPr>
                <w:rFonts w:ascii="Arial" w:eastAsia="宋体" w:hAnsi="Arial" w:cs="Arial"/>
                <w:b/>
                <w:bCs/>
                <w:color w:val="000000"/>
                <w:sz w:val="20"/>
                <w:szCs w:val="20"/>
              </w:rPr>
              <w:t>($314)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128"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129"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12A" w14:textId="77777777" w:rsidR="00833634" w:rsidRDefault="00E15D51">
            <w:pPr>
              <w:jc w:val="right"/>
              <w:textAlignment w:val="bottom"/>
            </w:pPr>
            <w:r>
              <w:rPr>
                <w:rFonts w:ascii="Arial" w:eastAsia="宋体" w:hAnsi="Arial" w:cs="Arial"/>
                <w:color w:val="000000"/>
                <w:sz w:val="20"/>
                <w:szCs w:val="20"/>
              </w:rPr>
              <w:t>($521)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12B" w14:textId="77777777" w:rsidR="00833634" w:rsidRDefault="00833634">
            <w:pPr>
              <w:jc w:val="right"/>
              <w:rPr>
                <w:rFonts w:ascii="宋体"/>
              </w:rPr>
            </w:pPr>
          </w:p>
        </w:tc>
      </w:tr>
      <w:tr w:rsidR="00833634" w14:paraId="4090F135" w14:textId="77777777">
        <w:trPr>
          <w:trHeight w:val="280"/>
        </w:trPr>
        <w:tc>
          <w:tcPr>
            <w:tcW w:w="0" w:type="auto"/>
            <w:gridSpan w:val="3"/>
            <w:tcBorders>
              <w:top w:val="double" w:sz="6" w:space="0" w:color="000000"/>
            </w:tcBorders>
            <w:shd w:val="clear" w:color="auto" w:fill="CCEEFF"/>
            <w:tcMar>
              <w:top w:w="0" w:type="dxa"/>
              <w:left w:w="20" w:type="dxa"/>
              <w:bottom w:w="0" w:type="dxa"/>
              <w:right w:w="20" w:type="dxa"/>
            </w:tcMar>
          </w:tcPr>
          <w:p w14:paraId="4090F12D"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12E"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12F"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130"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131"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132"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133"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134" w14:textId="77777777" w:rsidR="00833634" w:rsidRDefault="00833634">
            <w:pPr>
              <w:rPr>
                <w:rFonts w:ascii="宋体"/>
              </w:rPr>
            </w:pPr>
          </w:p>
        </w:tc>
      </w:tr>
      <w:tr w:rsidR="00833634" w14:paraId="4090F142" w14:textId="77777777">
        <w:tc>
          <w:tcPr>
            <w:tcW w:w="0" w:type="auto"/>
            <w:gridSpan w:val="3"/>
            <w:shd w:val="clear" w:color="auto" w:fill="FFFFFF"/>
            <w:tcMar>
              <w:top w:w="40" w:type="dxa"/>
              <w:left w:w="20" w:type="dxa"/>
              <w:bottom w:w="40" w:type="dxa"/>
              <w:right w:w="20" w:type="dxa"/>
            </w:tcMar>
            <w:vAlign w:val="bottom"/>
          </w:tcPr>
          <w:p w14:paraId="4090F136" w14:textId="77777777" w:rsidR="00833634" w:rsidRDefault="00E15D51">
            <w:pPr>
              <w:textAlignment w:val="bottom"/>
            </w:pPr>
            <w:r>
              <w:rPr>
                <w:rFonts w:ascii="Arial" w:eastAsia="宋体" w:hAnsi="Arial" w:cs="Arial"/>
                <w:color w:val="000000"/>
                <w:sz w:val="20"/>
                <w:szCs w:val="20"/>
              </w:rPr>
              <w:t>Pension FAS/CAS service cost adjustment</w:t>
            </w:r>
          </w:p>
        </w:tc>
        <w:tc>
          <w:tcPr>
            <w:tcW w:w="0" w:type="auto"/>
            <w:gridSpan w:val="2"/>
            <w:shd w:val="clear" w:color="auto" w:fill="FFFFFF"/>
            <w:tcMar>
              <w:top w:w="40" w:type="dxa"/>
              <w:left w:w="20" w:type="dxa"/>
              <w:bottom w:w="40" w:type="dxa"/>
              <w:right w:w="0" w:type="dxa"/>
            </w:tcMar>
            <w:vAlign w:val="bottom"/>
          </w:tcPr>
          <w:p w14:paraId="4090F137" w14:textId="77777777" w:rsidR="00833634" w:rsidRDefault="00E15D51">
            <w:pPr>
              <w:jc w:val="right"/>
              <w:textAlignment w:val="bottom"/>
            </w:pPr>
            <w:r>
              <w:rPr>
                <w:rFonts w:ascii="Arial" w:eastAsia="宋体" w:hAnsi="Arial" w:cs="Arial"/>
                <w:b/>
                <w:bCs/>
                <w:color w:val="000000"/>
                <w:sz w:val="20"/>
                <w:szCs w:val="20"/>
              </w:rPr>
              <w:t>$773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13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13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13A" w14:textId="77777777" w:rsidR="00833634" w:rsidRDefault="00E15D51">
            <w:pPr>
              <w:jc w:val="right"/>
              <w:textAlignment w:val="bottom"/>
            </w:pPr>
            <w:r>
              <w:rPr>
                <w:rFonts w:ascii="Arial" w:eastAsia="宋体" w:hAnsi="Arial" w:cs="Arial"/>
                <w:color w:val="000000"/>
                <w:sz w:val="20"/>
                <w:szCs w:val="20"/>
              </w:rPr>
              <w:t>$823 </w:t>
            </w:r>
          </w:p>
        </w:tc>
        <w:tc>
          <w:tcPr>
            <w:tcW w:w="0" w:type="auto"/>
            <w:shd w:val="clear" w:color="auto" w:fill="FFFFFF"/>
            <w:tcMar>
              <w:top w:w="40" w:type="dxa"/>
              <w:left w:w="0" w:type="dxa"/>
              <w:bottom w:w="40" w:type="dxa"/>
              <w:right w:w="20" w:type="dxa"/>
            </w:tcMar>
            <w:vAlign w:val="bottom"/>
          </w:tcPr>
          <w:p w14:paraId="4090F13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13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13D" w14:textId="77777777" w:rsidR="00833634" w:rsidRDefault="00E15D51">
            <w:pPr>
              <w:jc w:val="right"/>
              <w:textAlignment w:val="bottom"/>
            </w:pPr>
            <w:r>
              <w:rPr>
                <w:rFonts w:ascii="Arial" w:eastAsia="宋体" w:hAnsi="Arial" w:cs="Arial"/>
                <w:b/>
                <w:bCs/>
                <w:color w:val="000000"/>
                <w:sz w:val="20"/>
                <w:szCs w:val="20"/>
              </w:rPr>
              <w:t>$260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13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13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140" w14:textId="77777777" w:rsidR="00833634" w:rsidRDefault="00E15D51">
            <w:pPr>
              <w:jc w:val="right"/>
              <w:textAlignment w:val="bottom"/>
            </w:pPr>
            <w:r>
              <w:rPr>
                <w:rFonts w:ascii="Arial" w:eastAsia="宋体" w:hAnsi="Arial" w:cs="Arial"/>
                <w:color w:val="000000"/>
                <w:sz w:val="20"/>
                <w:szCs w:val="20"/>
              </w:rPr>
              <w:t>$274 </w:t>
            </w:r>
          </w:p>
        </w:tc>
        <w:tc>
          <w:tcPr>
            <w:tcW w:w="0" w:type="auto"/>
            <w:shd w:val="clear" w:color="auto" w:fill="FFFFFF"/>
            <w:tcMar>
              <w:top w:w="40" w:type="dxa"/>
              <w:left w:w="0" w:type="dxa"/>
              <w:bottom w:w="40" w:type="dxa"/>
              <w:right w:w="20" w:type="dxa"/>
            </w:tcMar>
            <w:vAlign w:val="bottom"/>
          </w:tcPr>
          <w:p w14:paraId="4090F141" w14:textId="77777777" w:rsidR="00833634" w:rsidRDefault="00833634">
            <w:pPr>
              <w:jc w:val="right"/>
              <w:rPr>
                <w:rFonts w:ascii="宋体"/>
              </w:rPr>
            </w:pPr>
          </w:p>
        </w:tc>
      </w:tr>
      <w:tr w:rsidR="00833634" w14:paraId="4090F14F" w14:textId="77777777">
        <w:tc>
          <w:tcPr>
            <w:tcW w:w="0" w:type="auto"/>
            <w:gridSpan w:val="3"/>
            <w:shd w:val="clear" w:color="auto" w:fill="CCEEFF"/>
            <w:tcMar>
              <w:top w:w="40" w:type="dxa"/>
              <w:left w:w="20" w:type="dxa"/>
              <w:bottom w:w="40" w:type="dxa"/>
              <w:right w:w="20" w:type="dxa"/>
            </w:tcMar>
            <w:vAlign w:val="bottom"/>
          </w:tcPr>
          <w:p w14:paraId="4090F143" w14:textId="77777777" w:rsidR="00833634" w:rsidRDefault="00E15D51">
            <w:pPr>
              <w:textAlignment w:val="bottom"/>
            </w:pPr>
            <w:r>
              <w:rPr>
                <w:rFonts w:ascii="Arial" w:eastAsia="宋体" w:hAnsi="Arial" w:cs="Arial"/>
                <w:color w:val="000000"/>
                <w:sz w:val="20"/>
                <w:szCs w:val="20"/>
              </w:rPr>
              <w:t>Postretirement FAS/CAS service cost adjustment</w:t>
            </w:r>
          </w:p>
        </w:tc>
        <w:tc>
          <w:tcPr>
            <w:tcW w:w="0" w:type="auto"/>
            <w:gridSpan w:val="2"/>
            <w:shd w:val="clear" w:color="auto" w:fill="CCEEFF"/>
            <w:tcMar>
              <w:top w:w="40" w:type="dxa"/>
              <w:left w:w="20" w:type="dxa"/>
              <w:bottom w:w="40" w:type="dxa"/>
              <w:right w:w="0" w:type="dxa"/>
            </w:tcMar>
            <w:vAlign w:val="bottom"/>
          </w:tcPr>
          <w:p w14:paraId="4090F144" w14:textId="77777777" w:rsidR="00833634" w:rsidRDefault="00E15D51">
            <w:pPr>
              <w:jc w:val="right"/>
              <w:textAlignment w:val="bottom"/>
            </w:pPr>
            <w:r>
              <w:rPr>
                <w:rFonts w:ascii="Arial" w:eastAsia="宋体" w:hAnsi="Arial" w:cs="Arial"/>
                <w:b/>
                <w:bCs/>
                <w:color w:val="000000"/>
                <w:sz w:val="20"/>
                <w:szCs w:val="20"/>
              </w:rPr>
              <w:t>282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14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14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147" w14:textId="77777777" w:rsidR="00833634" w:rsidRDefault="00E15D51">
            <w:pPr>
              <w:jc w:val="right"/>
              <w:textAlignment w:val="bottom"/>
            </w:pPr>
            <w:r>
              <w:rPr>
                <w:rFonts w:ascii="Arial" w:eastAsia="宋体" w:hAnsi="Arial" w:cs="Arial"/>
                <w:color w:val="000000"/>
                <w:sz w:val="20"/>
                <w:szCs w:val="20"/>
              </w:rPr>
              <w:t>270 </w:t>
            </w:r>
          </w:p>
        </w:tc>
        <w:tc>
          <w:tcPr>
            <w:tcW w:w="0" w:type="auto"/>
            <w:shd w:val="clear" w:color="auto" w:fill="CCEEFF"/>
            <w:tcMar>
              <w:top w:w="40" w:type="dxa"/>
              <w:left w:w="0" w:type="dxa"/>
              <w:bottom w:w="40" w:type="dxa"/>
              <w:right w:w="20" w:type="dxa"/>
            </w:tcMar>
            <w:vAlign w:val="bottom"/>
          </w:tcPr>
          <w:p w14:paraId="4090F14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14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14A" w14:textId="77777777" w:rsidR="00833634" w:rsidRDefault="00E15D51">
            <w:pPr>
              <w:jc w:val="right"/>
              <w:textAlignment w:val="bottom"/>
            </w:pPr>
            <w:r>
              <w:rPr>
                <w:rFonts w:ascii="Arial" w:eastAsia="宋体" w:hAnsi="Arial" w:cs="Arial"/>
                <w:b/>
                <w:bCs/>
                <w:color w:val="000000"/>
                <w:sz w:val="20"/>
                <w:szCs w:val="20"/>
              </w:rPr>
              <w:t>93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14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14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14D" w14:textId="77777777" w:rsidR="00833634" w:rsidRDefault="00E15D51">
            <w:pPr>
              <w:jc w:val="right"/>
              <w:textAlignment w:val="bottom"/>
            </w:pPr>
            <w:r>
              <w:rPr>
                <w:rFonts w:ascii="Arial" w:eastAsia="宋体" w:hAnsi="Arial" w:cs="Arial"/>
                <w:color w:val="000000"/>
                <w:sz w:val="20"/>
                <w:szCs w:val="20"/>
              </w:rPr>
              <w:t>90 </w:t>
            </w:r>
          </w:p>
        </w:tc>
        <w:tc>
          <w:tcPr>
            <w:tcW w:w="0" w:type="auto"/>
            <w:shd w:val="clear" w:color="auto" w:fill="CCEEFF"/>
            <w:tcMar>
              <w:top w:w="40" w:type="dxa"/>
              <w:left w:w="0" w:type="dxa"/>
              <w:bottom w:w="40" w:type="dxa"/>
              <w:right w:w="20" w:type="dxa"/>
            </w:tcMar>
            <w:vAlign w:val="bottom"/>
          </w:tcPr>
          <w:p w14:paraId="4090F14E" w14:textId="77777777" w:rsidR="00833634" w:rsidRDefault="00833634">
            <w:pPr>
              <w:jc w:val="right"/>
              <w:rPr>
                <w:rFonts w:ascii="宋体"/>
              </w:rPr>
            </w:pPr>
          </w:p>
        </w:tc>
      </w:tr>
      <w:tr w:rsidR="00833634" w14:paraId="4090F15C"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F150" w14:textId="77777777" w:rsidR="00833634" w:rsidRDefault="00E15D51">
            <w:pPr>
              <w:textAlignment w:val="bottom"/>
            </w:pPr>
            <w:r>
              <w:rPr>
                <w:rFonts w:ascii="Arial" w:eastAsia="宋体" w:hAnsi="Arial" w:cs="Arial"/>
                <w:color w:val="000000"/>
                <w:sz w:val="20"/>
                <w:szCs w:val="20"/>
              </w:rPr>
              <w:t>FAS/CAS service cost adjustment</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151" w14:textId="77777777" w:rsidR="00833634" w:rsidRDefault="00E15D51">
            <w:pPr>
              <w:jc w:val="right"/>
              <w:textAlignment w:val="bottom"/>
            </w:pPr>
            <w:r>
              <w:rPr>
                <w:rFonts w:ascii="Arial" w:eastAsia="宋体" w:hAnsi="Arial" w:cs="Arial"/>
                <w:b/>
                <w:bCs/>
                <w:color w:val="000000"/>
                <w:sz w:val="20"/>
                <w:szCs w:val="20"/>
              </w:rPr>
              <w:t>$1,055</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152"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153"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154" w14:textId="77777777" w:rsidR="00833634" w:rsidRDefault="00E15D51">
            <w:pPr>
              <w:jc w:val="right"/>
              <w:textAlignment w:val="bottom"/>
            </w:pPr>
            <w:r>
              <w:rPr>
                <w:rFonts w:ascii="Arial" w:eastAsia="宋体" w:hAnsi="Arial" w:cs="Arial"/>
                <w:color w:val="000000"/>
                <w:sz w:val="20"/>
                <w:szCs w:val="20"/>
              </w:rPr>
              <w:t>$1,093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155"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156"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157" w14:textId="77777777" w:rsidR="00833634" w:rsidRDefault="00E15D51">
            <w:pPr>
              <w:jc w:val="right"/>
              <w:textAlignment w:val="bottom"/>
            </w:pPr>
            <w:r>
              <w:rPr>
                <w:rFonts w:ascii="Arial" w:eastAsia="宋体" w:hAnsi="Arial" w:cs="Arial"/>
                <w:b/>
                <w:bCs/>
                <w:color w:val="000000"/>
                <w:sz w:val="20"/>
                <w:szCs w:val="20"/>
              </w:rPr>
              <w:t>$353</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158"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159"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15A" w14:textId="77777777" w:rsidR="00833634" w:rsidRDefault="00E15D51">
            <w:pPr>
              <w:jc w:val="right"/>
              <w:textAlignment w:val="bottom"/>
            </w:pPr>
            <w:r>
              <w:rPr>
                <w:rFonts w:ascii="Arial" w:eastAsia="宋体" w:hAnsi="Arial" w:cs="Arial"/>
                <w:color w:val="000000"/>
                <w:sz w:val="20"/>
                <w:szCs w:val="20"/>
              </w:rPr>
              <w:t>$364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15B" w14:textId="77777777" w:rsidR="00833634" w:rsidRDefault="00833634">
            <w:pPr>
              <w:jc w:val="right"/>
              <w:rPr>
                <w:rFonts w:ascii="宋体"/>
              </w:rPr>
            </w:pPr>
          </w:p>
        </w:tc>
      </w:tr>
      <w:tr w:rsidR="00833634" w14:paraId="4090F165" w14:textId="77777777">
        <w:trPr>
          <w:hidden/>
        </w:trPr>
        <w:tc>
          <w:tcPr>
            <w:tcW w:w="0" w:type="auto"/>
            <w:gridSpan w:val="3"/>
            <w:shd w:val="clear" w:color="auto" w:fill="auto"/>
          </w:tcPr>
          <w:p w14:paraId="4090F15D" w14:textId="77777777" w:rsidR="00833634" w:rsidRDefault="00833634">
            <w:pPr>
              <w:rPr>
                <w:rFonts w:ascii="宋体"/>
                <w:vanish/>
              </w:rPr>
            </w:pPr>
          </w:p>
        </w:tc>
        <w:tc>
          <w:tcPr>
            <w:tcW w:w="0" w:type="auto"/>
            <w:gridSpan w:val="3"/>
            <w:shd w:val="clear" w:color="auto" w:fill="auto"/>
          </w:tcPr>
          <w:p w14:paraId="4090F15E" w14:textId="77777777" w:rsidR="00833634" w:rsidRDefault="00833634">
            <w:pPr>
              <w:rPr>
                <w:rFonts w:ascii="宋体"/>
                <w:vanish/>
              </w:rPr>
            </w:pPr>
          </w:p>
        </w:tc>
        <w:tc>
          <w:tcPr>
            <w:tcW w:w="0" w:type="auto"/>
            <w:gridSpan w:val="3"/>
            <w:shd w:val="clear" w:color="auto" w:fill="auto"/>
          </w:tcPr>
          <w:p w14:paraId="4090F15F" w14:textId="77777777" w:rsidR="00833634" w:rsidRDefault="00833634">
            <w:pPr>
              <w:rPr>
                <w:rFonts w:ascii="宋体"/>
                <w:vanish/>
              </w:rPr>
            </w:pPr>
          </w:p>
        </w:tc>
        <w:tc>
          <w:tcPr>
            <w:tcW w:w="0" w:type="auto"/>
            <w:gridSpan w:val="3"/>
            <w:shd w:val="clear" w:color="auto" w:fill="auto"/>
          </w:tcPr>
          <w:p w14:paraId="4090F160" w14:textId="77777777" w:rsidR="00833634" w:rsidRDefault="00833634">
            <w:pPr>
              <w:rPr>
                <w:rFonts w:ascii="宋体"/>
                <w:vanish/>
              </w:rPr>
            </w:pPr>
          </w:p>
        </w:tc>
        <w:tc>
          <w:tcPr>
            <w:tcW w:w="0" w:type="auto"/>
            <w:gridSpan w:val="3"/>
            <w:shd w:val="clear" w:color="auto" w:fill="auto"/>
          </w:tcPr>
          <w:p w14:paraId="4090F161" w14:textId="77777777" w:rsidR="00833634" w:rsidRDefault="00833634">
            <w:pPr>
              <w:rPr>
                <w:rFonts w:ascii="宋体"/>
                <w:vanish/>
              </w:rPr>
            </w:pPr>
          </w:p>
        </w:tc>
        <w:tc>
          <w:tcPr>
            <w:tcW w:w="0" w:type="auto"/>
            <w:gridSpan w:val="3"/>
            <w:shd w:val="clear" w:color="auto" w:fill="auto"/>
          </w:tcPr>
          <w:p w14:paraId="4090F162" w14:textId="77777777" w:rsidR="00833634" w:rsidRDefault="00833634">
            <w:pPr>
              <w:rPr>
                <w:rFonts w:ascii="宋体"/>
                <w:vanish/>
              </w:rPr>
            </w:pPr>
          </w:p>
        </w:tc>
        <w:tc>
          <w:tcPr>
            <w:tcW w:w="0" w:type="auto"/>
            <w:gridSpan w:val="3"/>
            <w:shd w:val="clear" w:color="auto" w:fill="auto"/>
          </w:tcPr>
          <w:p w14:paraId="4090F163" w14:textId="77777777" w:rsidR="00833634" w:rsidRDefault="00833634">
            <w:pPr>
              <w:rPr>
                <w:rFonts w:ascii="宋体"/>
                <w:vanish/>
              </w:rPr>
            </w:pPr>
          </w:p>
        </w:tc>
        <w:tc>
          <w:tcPr>
            <w:tcW w:w="0" w:type="auto"/>
            <w:gridSpan w:val="3"/>
            <w:shd w:val="clear" w:color="auto" w:fill="auto"/>
          </w:tcPr>
          <w:p w14:paraId="4090F164" w14:textId="77777777" w:rsidR="00833634" w:rsidRDefault="00833634">
            <w:pPr>
              <w:rPr>
                <w:rFonts w:ascii="宋体"/>
                <w:vanish/>
              </w:rPr>
            </w:pPr>
          </w:p>
        </w:tc>
      </w:tr>
    </w:tbl>
    <w:p w14:paraId="4090F166" w14:textId="77777777" w:rsidR="00833634" w:rsidRDefault="00E15D51">
      <w:pPr>
        <w:spacing w:after="180"/>
        <w:jc w:val="both"/>
      </w:pPr>
      <w:r>
        <w:rPr>
          <w:rFonts w:ascii="Arial" w:eastAsia="宋体" w:hAnsi="Arial" w:cs="Arial"/>
          <w:b/>
          <w:bCs/>
          <w:color w:val="000000"/>
          <w:sz w:val="20"/>
          <w:szCs w:val="20"/>
        </w:rPr>
        <w:t>Pension and Other Postretirement Benefit Expense</w:t>
      </w:r>
    </w:p>
    <w:p w14:paraId="4090F167" w14:textId="77777777" w:rsidR="00833634" w:rsidRDefault="00E15D51">
      <w:pPr>
        <w:spacing w:after="180"/>
        <w:jc w:val="both"/>
      </w:pPr>
      <w:r>
        <w:rPr>
          <w:rFonts w:ascii="Arial" w:eastAsia="宋体" w:hAnsi="Arial" w:cs="Arial"/>
          <w:color w:val="000000"/>
          <w:sz w:val="20"/>
          <w:szCs w:val="20"/>
        </w:rPr>
        <w:t xml:space="preserve">Pension costs, comprising GAAP service and prior service costs, are allocated to BCA and the commercial operations at BGS. Pension costs are </w:t>
      </w:r>
      <w:r>
        <w:rPr>
          <w:rFonts w:ascii="Arial" w:eastAsia="宋体" w:hAnsi="Arial" w:cs="Arial"/>
          <w:color w:val="000000"/>
          <w:sz w:val="20"/>
          <w:szCs w:val="20"/>
        </w:rPr>
        <w:t>allocated to BDS and BGS businesses supporting government customers using U.S. Government Cost Accounting Standards (CAS), which employ different actuarial assumptions and accounting conventions than GAAP. These costs are allocable to government contracts.</w:t>
      </w:r>
      <w:r>
        <w:rPr>
          <w:rFonts w:ascii="Arial" w:eastAsia="宋体" w:hAnsi="Arial" w:cs="Arial"/>
          <w:color w:val="000000"/>
          <w:sz w:val="20"/>
          <w:szCs w:val="20"/>
        </w:rPr>
        <w:t xml:space="preserve"> Other postretirement benefit costs are allocated to business segments based on CAS, which is generally based on benefits paid. FAS/CAS service cost adjustment represents the difference between the FAS pension and postretirement service costs calculated un</w:t>
      </w:r>
      <w:r>
        <w:rPr>
          <w:rFonts w:ascii="Arial" w:eastAsia="宋体" w:hAnsi="Arial" w:cs="Arial"/>
          <w:color w:val="000000"/>
          <w:sz w:val="20"/>
          <w:szCs w:val="20"/>
        </w:rPr>
        <w:t>der GAAP and costs allocated to the business segments. Non-operating pension and postretirement expenses represent the components of net periodic benefit costs other than service cost. These expenses are included in Other income, net.</w:t>
      </w:r>
    </w:p>
    <w:p w14:paraId="4090F168" w14:textId="77777777" w:rsidR="00833634" w:rsidRDefault="00E15D51">
      <w:pPr>
        <w:spacing w:after="180"/>
        <w:jc w:val="center"/>
      </w:pPr>
      <w:r>
        <w:rPr>
          <w:rFonts w:ascii="Arial" w:eastAsia="宋体" w:hAnsi="Arial" w:cs="Arial"/>
          <w:color w:val="000000"/>
          <w:sz w:val="18"/>
          <w:szCs w:val="18"/>
        </w:rPr>
        <w:t>34</w:t>
      </w:r>
    </w:p>
    <w:p w14:paraId="4090F169" w14:textId="77777777" w:rsidR="00833634" w:rsidRDefault="00E15D51">
      <w:r>
        <w:pict w14:anchorId="4090FE42">
          <v:rect id="_x0000_i1060" style="width:415.3pt;height:1.5pt" o:hralign="center" o:hrstd="t" o:hr="t" fillcolor="#a0a0a0" stroked="f"/>
        </w:pict>
      </w:r>
    </w:p>
    <w:p w14:paraId="4090F16A" w14:textId="77777777" w:rsidR="00833634" w:rsidRDefault="00E15D51">
      <w:pPr>
        <w:spacing w:after="180"/>
        <w:jc w:val="both"/>
      </w:pPr>
      <w:hyperlink r:id="rId137" w:anchor="i8d805bfb1e1c4815a1dcd5b6d1e0b117_10" w:history="1">
        <w:r>
          <w:rPr>
            <w:rStyle w:val="a5"/>
            <w:rFonts w:ascii="Arial" w:eastAsia="宋体" w:hAnsi="Arial" w:cs="Arial"/>
            <w:sz w:val="18"/>
            <w:szCs w:val="18"/>
          </w:rPr>
          <w:t>Table of Contents</w:t>
        </w:r>
      </w:hyperlink>
    </w:p>
    <w:p w14:paraId="4090F16B" w14:textId="77777777" w:rsidR="00833634" w:rsidRDefault="00E15D51">
      <w:pPr>
        <w:spacing w:after="180"/>
        <w:jc w:val="both"/>
      </w:pPr>
      <w:r>
        <w:rPr>
          <w:rFonts w:ascii="Arial" w:eastAsia="宋体" w:hAnsi="Arial" w:cs="Arial"/>
          <w:b/>
          <w:bCs/>
          <w:color w:val="000000"/>
          <w:sz w:val="20"/>
          <w:szCs w:val="20"/>
        </w:rPr>
        <w:t>Assets</w:t>
      </w:r>
    </w:p>
    <w:p w14:paraId="4090F16C" w14:textId="77777777" w:rsidR="00833634" w:rsidRDefault="00E15D51">
      <w:pPr>
        <w:jc w:val="both"/>
      </w:pPr>
      <w:r>
        <w:rPr>
          <w:rFonts w:ascii="Arial" w:eastAsia="宋体" w:hAnsi="Arial" w:cs="Arial"/>
          <w:color w:val="000000"/>
          <w:sz w:val="20"/>
          <w:szCs w:val="20"/>
        </w:rPr>
        <w:t>Segment assets are summarized in the table below:</w:t>
      </w:r>
    </w:p>
    <w:tbl>
      <w:tblPr>
        <w:tblW w:w="5000" w:type="pct"/>
        <w:tblCellMar>
          <w:top w:w="15" w:type="dxa"/>
          <w:left w:w="15" w:type="dxa"/>
          <w:bottom w:w="15" w:type="dxa"/>
          <w:right w:w="15" w:type="dxa"/>
        </w:tblCellMar>
        <w:tblLook w:val="04A0" w:firstRow="1" w:lastRow="0" w:firstColumn="1" w:lastColumn="0" w:noHBand="0" w:noVBand="1"/>
      </w:tblPr>
      <w:tblGrid>
        <w:gridCol w:w="63"/>
        <w:gridCol w:w="5487"/>
        <w:gridCol w:w="36"/>
        <w:gridCol w:w="68"/>
        <w:gridCol w:w="1219"/>
        <w:gridCol w:w="36"/>
        <w:gridCol w:w="36"/>
        <w:gridCol w:w="36"/>
        <w:gridCol w:w="36"/>
        <w:gridCol w:w="61"/>
        <w:gridCol w:w="1222"/>
        <w:gridCol w:w="36"/>
      </w:tblGrid>
      <w:tr w:rsidR="00833634" w14:paraId="4090F179" w14:textId="77777777">
        <w:tc>
          <w:tcPr>
            <w:tcW w:w="50" w:type="pct"/>
            <w:shd w:val="clear" w:color="auto" w:fill="auto"/>
          </w:tcPr>
          <w:p w14:paraId="4090F16D" w14:textId="77777777" w:rsidR="00833634" w:rsidRDefault="00833634">
            <w:pPr>
              <w:rPr>
                <w:rFonts w:ascii="宋体"/>
              </w:rPr>
            </w:pPr>
          </w:p>
        </w:tc>
        <w:tc>
          <w:tcPr>
            <w:tcW w:w="3302" w:type="pct"/>
            <w:shd w:val="clear" w:color="auto" w:fill="auto"/>
          </w:tcPr>
          <w:p w14:paraId="4090F16E" w14:textId="77777777" w:rsidR="00833634" w:rsidRDefault="00833634">
            <w:pPr>
              <w:rPr>
                <w:rFonts w:ascii="宋体"/>
              </w:rPr>
            </w:pPr>
          </w:p>
        </w:tc>
        <w:tc>
          <w:tcPr>
            <w:tcW w:w="5" w:type="pct"/>
            <w:shd w:val="clear" w:color="auto" w:fill="auto"/>
          </w:tcPr>
          <w:p w14:paraId="4090F16F" w14:textId="77777777" w:rsidR="00833634" w:rsidRDefault="00833634">
            <w:pPr>
              <w:rPr>
                <w:rFonts w:ascii="宋体"/>
              </w:rPr>
            </w:pPr>
          </w:p>
        </w:tc>
        <w:tc>
          <w:tcPr>
            <w:tcW w:w="50" w:type="pct"/>
            <w:shd w:val="clear" w:color="auto" w:fill="auto"/>
          </w:tcPr>
          <w:p w14:paraId="4090F170" w14:textId="77777777" w:rsidR="00833634" w:rsidRDefault="00833634">
            <w:pPr>
              <w:rPr>
                <w:rFonts w:ascii="宋体"/>
              </w:rPr>
            </w:pPr>
          </w:p>
        </w:tc>
        <w:tc>
          <w:tcPr>
            <w:tcW w:w="746" w:type="pct"/>
            <w:shd w:val="clear" w:color="auto" w:fill="auto"/>
          </w:tcPr>
          <w:p w14:paraId="4090F171" w14:textId="77777777" w:rsidR="00833634" w:rsidRDefault="00833634">
            <w:pPr>
              <w:rPr>
                <w:rFonts w:ascii="宋体"/>
              </w:rPr>
            </w:pPr>
          </w:p>
        </w:tc>
        <w:tc>
          <w:tcPr>
            <w:tcW w:w="5" w:type="pct"/>
            <w:shd w:val="clear" w:color="auto" w:fill="auto"/>
          </w:tcPr>
          <w:p w14:paraId="4090F172" w14:textId="77777777" w:rsidR="00833634" w:rsidRDefault="00833634">
            <w:pPr>
              <w:rPr>
                <w:rFonts w:ascii="宋体"/>
              </w:rPr>
            </w:pPr>
          </w:p>
        </w:tc>
        <w:tc>
          <w:tcPr>
            <w:tcW w:w="5" w:type="pct"/>
            <w:shd w:val="clear" w:color="auto" w:fill="auto"/>
          </w:tcPr>
          <w:p w14:paraId="4090F173" w14:textId="77777777" w:rsidR="00833634" w:rsidRDefault="00833634">
            <w:pPr>
              <w:rPr>
                <w:rFonts w:ascii="宋体"/>
              </w:rPr>
            </w:pPr>
          </w:p>
        </w:tc>
        <w:tc>
          <w:tcPr>
            <w:tcW w:w="30" w:type="pct"/>
            <w:shd w:val="clear" w:color="auto" w:fill="auto"/>
          </w:tcPr>
          <w:p w14:paraId="4090F174" w14:textId="77777777" w:rsidR="00833634" w:rsidRDefault="00833634">
            <w:pPr>
              <w:rPr>
                <w:rFonts w:ascii="宋体"/>
              </w:rPr>
            </w:pPr>
          </w:p>
        </w:tc>
        <w:tc>
          <w:tcPr>
            <w:tcW w:w="5" w:type="pct"/>
            <w:shd w:val="clear" w:color="auto" w:fill="auto"/>
          </w:tcPr>
          <w:p w14:paraId="4090F175" w14:textId="77777777" w:rsidR="00833634" w:rsidRDefault="00833634">
            <w:pPr>
              <w:rPr>
                <w:rFonts w:ascii="宋体"/>
              </w:rPr>
            </w:pPr>
          </w:p>
        </w:tc>
        <w:tc>
          <w:tcPr>
            <w:tcW w:w="50" w:type="pct"/>
            <w:shd w:val="clear" w:color="auto" w:fill="auto"/>
          </w:tcPr>
          <w:p w14:paraId="4090F176" w14:textId="77777777" w:rsidR="00833634" w:rsidRDefault="00833634">
            <w:pPr>
              <w:rPr>
                <w:rFonts w:ascii="宋体"/>
              </w:rPr>
            </w:pPr>
          </w:p>
        </w:tc>
        <w:tc>
          <w:tcPr>
            <w:tcW w:w="746" w:type="pct"/>
            <w:shd w:val="clear" w:color="auto" w:fill="auto"/>
          </w:tcPr>
          <w:p w14:paraId="4090F177" w14:textId="77777777" w:rsidR="00833634" w:rsidRDefault="00833634">
            <w:pPr>
              <w:rPr>
                <w:rFonts w:ascii="宋体"/>
              </w:rPr>
            </w:pPr>
          </w:p>
        </w:tc>
        <w:tc>
          <w:tcPr>
            <w:tcW w:w="5" w:type="pct"/>
            <w:shd w:val="clear" w:color="auto" w:fill="auto"/>
          </w:tcPr>
          <w:p w14:paraId="4090F178" w14:textId="77777777" w:rsidR="00833634" w:rsidRDefault="00833634">
            <w:pPr>
              <w:rPr>
                <w:rFonts w:ascii="宋体"/>
              </w:rPr>
            </w:pPr>
          </w:p>
        </w:tc>
      </w:tr>
      <w:tr w:rsidR="00833634" w14:paraId="4090F17E" w14:textId="77777777">
        <w:tc>
          <w:tcPr>
            <w:tcW w:w="0" w:type="auto"/>
            <w:gridSpan w:val="3"/>
            <w:shd w:val="clear" w:color="auto" w:fill="auto"/>
            <w:tcMar>
              <w:top w:w="0" w:type="dxa"/>
              <w:left w:w="20" w:type="dxa"/>
              <w:bottom w:w="0" w:type="dxa"/>
              <w:right w:w="20" w:type="dxa"/>
            </w:tcMar>
          </w:tcPr>
          <w:p w14:paraId="4090F17A"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17B" w14:textId="77777777" w:rsidR="00833634" w:rsidRDefault="00E15D51">
            <w:pPr>
              <w:jc w:val="right"/>
              <w:textAlignment w:val="bottom"/>
            </w:pPr>
            <w:r>
              <w:rPr>
                <w:rFonts w:ascii="Arial" w:eastAsia="宋体" w:hAnsi="Arial" w:cs="Arial"/>
                <w:b/>
                <w:bCs/>
                <w:color w:val="000000"/>
                <w:sz w:val="20"/>
                <w:szCs w:val="20"/>
              </w:rPr>
              <w:t>September 30</w:t>
            </w:r>
            <w:r>
              <w:rPr>
                <w:rFonts w:ascii="Arial" w:eastAsia="宋体" w:hAnsi="Arial" w:cs="Arial"/>
                <w:b/>
                <w:bCs/>
                <w:color w:val="000000"/>
                <w:sz w:val="20"/>
                <w:szCs w:val="20"/>
              </w:rPr>
              <w:br/>
              <w:t>2020</w:t>
            </w:r>
          </w:p>
        </w:tc>
        <w:tc>
          <w:tcPr>
            <w:tcW w:w="0" w:type="auto"/>
            <w:gridSpan w:val="3"/>
            <w:shd w:val="clear" w:color="auto" w:fill="auto"/>
            <w:tcMar>
              <w:top w:w="0" w:type="dxa"/>
              <w:left w:w="20" w:type="dxa"/>
              <w:bottom w:w="0" w:type="dxa"/>
              <w:right w:w="20" w:type="dxa"/>
            </w:tcMar>
          </w:tcPr>
          <w:p w14:paraId="4090F17C"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17D" w14:textId="77777777" w:rsidR="00833634" w:rsidRDefault="00E15D51">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2019</w:t>
            </w:r>
          </w:p>
        </w:tc>
      </w:tr>
      <w:tr w:rsidR="00833634" w14:paraId="4090F185"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17F" w14:textId="77777777" w:rsidR="00833634" w:rsidRDefault="00E15D51">
            <w:pPr>
              <w:textAlignment w:val="bottom"/>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180" w14:textId="77777777" w:rsidR="00833634" w:rsidRDefault="00E15D51">
            <w:pPr>
              <w:jc w:val="right"/>
              <w:textAlignment w:val="bottom"/>
            </w:pPr>
            <w:r>
              <w:rPr>
                <w:rFonts w:ascii="Arial" w:eastAsia="宋体" w:hAnsi="Arial" w:cs="Arial"/>
                <w:b/>
                <w:bCs/>
                <w:color w:val="000000"/>
                <w:sz w:val="20"/>
                <w:szCs w:val="20"/>
              </w:rPr>
              <w:t>$83,187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18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18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183" w14:textId="77777777" w:rsidR="00833634" w:rsidRDefault="00E15D51">
            <w:pPr>
              <w:jc w:val="right"/>
              <w:textAlignment w:val="bottom"/>
            </w:pPr>
            <w:r>
              <w:rPr>
                <w:rFonts w:ascii="Arial" w:eastAsia="宋体" w:hAnsi="Arial" w:cs="Arial"/>
                <w:color w:val="000000"/>
                <w:sz w:val="20"/>
                <w:szCs w:val="20"/>
              </w:rPr>
              <w:t>$73,995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184" w14:textId="77777777" w:rsidR="00833634" w:rsidRDefault="00833634">
            <w:pPr>
              <w:jc w:val="right"/>
              <w:rPr>
                <w:rFonts w:ascii="宋体"/>
              </w:rPr>
            </w:pPr>
          </w:p>
        </w:tc>
      </w:tr>
      <w:tr w:rsidR="00833634" w14:paraId="4090F18C" w14:textId="77777777">
        <w:tc>
          <w:tcPr>
            <w:tcW w:w="0" w:type="auto"/>
            <w:gridSpan w:val="3"/>
            <w:shd w:val="clear" w:color="auto" w:fill="FFFFFF"/>
            <w:tcMar>
              <w:top w:w="40" w:type="dxa"/>
              <w:left w:w="20" w:type="dxa"/>
              <w:bottom w:w="40" w:type="dxa"/>
              <w:right w:w="20" w:type="dxa"/>
            </w:tcMar>
            <w:vAlign w:val="bottom"/>
          </w:tcPr>
          <w:p w14:paraId="4090F186" w14:textId="77777777" w:rsidR="00833634" w:rsidRDefault="00E15D51">
            <w:pPr>
              <w:textAlignment w:val="bottom"/>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4090F187" w14:textId="77777777" w:rsidR="00833634" w:rsidRDefault="00E15D51">
            <w:pPr>
              <w:jc w:val="right"/>
              <w:textAlignment w:val="bottom"/>
            </w:pPr>
            <w:r>
              <w:rPr>
                <w:rFonts w:ascii="Arial" w:eastAsia="宋体" w:hAnsi="Arial" w:cs="Arial"/>
                <w:b/>
                <w:bCs/>
                <w:color w:val="000000"/>
                <w:sz w:val="20"/>
                <w:szCs w:val="20"/>
              </w:rPr>
              <w:t>15,723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18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18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18A" w14:textId="77777777" w:rsidR="00833634" w:rsidRDefault="00E15D51">
            <w:pPr>
              <w:jc w:val="right"/>
              <w:textAlignment w:val="bottom"/>
            </w:pPr>
            <w:r>
              <w:rPr>
                <w:rFonts w:ascii="Arial" w:eastAsia="宋体" w:hAnsi="Arial" w:cs="Arial"/>
                <w:color w:val="000000"/>
                <w:sz w:val="20"/>
                <w:szCs w:val="20"/>
              </w:rPr>
              <w:t>15,757 </w:t>
            </w:r>
          </w:p>
        </w:tc>
        <w:tc>
          <w:tcPr>
            <w:tcW w:w="0" w:type="auto"/>
            <w:shd w:val="clear" w:color="auto" w:fill="FFFFFF"/>
            <w:tcMar>
              <w:top w:w="40" w:type="dxa"/>
              <w:left w:w="0" w:type="dxa"/>
              <w:bottom w:w="40" w:type="dxa"/>
              <w:right w:w="20" w:type="dxa"/>
            </w:tcMar>
            <w:vAlign w:val="bottom"/>
          </w:tcPr>
          <w:p w14:paraId="4090F18B" w14:textId="77777777" w:rsidR="00833634" w:rsidRDefault="00833634">
            <w:pPr>
              <w:jc w:val="right"/>
              <w:rPr>
                <w:rFonts w:ascii="宋体"/>
              </w:rPr>
            </w:pPr>
          </w:p>
        </w:tc>
      </w:tr>
      <w:tr w:rsidR="00833634" w14:paraId="4090F193" w14:textId="77777777">
        <w:tc>
          <w:tcPr>
            <w:tcW w:w="0" w:type="auto"/>
            <w:gridSpan w:val="3"/>
            <w:shd w:val="clear" w:color="auto" w:fill="CCEEFF"/>
            <w:tcMar>
              <w:top w:w="40" w:type="dxa"/>
              <w:left w:w="20" w:type="dxa"/>
              <w:bottom w:w="40" w:type="dxa"/>
              <w:right w:w="20" w:type="dxa"/>
            </w:tcMar>
            <w:vAlign w:val="bottom"/>
          </w:tcPr>
          <w:p w14:paraId="4090F18D" w14:textId="77777777" w:rsidR="00833634" w:rsidRDefault="00E15D51">
            <w:pPr>
              <w:textAlignment w:val="bottom"/>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4090F18E" w14:textId="77777777" w:rsidR="00833634" w:rsidRDefault="00E15D51">
            <w:pPr>
              <w:jc w:val="right"/>
              <w:textAlignment w:val="bottom"/>
            </w:pPr>
            <w:r>
              <w:rPr>
                <w:rFonts w:ascii="Arial" w:eastAsia="宋体" w:hAnsi="Arial" w:cs="Arial"/>
                <w:b/>
                <w:bCs/>
                <w:color w:val="000000"/>
                <w:sz w:val="20"/>
                <w:szCs w:val="20"/>
              </w:rPr>
              <w:t>18,381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18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19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191" w14:textId="77777777" w:rsidR="00833634" w:rsidRDefault="00E15D51">
            <w:pPr>
              <w:jc w:val="right"/>
              <w:textAlignment w:val="bottom"/>
            </w:pPr>
            <w:r>
              <w:rPr>
                <w:rFonts w:ascii="Arial" w:eastAsia="宋体" w:hAnsi="Arial" w:cs="Arial"/>
                <w:color w:val="000000"/>
                <w:sz w:val="20"/>
                <w:szCs w:val="20"/>
              </w:rPr>
              <w:t>18,605 </w:t>
            </w:r>
          </w:p>
        </w:tc>
        <w:tc>
          <w:tcPr>
            <w:tcW w:w="0" w:type="auto"/>
            <w:shd w:val="clear" w:color="auto" w:fill="CCEEFF"/>
            <w:tcMar>
              <w:top w:w="40" w:type="dxa"/>
              <w:left w:w="0" w:type="dxa"/>
              <w:bottom w:w="40" w:type="dxa"/>
              <w:right w:w="20" w:type="dxa"/>
            </w:tcMar>
            <w:vAlign w:val="bottom"/>
          </w:tcPr>
          <w:p w14:paraId="4090F192" w14:textId="77777777" w:rsidR="00833634" w:rsidRDefault="00833634">
            <w:pPr>
              <w:jc w:val="right"/>
              <w:rPr>
                <w:rFonts w:ascii="宋体"/>
              </w:rPr>
            </w:pPr>
          </w:p>
        </w:tc>
      </w:tr>
      <w:tr w:rsidR="00833634" w14:paraId="4090F19A" w14:textId="77777777">
        <w:tc>
          <w:tcPr>
            <w:tcW w:w="0" w:type="auto"/>
            <w:gridSpan w:val="3"/>
            <w:shd w:val="clear" w:color="auto" w:fill="FFFFFF"/>
            <w:tcMar>
              <w:top w:w="40" w:type="dxa"/>
              <w:left w:w="20" w:type="dxa"/>
              <w:bottom w:w="40" w:type="dxa"/>
              <w:right w:w="20" w:type="dxa"/>
            </w:tcMar>
            <w:vAlign w:val="bottom"/>
          </w:tcPr>
          <w:p w14:paraId="4090F194" w14:textId="77777777" w:rsidR="00833634" w:rsidRDefault="00E15D51">
            <w:pPr>
              <w:textAlignment w:val="bottom"/>
            </w:pPr>
            <w:r>
              <w:rPr>
                <w:rFonts w:ascii="Arial" w:eastAsia="宋体" w:hAnsi="Arial" w:cs="Arial"/>
                <w:color w:val="000000"/>
                <w:sz w:val="20"/>
                <w:szCs w:val="20"/>
              </w:rPr>
              <w:t>Boeing Capital</w:t>
            </w:r>
          </w:p>
        </w:tc>
        <w:tc>
          <w:tcPr>
            <w:tcW w:w="0" w:type="auto"/>
            <w:gridSpan w:val="2"/>
            <w:shd w:val="clear" w:color="auto" w:fill="FFFFFF"/>
            <w:tcMar>
              <w:top w:w="40" w:type="dxa"/>
              <w:left w:w="20" w:type="dxa"/>
              <w:bottom w:w="40" w:type="dxa"/>
              <w:right w:w="0" w:type="dxa"/>
            </w:tcMar>
            <w:vAlign w:val="bottom"/>
          </w:tcPr>
          <w:p w14:paraId="4090F195" w14:textId="77777777" w:rsidR="00833634" w:rsidRDefault="00E15D51">
            <w:pPr>
              <w:jc w:val="right"/>
              <w:textAlignment w:val="bottom"/>
            </w:pPr>
            <w:r>
              <w:rPr>
                <w:rFonts w:ascii="Arial" w:eastAsia="宋体" w:hAnsi="Arial" w:cs="Arial"/>
                <w:b/>
                <w:bCs/>
                <w:color w:val="000000"/>
                <w:sz w:val="20"/>
                <w:szCs w:val="20"/>
              </w:rPr>
              <w:t>2,053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19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19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198" w14:textId="77777777" w:rsidR="00833634" w:rsidRDefault="00E15D51">
            <w:pPr>
              <w:jc w:val="right"/>
              <w:textAlignment w:val="bottom"/>
            </w:pPr>
            <w:r>
              <w:rPr>
                <w:rFonts w:ascii="Arial" w:eastAsia="宋体" w:hAnsi="Arial" w:cs="Arial"/>
                <w:color w:val="000000"/>
                <w:sz w:val="20"/>
                <w:szCs w:val="20"/>
              </w:rPr>
              <w:t>2,269 </w:t>
            </w:r>
          </w:p>
        </w:tc>
        <w:tc>
          <w:tcPr>
            <w:tcW w:w="0" w:type="auto"/>
            <w:shd w:val="clear" w:color="auto" w:fill="FFFFFF"/>
            <w:tcMar>
              <w:top w:w="40" w:type="dxa"/>
              <w:left w:w="0" w:type="dxa"/>
              <w:bottom w:w="40" w:type="dxa"/>
              <w:right w:w="20" w:type="dxa"/>
            </w:tcMar>
            <w:vAlign w:val="bottom"/>
          </w:tcPr>
          <w:p w14:paraId="4090F199" w14:textId="77777777" w:rsidR="00833634" w:rsidRDefault="00833634">
            <w:pPr>
              <w:jc w:val="right"/>
              <w:rPr>
                <w:rFonts w:ascii="宋体"/>
              </w:rPr>
            </w:pPr>
          </w:p>
        </w:tc>
      </w:tr>
      <w:tr w:rsidR="00833634" w14:paraId="4090F1A1" w14:textId="77777777">
        <w:tc>
          <w:tcPr>
            <w:tcW w:w="0" w:type="auto"/>
            <w:gridSpan w:val="3"/>
            <w:shd w:val="clear" w:color="auto" w:fill="CCEEFF"/>
            <w:tcMar>
              <w:top w:w="40" w:type="dxa"/>
              <w:left w:w="20" w:type="dxa"/>
              <w:bottom w:w="40" w:type="dxa"/>
              <w:right w:w="20" w:type="dxa"/>
            </w:tcMar>
            <w:vAlign w:val="bottom"/>
          </w:tcPr>
          <w:p w14:paraId="4090F19B" w14:textId="77777777" w:rsidR="00833634" w:rsidRDefault="00E15D51">
            <w:pPr>
              <w:textAlignment w:val="bottom"/>
            </w:pPr>
            <w:r>
              <w:rPr>
                <w:rFonts w:ascii="Arial" w:eastAsia="宋体" w:hAnsi="Arial" w:cs="Arial"/>
                <w:color w:val="000000"/>
                <w:sz w:val="20"/>
                <w:szCs w:val="20"/>
              </w:rPr>
              <w:t>Unallocated items, eliminations and other</w:t>
            </w:r>
          </w:p>
        </w:tc>
        <w:tc>
          <w:tcPr>
            <w:tcW w:w="0" w:type="auto"/>
            <w:gridSpan w:val="2"/>
            <w:shd w:val="clear" w:color="auto" w:fill="CCEEFF"/>
            <w:tcMar>
              <w:top w:w="40" w:type="dxa"/>
              <w:left w:w="20" w:type="dxa"/>
              <w:bottom w:w="40" w:type="dxa"/>
              <w:right w:w="0" w:type="dxa"/>
            </w:tcMar>
            <w:vAlign w:val="bottom"/>
          </w:tcPr>
          <w:p w14:paraId="4090F19C" w14:textId="77777777" w:rsidR="00833634" w:rsidRDefault="00E15D51">
            <w:pPr>
              <w:jc w:val="right"/>
              <w:textAlignment w:val="bottom"/>
            </w:pPr>
            <w:r>
              <w:rPr>
                <w:rFonts w:ascii="Arial" w:eastAsia="宋体" w:hAnsi="Arial" w:cs="Arial"/>
                <w:b/>
                <w:bCs/>
                <w:color w:val="000000"/>
                <w:sz w:val="20"/>
                <w:szCs w:val="20"/>
              </w:rPr>
              <w:t>41,917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19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19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19F" w14:textId="77777777" w:rsidR="00833634" w:rsidRDefault="00E15D51">
            <w:pPr>
              <w:jc w:val="right"/>
              <w:textAlignment w:val="bottom"/>
            </w:pPr>
            <w:r>
              <w:rPr>
                <w:rFonts w:ascii="Arial" w:eastAsia="宋体" w:hAnsi="Arial" w:cs="Arial"/>
                <w:color w:val="000000"/>
                <w:sz w:val="20"/>
                <w:szCs w:val="20"/>
              </w:rPr>
              <w:t>22,999 </w:t>
            </w:r>
          </w:p>
        </w:tc>
        <w:tc>
          <w:tcPr>
            <w:tcW w:w="0" w:type="auto"/>
            <w:shd w:val="clear" w:color="auto" w:fill="CCEEFF"/>
            <w:tcMar>
              <w:top w:w="40" w:type="dxa"/>
              <w:left w:w="0" w:type="dxa"/>
              <w:bottom w:w="40" w:type="dxa"/>
              <w:right w:w="20" w:type="dxa"/>
            </w:tcMar>
            <w:vAlign w:val="bottom"/>
          </w:tcPr>
          <w:p w14:paraId="4090F1A0" w14:textId="77777777" w:rsidR="00833634" w:rsidRDefault="00833634">
            <w:pPr>
              <w:jc w:val="right"/>
              <w:rPr>
                <w:rFonts w:ascii="宋体"/>
              </w:rPr>
            </w:pPr>
          </w:p>
        </w:tc>
      </w:tr>
      <w:tr w:rsidR="00833634" w14:paraId="4090F1A8" w14:textId="77777777">
        <w:tc>
          <w:tcPr>
            <w:tcW w:w="0" w:type="auto"/>
            <w:gridSpan w:val="3"/>
            <w:tcBorders>
              <w:top w:val="single" w:sz="8" w:space="0" w:color="000000"/>
              <w:bottom w:val="double" w:sz="6" w:space="0" w:color="000000"/>
            </w:tcBorders>
            <w:shd w:val="clear" w:color="auto" w:fill="auto"/>
            <w:tcMar>
              <w:top w:w="40" w:type="dxa"/>
              <w:left w:w="20" w:type="dxa"/>
              <w:bottom w:w="40" w:type="dxa"/>
              <w:right w:w="20" w:type="dxa"/>
            </w:tcMar>
            <w:vAlign w:val="bottom"/>
          </w:tcPr>
          <w:p w14:paraId="4090F1A2" w14:textId="77777777" w:rsidR="00833634" w:rsidRDefault="00E15D51">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1A3" w14:textId="77777777" w:rsidR="00833634" w:rsidRDefault="00E15D51">
            <w:pPr>
              <w:jc w:val="right"/>
              <w:textAlignment w:val="bottom"/>
            </w:pPr>
            <w:r>
              <w:rPr>
                <w:rFonts w:ascii="Arial" w:eastAsia="宋体" w:hAnsi="Arial" w:cs="Arial"/>
                <w:b/>
                <w:bCs/>
                <w:color w:val="000000"/>
                <w:sz w:val="20"/>
                <w:szCs w:val="20"/>
              </w:rPr>
              <w:t>$161,261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1A4"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1A5"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1A6" w14:textId="77777777" w:rsidR="00833634" w:rsidRDefault="00E15D51">
            <w:pPr>
              <w:jc w:val="right"/>
              <w:textAlignment w:val="bottom"/>
            </w:pPr>
            <w:r>
              <w:rPr>
                <w:rFonts w:ascii="Arial" w:eastAsia="宋体" w:hAnsi="Arial" w:cs="Arial"/>
                <w:color w:val="000000"/>
                <w:sz w:val="20"/>
                <w:szCs w:val="20"/>
              </w:rPr>
              <w:t>$133,625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1A7" w14:textId="77777777" w:rsidR="00833634" w:rsidRDefault="00833634">
            <w:pPr>
              <w:jc w:val="right"/>
              <w:rPr>
                <w:rFonts w:ascii="宋体"/>
              </w:rPr>
            </w:pPr>
          </w:p>
        </w:tc>
      </w:tr>
    </w:tbl>
    <w:p w14:paraId="4090F1A9" w14:textId="77777777" w:rsidR="00833634" w:rsidRDefault="00E15D51">
      <w:pPr>
        <w:spacing w:after="300"/>
        <w:jc w:val="both"/>
      </w:pPr>
      <w:r>
        <w:rPr>
          <w:rFonts w:ascii="Arial" w:eastAsia="宋体" w:hAnsi="Arial" w:cs="Arial"/>
          <w:color w:val="000000"/>
          <w:sz w:val="20"/>
          <w:szCs w:val="20"/>
        </w:rPr>
        <w:t>Assets included in Unallocated items, eliminations and other primarily consist of Cash and cash equivalents, Short-term and other investments, Deferred tax assets, capitalized interest and assets managed centrally on behalf of the four principal business s</w:t>
      </w:r>
      <w:r>
        <w:rPr>
          <w:rFonts w:ascii="Arial" w:eastAsia="宋体" w:hAnsi="Arial" w:cs="Arial"/>
          <w:color w:val="000000"/>
          <w:sz w:val="20"/>
          <w:szCs w:val="20"/>
        </w:rPr>
        <w:t>egments and intercompany eliminations. From December 31, 2019 to September 30, 2020, assets in BCA increased primarily due to higher inventory balances and assets in Unallocated items, eliminations, and other increased due to higher cash and short-term inv</w:t>
      </w:r>
      <w:r>
        <w:rPr>
          <w:rFonts w:ascii="Arial" w:eastAsia="宋体" w:hAnsi="Arial" w:cs="Arial"/>
          <w:color w:val="000000"/>
          <w:sz w:val="20"/>
          <w:szCs w:val="20"/>
        </w:rPr>
        <w:t xml:space="preserve">estment balances from debt issued during the first half of 2020. </w:t>
      </w:r>
    </w:p>
    <w:p w14:paraId="4090F1AA" w14:textId="77777777" w:rsidR="00833634" w:rsidRDefault="00E15D51">
      <w:pPr>
        <w:spacing w:after="180"/>
        <w:jc w:val="center"/>
      </w:pPr>
      <w:r>
        <w:rPr>
          <w:rFonts w:ascii="Arial" w:eastAsia="宋体" w:hAnsi="Arial" w:cs="Arial"/>
          <w:color w:val="000000"/>
          <w:sz w:val="18"/>
          <w:szCs w:val="18"/>
        </w:rPr>
        <w:t>35</w:t>
      </w:r>
    </w:p>
    <w:p w14:paraId="4090F1AB" w14:textId="77777777" w:rsidR="00833634" w:rsidRDefault="00E15D51">
      <w:r>
        <w:pict w14:anchorId="4090FE43">
          <v:rect id="_x0000_i1061" style="width:415.3pt;height:1.5pt" o:hralign="center" o:hrstd="t" o:hr="t" fillcolor="#a0a0a0" stroked="f"/>
        </w:pict>
      </w:r>
    </w:p>
    <w:p w14:paraId="4090F1AC" w14:textId="77777777" w:rsidR="00833634" w:rsidRDefault="00E15D51">
      <w:pPr>
        <w:spacing w:after="180"/>
        <w:jc w:val="both"/>
      </w:pPr>
      <w:hyperlink r:id="rId138" w:anchor="i8d805bfb1e1c4815a1dcd5b6d1e0b117_10" w:history="1">
        <w:r>
          <w:rPr>
            <w:rStyle w:val="a5"/>
            <w:rFonts w:ascii="Arial" w:eastAsia="宋体" w:hAnsi="Arial" w:cs="Arial"/>
            <w:sz w:val="18"/>
            <w:szCs w:val="18"/>
          </w:rPr>
          <w:t>Table of Contents</w:t>
        </w:r>
      </w:hyperlink>
    </w:p>
    <w:p w14:paraId="4090F1AD" w14:textId="77777777" w:rsidR="00833634" w:rsidRDefault="00E15D51">
      <w:pPr>
        <w:spacing w:before="300" w:after="180"/>
        <w:jc w:val="center"/>
      </w:pPr>
      <w:r>
        <w:rPr>
          <w:rFonts w:ascii="Arial" w:eastAsia="宋体" w:hAnsi="Arial" w:cs="Arial"/>
          <w:b/>
          <w:bCs/>
          <w:color w:val="000000"/>
          <w:sz w:val="20"/>
          <w:szCs w:val="20"/>
        </w:rPr>
        <w:t>REPORT OF INDEP</w:t>
      </w:r>
      <w:r>
        <w:rPr>
          <w:rFonts w:ascii="Arial" w:eastAsia="宋体" w:hAnsi="Arial" w:cs="Arial"/>
          <w:b/>
          <w:bCs/>
          <w:color w:val="000000"/>
          <w:sz w:val="20"/>
          <w:szCs w:val="20"/>
        </w:rPr>
        <w:t>ENDENT REGISTERED PUBLIC ACCOUNTING FIRM</w:t>
      </w:r>
    </w:p>
    <w:p w14:paraId="4090F1AE" w14:textId="77777777" w:rsidR="00833634" w:rsidRDefault="00E15D51">
      <w:pPr>
        <w:jc w:val="both"/>
      </w:pPr>
      <w:r>
        <w:rPr>
          <w:rFonts w:ascii="Arial" w:eastAsia="宋体" w:hAnsi="Arial" w:cs="Arial"/>
          <w:color w:val="000000"/>
          <w:sz w:val="20"/>
          <w:szCs w:val="20"/>
        </w:rPr>
        <w:t>To the Board of Directors and Shareholders of</w:t>
      </w:r>
    </w:p>
    <w:p w14:paraId="4090F1AF" w14:textId="77777777" w:rsidR="00833634" w:rsidRDefault="00E15D51">
      <w:pPr>
        <w:jc w:val="both"/>
      </w:pPr>
      <w:r>
        <w:rPr>
          <w:rFonts w:ascii="Arial" w:eastAsia="宋体" w:hAnsi="Arial" w:cs="Arial"/>
          <w:color w:val="000000"/>
          <w:sz w:val="20"/>
          <w:szCs w:val="20"/>
        </w:rPr>
        <w:t>The Boeing Company</w:t>
      </w:r>
    </w:p>
    <w:p w14:paraId="4090F1B0" w14:textId="77777777" w:rsidR="00833634" w:rsidRDefault="00E15D51">
      <w:pPr>
        <w:spacing w:after="180"/>
        <w:jc w:val="both"/>
      </w:pPr>
      <w:r>
        <w:rPr>
          <w:rFonts w:ascii="Arial" w:eastAsia="宋体" w:hAnsi="Arial" w:cs="Arial"/>
          <w:color w:val="000000"/>
          <w:sz w:val="20"/>
          <w:szCs w:val="20"/>
        </w:rPr>
        <w:t>Chicago, Illinois</w:t>
      </w:r>
    </w:p>
    <w:p w14:paraId="4090F1B1" w14:textId="77777777" w:rsidR="00833634" w:rsidRDefault="00E15D51">
      <w:pPr>
        <w:spacing w:after="240"/>
      </w:pPr>
      <w:r>
        <w:rPr>
          <w:rFonts w:ascii="Arial" w:eastAsia="宋体" w:hAnsi="Arial" w:cs="Arial"/>
          <w:b/>
          <w:bCs/>
          <w:color w:val="000000"/>
          <w:sz w:val="20"/>
          <w:szCs w:val="20"/>
        </w:rPr>
        <w:t>Results of Review of Interim Financial Information</w:t>
      </w:r>
    </w:p>
    <w:p w14:paraId="4090F1B2" w14:textId="77777777" w:rsidR="00833634" w:rsidRDefault="00E15D51">
      <w:pPr>
        <w:spacing w:after="240"/>
        <w:jc w:val="both"/>
      </w:pPr>
      <w:r>
        <w:rPr>
          <w:rFonts w:ascii="Arial" w:eastAsia="宋体" w:hAnsi="Arial" w:cs="Arial"/>
          <w:color w:val="000000"/>
          <w:sz w:val="20"/>
          <w:szCs w:val="20"/>
        </w:rPr>
        <w:t>We have reviewed the accompanying condensed consolidated statement of financial p</w:t>
      </w:r>
      <w:r>
        <w:rPr>
          <w:rFonts w:ascii="Arial" w:eastAsia="宋体" w:hAnsi="Arial" w:cs="Arial"/>
          <w:color w:val="000000"/>
          <w:sz w:val="20"/>
          <w:szCs w:val="20"/>
        </w:rPr>
        <w:t>osition of The Boeing Company and subsidiaries (the “Company”) as of September 30, 2020, the related condensed consolidated statements of operations, comprehensive income, and equity for the three-month and nine-month periods ended September 30, 2020 and 2</w:t>
      </w:r>
      <w:r>
        <w:rPr>
          <w:rFonts w:ascii="Arial" w:eastAsia="宋体" w:hAnsi="Arial" w:cs="Arial"/>
          <w:color w:val="000000"/>
          <w:sz w:val="20"/>
          <w:szCs w:val="20"/>
        </w:rPr>
        <w:t>019, and of cash flows for the nine-month periods ended September 30, 2020 and 2019, and the related notes (collectively referred to as the "condensed consolidated interim financial information"). Based on our reviews, we are not aware of any material modi</w:t>
      </w:r>
      <w:r>
        <w:rPr>
          <w:rFonts w:ascii="Arial" w:eastAsia="宋体" w:hAnsi="Arial" w:cs="Arial"/>
          <w:color w:val="000000"/>
          <w:sz w:val="20"/>
          <w:szCs w:val="20"/>
        </w:rPr>
        <w:t>fications that should be made to the accompanying condensed consolidated interim financial information for it to be in conformity with accounting principles generally accepted in the United States of America.</w:t>
      </w:r>
    </w:p>
    <w:p w14:paraId="4090F1B3" w14:textId="77777777" w:rsidR="00833634" w:rsidRDefault="00E15D51">
      <w:pPr>
        <w:spacing w:after="240"/>
        <w:jc w:val="both"/>
      </w:pPr>
      <w:r>
        <w:rPr>
          <w:rFonts w:ascii="Arial" w:eastAsia="宋体" w:hAnsi="Arial" w:cs="Arial"/>
          <w:color w:val="000000"/>
          <w:sz w:val="20"/>
          <w:szCs w:val="20"/>
        </w:rPr>
        <w:t xml:space="preserve">We have previously audited, in accordance with </w:t>
      </w:r>
      <w:r>
        <w:rPr>
          <w:rFonts w:ascii="Arial" w:eastAsia="宋体" w:hAnsi="Arial" w:cs="Arial"/>
          <w:color w:val="000000"/>
          <w:sz w:val="20"/>
          <w:szCs w:val="20"/>
        </w:rPr>
        <w:t>the standards of the Public Company Accounting Oversight Board (United States) (PCAOB), the consolidated statement of financial position of the Company as of December 31, 2019, and the related consolidated statements of operations, comprehensive income, eq</w:t>
      </w:r>
      <w:r>
        <w:rPr>
          <w:rFonts w:ascii="Arial" w:eastAsia="宋体" w:hAnsi="Arial" w:cs="Arial"/>
          <w:color w:val="000000"/>
          <w:sz w:val="20"/>
          <w:szCs w:val="20"/>
        </w:rPr>
        <w:t>uity, and cash flows for the year then ended (not presented herein); and in our report dated January 31, 2020, we expressed an unqualified opinion on those consolidated financial statements. In our opinion, the information set forth in the accompanying con</w:t>
      </w:r>
      <w:r>
        <w:rPr>
          <w:rFonts w:ascii="Arial" w:eastAsia="宋体" w:hAnsi="Arial" w:cs="Arial"/>
          <w:color w:val="000000"/>
          <w:sz w:val="20"/>
          <w:szCs w:val="20"/>
        </w:rPr>
        <w:t>densed consolidated statement of financial position as of December 31, 2019, is fairly stated, in all material respects, in relation to the consolidated statement of financial position from which it has been derived.</w:t>
      </w:r>
    </w:p>
    <w:p w14:paraId="4090F1B4" w14:textId="77777777" w:rsidR="00833634" w:rsidRDefault="00E15D51">
      <w:pPr>
        <w:spacing w:after="240"/>
        <w:jc w:val="both"/>
      </w:pPr>
      <w:r>
        <w:rPr>
          <w:rFonts w:ascii="Arial" w:eastAsia="宋体" w:hAnsi="Arial" w:cs="Arial"/>
          <w:b/>
          <w:bCs/>
          <w:color w:val="000000"/>
          <w:sz w:val="20"/>
          <w:szCs w:val="20"/>
        </w:rPr>
        <w:t>Basis for Review Results</w:t>
      </w:r>
    </w:p>
    <w:p w14:paraId="4090F1B5" w14:textId="77777777" w:rsidR="00833634" w:rsidRDefault="00E15D51">
      <w:pPr>
        <w:spacing w:after="240"/>
        <w:jc w:val="both"/>
      </w:pPr>
      <w:r>
        <w:rPr>
          <w:rFonts w:ascii="Arial" w:eastAsia="宋体" w:hAnsi="Arial" w:cs="Arial"/>
          <w:color w:val="000000"/>
          <w:sz w:val="20"/>
          <w:szCs w:val="20"/>
        </w:rPr>
        <w:t>This condensed</w:t>
      </w:r>
      <w:r>
        <w:rPr>
          <w:rFonts w:ascii="Arial" w:eastAsia="宋体" w:hAnsi="Arial" w:cs="Arial"/>
          <w:color w:val="000000"/>
          <w:sz w:val="20"/>
          <w:szCs w:val="20"/>
        </w:rPr>
        <w:t xml:space="preserve"> consolidated interim financial information is the responsibility of the Company's management. We are a public accounting firm registered with the PCAOB and are required to be independent with respect to the Company in accordance with the U.S. federal secu</w:t>
      </w:r>
      <w:r>
        <w:rPr>
          <w:rFonts w:ascii="Arial" w:eastAsia="宋体" w:hAnsi="Arial" w:cs="Arial"/>
          <w:color w:val="000000"/>
          <w:sz w:val="20"/>
          <w:szCs w:val="20"/>
        </w:rPr>
        <w:t>rities laws and the applicable rules and regulations of the Securities and Exchange Commission and the PCAOB.</w:t>
      </w:r>
    </w:p>
    <w:p w14:paraId="4090F1B6" w14:textId="77777777" w:rsidR="00833634" w:rsidRDefault="00E15D51">
      <w:pPr>
        <w:spacing w:after="240"/>
        <w:jc w:val="both"/>
      </w:pPr>
      <w:r>
        <w:rPr>
          <w:rFonts w:ascii="Arial" w:eastAsia="宋体" w:hAnsi="Arial" w:cs="Arial"/>
          <w:color w:val="000000"/>
          <w:sz w:val="20"/>
          <w:szCs w:val="20"/>
        </w:rPr>
        <w:t>We conducted our reviews in accordance with standards of the PCAOB. A review of interim financial information consists principally of applying ana</w:t>
      </w:r>
      <w:r>
        <w:rPr>
          <w:rFonts w:ascii="Arial" w:eastAsia="宋体" w:hAnsi="Arial" w:cs="Arial"/>
          <w:color w:val="000000"/>
          <w:sz w:val="20"/>
          <w:szCs w:val="20"/>
        </w:rPr>
        <w:t>lytical procedures and making inquiries of persons responsible for financial and accounting matters. It is substantially less in scope than an audit conducted in accordance with the standards of the PCAOB, the objective of which is the expression of an opi</w:t>
      </w:r>
      <w:r>
        <w:rPr>
          <w:rFonts w:ascii="Arial" w:eastAsia="宋体" w:hAnsi="Arial" w:cs="Arial"/>
          <w:color w:val="000000"/>
          <w:sz w:val="20"/>
          <w:szCs w:val="20"/>
        </w:rPr>
        <w:t>nion regarding the financial statements taken as a whole. Accordingly, we do not express such an opinion.</w:t>
      </w:r>
    </w:p>
    <w:p w14:paraId="4090F1B7" w14:textId="77777777" w:rsidR="00833634" w:rsidRDefault="00833634">
      <w:pPr>
        <w:spacing w:after="180"/>
        <w:jc w:val="both"/>
      </w:pPr>
    </w:p>
    <w:p w14:paraId="4090F1B8" w14:textId="77777777" w:rsidR="00833634" w:rsidRDefault="00833634">
      <w:pPr>
        <w:spacing w:after="180"/>
        <w:jc w:val="both"/>
      </w:pPr>
    </w:p>
    <w:p w14:paraId="4090F1B9" w14:textId="77777777" w:rsidR="00833634" w:rsidRDefault="00E15D51">
      <w:pPr>
        <w:spacing w:after="180"/>
      </w:pPr>
      <w:r>
        <w:rPr>
          <w:rFonts w:ascii="Arial" w:eastAsia="宋体" w:hAnsi="Arial" w:cs="Arial"/>
          <w:color w:val="000000"/>
          <w:sz w:val="20"/>
          <w:szCs w:val="20"/>
        </w:rPr>
        <w:t xml:space="preserve">/s/ Deloitte &amp; Touche LLP </w:t>
      </w:r>
    </w:p>
    <w:p w14:paraId="4090F1BA" w14:textId="77777777" w:rsidR="00833634" w:rsidRDefault="00833634">
      <w:pPr>
        <w:spacing w:after="180"/>
        <w:jc w:val="both"/>
      </w:pPr>
    </w:p>
    <w:p w14:paraId="4090F1BB" w14:textId="77777777" w:rsidR="00833634" w:rsidRDefault="00E15D51">
      <w:pPr>
        <w:spacing w:before="180"/>
        <w:jc w:val="both"/>
      </w:pPr>
      <w:r>
        <w:rPr>
          <w:rFonts w:ascii="Arial" w:eastAsia="宋体" w:hAnsi="Arial" w:cs="Arial"/>
          <w:color w:val="000000"/>
          <w:sz w:val="20"/>
          <w:szCs w:val="20"/>
        </w:rPr>
        <w:t>Chicago, Illinois</w:t>
      </w:r>
    </w:p>
    <w:p w14:paraId="4090F1BC" w14:textId="77777777" w:rsidR="00833634" w:rsidRDefault="00E15D51">
      <w:pPr>
        <w:spacing w:before="180"/>
        <w:jc w:val="both"/>
      </w:pPr>
      <w:r>
        <w:rPr>
          <w:rFonts w:ascii="Arial" w:eastAsia="宋体" w:hAnsi="Arial" w:cs="Arial"/>
          <w:color w:val="000000"/>
          <w:sz w:val="20"/>
          <w:szCs w:val="20"/>
        </w:rPr>
        <w:t xml:space="preserve">October 28, 2020 </w:t>
      </w:r>
    </w:p>
    <w:p w14:paraId="4090F1BD" w14:textId="77777777" w:rsidR="00833634" w:rsidRDefault="00E15D51">
      <w:pPr>
        <w:spacing w:after="180"/>
        <w:jc w:val="center"/>
      </w:pPr>
      <w:r>
        <w:rPr>
          <w:rFonts w:ascii="Arial" w:eastAsia="宋体" w:hAnsi="Arial" w:cs="Arial"/>
          <w:color w:val="000000"/>
          <w:sz w:val="18"/>
          <w:szCs w:val="18"/>
        </w:rPr>
        <w:t>36</w:t>
      </w:r>
    </w:p>
    <w:p w14:paraId="4090F1BE" w14:textId="77777777" w:rsidR="00833634" w:rsidRDefault="00E15D51">
      <w:r>
        <w:pict w14:anchorId="4090FE44">
          <v:rect id="_x0000_i1062" style="width:415.3pt;height:1.5pt" o:hralign="center" o:hrstd="t" o:hr="t" fillcolor="#a0a0a0" stroked="f"/>
        </w:pict>
      </w:r>
    </w:p>
    <w:p w14:paraId="4090F1BF" w14:textId="77777777" w:rsidR="00833634" w:rsidRDefault="00E15D51">
      <w:pPr>
        <w:spacing w:after="180"/>
        <w:jc w:val="both"/>
      </w:pPr>
      <w:hyperlink r:id="rId139" w:anchor="i8d805bfb1e1c4815a1dcd5b6d1e0b117_10" w:history="1">
        <w:r>
          <w:rPr>
            <w:rStyle w:val="a5"/>
            <w:rFonts w:ascii="Arial" w:eastAsia="宋体" w:hAnsi="Arial" w:cs="Arial"/>
            <w:sz w:val="18"/>
            <w:szCs w:val="18"/>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8"/>
        <w:gridCol w:w="521"/>
        <w:gridCol w:w="39"/>
        <w:gridCol w:w="69"/>
        <w:gridCol w:w="7603"/>
        <w:gridCol w:w="36"/>
      </w:tblGrid>
      <w:tr w:rsidR="00833634" w14:paraId="4090F1C6" w14:textId="77777777">
        <w:tc>
          <w:tcPr>
            <w:tcW w:w="50" w:type="pct"/>
            <w:shd w:val="clear" w:color="auto" w:fill="auto"/>
          </w:tcPr>
          <w:p w14:paraId="4090F1C0" w14:textId="77777777" w:rsidR="00833634" w:rsidRDefault="00833634">
            <w:pPr>
              <w:rPr>
                <w:rFonts w:ascii="宋体"/>
              </w:rPr>
            </w:pPr>
          </w:p>
        </w:tc>
        <w:tc>
          <w:tcPr>
            <w:tcW w:w="321" w:type="pct"/>
            <w:shd w:val="clear" w:color="auto" w:fill="auto"/>
          </w:tcPr>
          <w:p w14:paraId="4090F1C1" w14:textId="77777777" w:rsidR="00833634" w:rsidRDefault="00833634">
            <w:pPr>
              <w:rPr>
                <w:rFonts w:ascii="宋体"/>
              </w:rPr>
            </w:pPr>
          </w:p>
        </w:tc>
        <w:tc>
          <w:tcPr>
            <w:tcW w:w="5" w:type="pct"/>
            <w:shd w:val="clear" w:color="auto" w:fill="auto"/>
          </w:tcPr>
          <w:p w14:paraId="4090F1C2" w14:textId="77777777" w:rsidR="00833634" w:rsidRDefault="00833634">
            <w:pPr>
              <w:rPr>
                <w:rFonts w:ascii="宋体"/>
              </w:rPr>
            </w:pPr>
          </w:p>
        </w:tc>
        <w:tc>
          <w:tcPr>
            <w:tcW w:w="50" w:type="pct"/>
            <w:shd w:val="clear" w:color="auto" w:fill="auto"/>
          </w:tcPr>
          <w:p w14:paraId="4090F1C3" w14:textId="77777777" w:rsidR="00833634" w:rsidRDefault="00833634">
            <w:pPr>
              <w:rPr>
                <w:rFonts w:ascii="宋体"/>
              </w:rPr>
            </w:pPr>
          </w:p>
        </w:tc>
        <w:tc>
          <w:tcPr>
            <w:tcW w:w="4568" w:type="pct"/>
            <w:shd w:val="clear" w:color="auto" w:fill="auto"/>
          </w:tcPr>
          <w:p w14:paraId="4090F1C4" w14:textId="77777777" w:rsidR="00833634" w:rsidRDefault="00833634">
            <w:pPr>
              <w:rPr>
                <w:rFonts w:ascii="宋体"/>
              </w:rPr>
            </w:pPr>
          </w:p>
        </w:tc>
        <w:tc>
          <w:tcPr>
            <w:tcW w:w="5" w:type="pct"/>
            <w:shd w:val="clear" w:color="auto" w:fill="auto"/>
          </w:tcPr>
          <w:p w14:paraId="4090F1C5" w14:textId="77777777" w:rsidR="00833634" w:rsidRDefault="00833634">
            <w:pPr>
              <w:rPr>
                <w:rFonts w:ascii="宋体"/>
              </w:rPr>
            </w:pPr>
          </w:p>
        </w:tc>
      </w:tr>
      <w:tr w:rsidR="00833634" w14:paraId="4090F1C8" w14:textId="77777777">
        <w:tc>
          <w:tcPr>
            <w:tcW w:w="0" w:type="auto"/>
            <w:gridSpan w:val="6"/>
            <w:tcBorders>
              <w:bottom w:val="single" w:sz="8" w:space="0" w:color="000000"/>
            </w:tcBorders>
            <w:shd w:val="clear" w:color="auto" w:fill="auto"/>
            <w:tcMar>
              <w:top w:w="40" w:type="dxa"/>
              <w:left w:w="20" w:type="dxa"/>
              <w:bottom w:w="40" w:type="dxa"/>
              <w:right w:w="20" w:type="dxa"/>
            </w:tcMar>
          </w:tcPr>
          <w:p w14:paraId="4090F1C7" w14:textId="77777777" w:rsidR="00833634" w:rsidRDefault="00E15D51">
            <w:pPr>
              <w:jc w:val="center"/>
              <w:textAlignment w:val="top"/>
            </w:pPr>
            <w:r>
              <w:rPr>
                <w:rFonts w:ascii="Arial" w:eastAsia="宋体" w:hAnsi="Arial" w:cs="Arial"/>
                <w:b/>
                <w:bCs/>
                <w:color w:val="000000"/>
                <w:sz w:val="20"/>
                <w:szCs w:val="20"/>
              </w:rPr>
              <w:t>FORWARD-LOOKING STATEMENTS</w:t>
            </w:r>
          </w:p>
        </w:tc>
      </w:tr>
      <w:tr w:rsidR="00833634" w14:paraId="4090F1CA" w14:textId="77777777">
        <w:tc>
          <w:tcPr>
            <w:tcW w:w="0" w:type="auto"/>
            <w:gridSpan w:val="6"/>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4090F1C9" w14:textId="77777777" w:rsidR="00833634" w:rsidRDefault="00E15D51">
            <w:pPr>
              <w:jc w:val="both"/>
              <w:textAlignment w:val="bottom"/>
            </w:pPr>
            <w:r>
              <w:rPr>
                <w:rFonts w:ascii="Arial" w:eastAsia="宋体" w:hAnsi="Arial" w:cs="Arial"/>
                <w:color w:val="000000"/>
                <w:sz w:val="20"/>
                <w:szCs w:val="20"/>
              </w:rPr>
              <w:t xml:space="preserve">This report contains </w:t>
            </w:r>
            <w:r>
              <w:rPr>
                <w:rFonts w:ascii="Arial" w:eastAsia="宋体" w:hAnsi="Arial" w:cs="Arial"/>
                <w:color w:val="000000"/>
                <w:sz w:val="20"/>
                <w:szCs w:val="20"/>
              </w:rPr>
              <w:t>“forward-looking statements” within the meaning of the Private Securities Litigation Reform Act of 1995. Words such as “may,” “should,” “expects,” “intends,” “projects,” “plans,” “believes,” “estimates,” “targets,” “anticipates” and similar expressions gen</w:t>
            </w:r>
            <w:r>
              <w:rPr>
                <w:rFonts w:ascii="Arial" w:eastAsia="宋体" w:hAnsi="Arial" w:cs="Arial"/>
                <w:color w:val="000000"/>
                <w:sz w:val="20"/>
                <w:szCs w:val="20"/>
              </w:rPr>
              <w:t xml:space="preserve">erally identify these forward-looking statements. Examples of forward-looking statements include statements relating to our future financial condition and operating results, as well as any other statement that does not directly relate to any historical or </w:t>
            </w:r>
            <w:r>
              <w:rPr>
                <w:rFonts w:ascii="Arial" w:eastAsia="宋体" w:hAnsi="Arial" w:cs="Arial"/>
                <w:color w:val="000000"/>
                <w:sz w:val="20"/>
                <w:szCs w:val="20"/>
              </w:rPr>
              <w:t>current fact.</w:t>
            </w:r>
          </w:p>
        </w:tc>
      </w:tr>
      <w:tr w:rsidR="00833634" w14:paraId="4090F1CD"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1CB"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1CC" w14:textId="77777777" w:rsidR="00833634" w:rsidRDefault="00833634">
            <w:pPr>
              <w:rPr>
                <w:rFonts w:ascii="宋体"/>
              </w:rPr>
            </w:pPr>
          </w:p>
        </w:tc>
      </w:tr>
      <w:tr w:rsidR="00833634" w14:paraId="4090F1CF" w14:textId="77777777">
        <w:tc>
          <w:tcPr>
            <w:tcW w:w="0" w:type="auto"/>
            <w:gridSpan w:val="6"/>
            <w:tcBorders>
              <w:left w:val="single" w:sz="8" w:space="0" w:color="000000"/>
              <w:right w:val="single" w:sz="8" w:space="0" w:color="000000"/>
            </w:tcBorders>
            <w:shd w:val="clear" w:color="auto" w:fill="auto"/>
            <w:tcMar>
              <w:top w:w="40" w:type="dxa"/>
              <w:left w:w="20" w:type="dxa"/>
              <w:bottom w:w="40" w:type="dxa"/>
              <w:right w:w="20" w:type="dxa"/>
            </w:tcMar>
            <w:vAlign w:val="bottom"/>
          </w:tcPr>
          <w:p w14:paraId="4090F1CE" w14:textId="77777777" w:rsidR="00833634" w:rsidRDefault="00E15D51">
            <w:pPr>
              <w:spacing w:before="180"/>
              <w:jc w:val="both"/>
              <w:textAlignment w:val="bottom"/>
            </w:pPr>
            <w:r>
              <w:rPr>
                <w:rFonts w:ascii="Arial" w:eastAsia="宋体" w:hAnsi="Arial" w:cs="Arial"/>
                <w:color w:val="000000"/>
                <w:sz w:val="20"/>
                <w:szCs w:val="20"/>
              </w:rPr>
              <w:t xml:space="preserve">Forward-looking statements are based on expectations and assumptions that we believe to be reasonable when made, but that may not prove to be accurate. These statements are not guarantees and are subject to risks, </w:t>
            </w:r>
            <w:r>
              <w:rPr>
                <w:rFonts w:ascii="Arial" w:eastAsia="宋体" w:hAnsi="Arial" w:cs="Arial"/>
                <w:color w:val="000000"/>
                <w:sz w:val="20"/>
                <w:szCs w:val="20"/>
              </w:rPr>
              <w:t>uncertainties and changes in circumstances that are difficult to predict. Many factors could cause actual results to differ materially and adversely from these forward-looking statements. Among these factors are risks related to:</w:t>
            </w:r>
          </w:p>
        </w:tc>
      </w:tr>
      <w:tr w:rsidR="00833634" w14:paraId="4090F1D2"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1D0"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1D1" w14:textId="77777777" w:rsidR="00833634" w:rsidRDefault="00833634">
            <w:pPr>
              <w:rPr>
                <w:rFonts w:ascii="宋体"/>
              </w:rPr>
            </w:pPr>
          </w:p>
        </w:tc>
      </w:tr>
      <w:tr w:rsidR="00833634" w14:paraId="4090F1D5"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1D3" w14:textId="77777777" w:rsidR="00833634" w:rsidRDefault="00E15D51">
            <w:pPr>
              <w:textAlignment w:val="top"/>
            </w:pPr>
            <w:r>
              <w:rPr>
                <w:rFonts w:ascii="Arial" w:eastAsia="宋体" w:hAnsi="Arial" w:cs="Arial"/>
                <w:color w:val="000000"/>
                <w:sz w:val="20"/>
                <w:szCs w:val="20"/>
              </w:rPr>
              <w:t>(1)</w:t>
            </w:r>
          </w:p>
        </w:tc>
        <w:tc>
          <w:tcPr>
            <w:tcW w:w="0" w:type="auto"/>
            <w:gridSpan w:val="3"/>
            <w:tcBorders>
              <w:right w:val="single" w:sz="8" w:space="0" w:color="000000"/>
            </w:tcBorders>
            <w:shd w:val="clear" w:color="auto" w:fill="auto"/>
            <w:tcMar>
              <w:top w:w="40" w:type="dxa"/>
              <w:left w:w="20" w:type="dxa"/>
              <w:bottom w:w="40" w:type="dxa"/>
              <w:right w:w="20" w:type="dxa"/>
            </w:tcMar>
          </w:tcPr>
          <w:p w14:paraId="4090F1D4" w14:textId="77777777" w:rsidR="00833634" w:rsidRDefault="00E15D51">
            <w:pPr>
              <w:textAlignment w:val="top"/>
            </w:pPr>
            <w:r>
              <w:rPr>
                <w:rFonts w:ascii="Arial" w:eastAsia="宋体" w:hAnsi="Arial" w:cs="Arial"/>
                <w:color w:val="000000"/>
                <w:sz w:val="20"/>
                <w:szCs w:val="20"/>
              </w:rPr>
              <w:t>the COVID-19 pande</w:t>
            </w:r>
            <w:r>
              <w:rPr>
                <w:rFonts w:ascii="Arial" w:eastAsia="宋体" w:hAnsi="Arial" w:cs="Arial"/>
                <w:color w:val="000000"/>
                <w:sz w:val="20"/>
                <w:szCs w:val="20"/>
              </w:rPr>
              <w:t>mic and related government actions, including with respect to our operations and access to suppliers, our liquidity, the health of our customers and suppliers, and future demand for our products and services;</w:t>
            </w:r>
          </w:p>
        </w:tc>
      </w:tr>
      <w:tr w:rsidR="00833634" w14:paraId="4090F1D8"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1D6"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1D7" w14:textId="77777777" w:rsidR="00833634" w:rsidRDefault="00833634">
            <w:pPr>
              <w:rPr>
                <w:rFonts w:ascii="宋体"/>
              </w:rPr>
            </w:pPr>
          </w:p>
        </w:tc>
      </w:tr>
      <w:tr w:rsidR="00833634" w14:paraId="4090F1DB"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1D9" w14:textId="77777777" w:rsidR="00833634" w:rsidRDefault="00E15D51">
            <w:pPr>
              <w:textAlignment w:val="top"/>
            </w:pPr>
            <w:r>
              <w:rPr>
                <w:rFonts w:ascii="Arial" w:eastAsia="宋体" w:hAnsi="Arial" w:cs="Arial"/>
                <w:color w:val="000000"/>
                <w:sz w:val="20"/>
                <w:szCs w:val="20"/>
              </w:rPr>
              <w:t>(2)</w:t>
            </w:r>
          </w:p>
        </w:tc>
        <w:tc>
          <w:tcPr>
            <w:tcW w:w="0" w:type="auto"/>
            <w:gridSpan w:val="3"/>
            <w:tcBorders>
              <w:right w:val="single" w:sz="8" w:space="0" w:color="000000"/>
            </w:tcBorders>
            <w:shd w:val="clear" w:color="auto" w:fill="auto"/>
            <w:tcMar>
              <w:top w:w="40" w:type="dxa"/>
              <w:left w:w="20" w:type="dxa"/>
              <w:bottom w:w="40" w:type="dxa"/>
              <w:right w:w="20" w:type="dxa"/>
            </w:tcMar>
          </w:tcPr>
          <w:p w14:paraId="4090F1DA" w14:textId="77777777" w:rsidR="00833634" w:rsidRDefault="00E15D51">
            <w:pPr>
              <w:textAlignment w:val="top"/>
            </w:pPr>
            <w:r>
              <w:rPr>
                <w:rFonts w:ascii="Arial" w:eastAsia="宋体" w:hAnsi="Arial" w:cs="Arial"/>
                <w:color w:val="000000"/>
                <w:sz w:val="20"/>
                <w:szCs w:val="20"/>
              </w:rPr>
              <w:t xml:space="preserve">the 737 MAX, including the timing </w:t>
            </w:r>
            <w:r>
              <w:rPr>
                <w:rFonts w:ascii="Arial" w:eastAsia="宋体" w:hAnsi="Arial" w:cs="Arial"/>
                <w:color w:val="000000"/>
                <w:sz w:val="20"/>
                <w:szCs w:val="20"/>
              </w:rPr>
              <w:t>and conditions of 737 MAX regulatory approvals, lower than planned production rates and/or delivery rates, and increased considerations to customers and suppliers;</w:t>
            </w:r>
          </w:p>
        </w:tc>
      </w:tr>
      <w:tr w:rsidR="00833634" w14:paraId="4090F1DE"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1DC"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1DD" w14:textId="77777777" w:rsidR="00833634" w:rsidRDefault="00833634">
            <w:pPr>
              <w:rPr>
                <w:rFonts w:ascii="宋体"/>
              </w:rPr>
            </w:pPr>
          </w:p>
        </w:tc>
      </w:tr>
      <w:tr w:rsidR="00833634" w14:paraId="4090F1E1"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1DF" w14:textId="77777777" w:rsidR="00833634" w:rsidRDefault="00E15D51">
            <w:pPr>
              <w:textAlignment w:val="top"/>
            </w:pPr>
            <w:r>
              <w:rPr>
                <w:rFonts w:ascii="Arial" w:eastAsia="宋体" w:hAnsi="Arial" w:cs="Arial"/>
                <w:color w:val="000000"/>
                <w:sz w:val="20"/>
                <w:szCs w:val="20"/>
              </w:rPr>
              <w:t>(3)</w:t>
            </w:r>
          </w:p>
        </w:tc>
        <w:tc>
          <w:tcPr>
            <w:tcW w:w="0" w:type="auto"/>
            <w:gridSpan w:val="3"/>
            <w:tcBorders>
              <w:right w:val="single" w:sz="8" w:space="0" w:color="000000"/>
            </w:tcBorders>
            <w:shd w:val="clear" w:color="auto" w:fill="auto"/>
            <w:tcMar>
              <w:top w:w="40" w:type="dxa"/>
              <w:left w:w="20" w:type="dxa"/>
              <w:bottom w:w="40" w:type="dxa"/>
              <w:right w:w="20" w:type="dxa"/>
            </w:tcMar>
          </w:tcPr>
          <w:p w14:paraId="4090F1E0" w14:textId="77777777" w:rsidR="00833634" w:rsidRDefault="00E15D51">
            <w:pPr>
              <w:textAlignment w:val="top"/>
            </w:pPr>
            <w:r>
              <w:rPr>
                <w:rFonts w:ascii="Arial" w:eastAsia="宋体" w:hAnsi="Arial" w:cs="Arial"/>
                <w:color w:val="000000"/>
                <w:sz w:val="20"/>
                <w:szCs w:val="20"/>
              </w:rPr>
              <w:t xml:space="preserve">general conditions in the economy and our industry, including those due to </w:t>
            </w:r>
            <w:r>
              <w:rPr>
                <w:rFonts w:ascii="Arial" w:eastAsia="宋体" w:hAnsi="Arial" w:cs="Arial"/>
                <w:color w:val="000000"/>
                <w:sz w:val="20"/>
                <w:szCs w:val="20"/>
              </w:rPr>
              <w:t>regulatory changes;</w:t>
            </w:r>
          </w:p>
        </w:tc>
      </w:tr>
      <w:tr w:rsidR="00833634" w14:paraId="4090F1E4"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1E2"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1E3" w14:textId="77777777" w:rsidR="00833634" w:rsidRDefault="00833634">
            <w:pPr>
              <w:rPr>
                <w:rFonts w:ascii="宋体"/>
              </w:rPr>
            </w:pPr>
          </w:p>
        </w:tc>
      </w:tr>
      <w:tr w:rsidR="00833634" w14:paraId="4090F1E7"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1E5" w14:textId="77777777" w:rsidR="00833634" w:rsidRDefault="00E15D51">
            <w:pPr>
              <w:textAlignment w:val="top"/>
            </w:pPr>
            <w:r>
              <w:rPr>
                <w:rFonts w:ascii="Arial" w:eastAsia="宋体" w:hAnsi="Arial" w:cs="Arial"/>
                <w:color w:val="000000"/>
                <w:sz w:val="20"/>
                <w:szCs w:val="20"/>
              </w:rPr>
              <w:t>(4)</w:t>
            </w:r>
          </w:p>
        </w:tc>
        <w:tc>
          <w:tcPr>
            <w:tcW w:w="0" w:type="auto"/>
            <w:gridSpan w:val="3"/>
            <w:tcBorders>
              <w:right w:val="single" w:sz="8" w:space="0" w:color="000000"/>
            </w:tcBorders>
            <w:shd w:val="clear" w:color="auto" w:fill="auto"/>
            <w:tcMar>
              <w:top w:w="40" w:type="dxa"/>
              <w:left w:w="20" w:type="dxa"/>
              <w:bottom w:w="40" w:type="dxa"/>
              <w:right w:w="20" w:type="dxa"/>
            </w:tcMar>
          </w:tcPr>
          <w:p w14:paraId="4090F1E6" w14:textId="77777777" w:rsidR="00833634" w:rsidRDefault="00E15D51">
            <w:pPr>
              <w:textAlignment w:val="top"/>
            </w:pPr>
            <w:r>
              <w:rPr>
                <w:rFonts w:ascii="Arial" w:eastAsia="宋体" w:hAnsi="Arial" w:cs="Arial"/>
                <w:color w:val="000000"/>
                <w:sz w:val="20"/>
                <w:szCs w:val="20"/>
              </w:rPr>
              <w:t>our reliance on our commercial airline customers;</w:t>
            </w:r>
          </w:p>
        </w:tc>
      </w:tr>
      <w:tr w:rsidR="00833634" w14:paraId="4090F1EA"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1E8"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1E9" w14:textId="77777777" w:rsidR="00833634" w:rsidRDefault="00833634">
            <w:pPr>
              <w:rPr>
                <w:rFonts w:ascii="宋体"/>
              </w:rPr>
            </w:pPr>
          </w:p>
        </w:tc>
      </w:tr>
      <w:tr w:rsidR="00833634" w14:paraId="4090F1ED"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1EB" w14:textId="77777777" w:rsidR="00833634" w:rsidRDefault="00E15D51">
            <w:pPr>
              <w:textAlignment w:val="top"/>
            </w:pPr>
            <w:r>
              <w:rPr>
                <w:rFonts w:ascii="Arial" w:eastAsia="宋体" w:hAnsi="Arial" w:cs="Arial"/>
                <w:color w:val="000000"/>
                <w:sz w:val="20"/>
                <w:szCs w:val="20"/>
              </w:rPr>
              <w:t>(5)</w:t>
            </w:r>
          </w:p>
        </w:tc>
        <w:tc>
          <w:tcPr>
            <w:tcW w:w="0" w:type="auto"/>
            <w:gridSpan w:val="3"/>
            <w:tcBorders>
              <w:right w:val="single" w:sz="8" w:space="0" w:color="000000"/>
            </w:tcBorders>
            <w:shd w:val="clear" w:color="auto" w:fill="auto"/>
            <w:tcMar>
              <w:top w:w="40" w:type="dxa"/>
              <w:left w:w="20" w:type="dxa"/>
              <w:bottom w:w="40" w:type="dxa"/>
              <w:right w:w="20" w:type="dxa"/>
            </w:tcMar>
          </w:tcPr>
          <w:p w14:paraId="4090F1EC" w14:textId="77777777" w:rsidR="00833634" w:rsidRDefault="00E15D51">
            <w:pPr>
              <w:jc w:val="both"/>
              <w:textAlignment w:val="top"/>
            </w:pPr>
            <w:r>
              <w:rPr>
                <w:rFonts w:ascii="Arial" w:eastAsia="宋体" w:hAnsi="Arial" w:cs="Arial"/>
                <w:color w:val="000000"/>
                <w:sz w:val="20"/>
                <w:szCs w:val="20"/>
              </w:rPr>
              <w:t xml:space="preserve">the overall health of our aircraft production system, planned commercial aircraft production rate changes, our commercial development and derivative aircraft </w:t>
            </w:r>
            <w:r>
              <w:rPr>
                <w:rFonts w:ascii="Arial" w:eastAsia="宋体" w:hAnsi="Arial" w:cs="Arial"/>
                <w:color w:val="000000"/>
                <w:sz w:val="20"/>
                <w:szCs w:val="20"/>
              </w:rPr>
              <w:t>programs, and our aircraft being subject to stringent performance and reliability standards;</w:t>
            </w:r>
          </w:p>
        </w:tc>
      </w:tr>
      <w:tr w:rsidR="00833634" w14:paraId="4090F1F0"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1EE"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1EF" w14:textId="77777777" w:rsidR="00833634" w:rsidRDefault="00833634">
            <w:pPr>
              <w:rPr>
                <w:rFonts w:ascii="宋体"/>
              </w:rPr>
            </w:pPr>
          </w:p>
        </w:tc>
      </w:tr>
      <w:tr w:rsidR="00833634" w14:paraId="4090F1F3"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1F1" w14:textId="77777777" w:rsidR="00833634" w:rsidRDefault="00E15D51">
            <w:pPr>
              <w:textAlignment w:val="top"/>
            </w:pPr>
            <w:r>
              <w:rPr>
                <w:rFonts w:ascii="Arial" w:eastAsia="宋体" w:hAnsi="Arial" w:cs="Arial"/>
                <w:color w:val="000000"/>
                <w:sz w:val="20"/>
                <w:szCs w:val="20"/>
              </w:rPr>
              <w:t>(6)</w:t>
            </w:r>
          </w:p>
        </w:tc>
        <w:tc>
          <w:tcPr>
            <w:tcW w:w="0" w:type="auto"/>
            <w:gridSpan w:val="3"/>
            <w:tcBorders>
              <w:right w:val="single" w:sz="8" w:space="0" w:color="000000"/>
            </w:tcBorders>
            <w:shd w:val="clear" w:color="auto" w:fill="auto"/>
            <w:tcMar>
              <w:top w:w="40" w:type="dxa"/>
              <w:left w:w="20" w:type="dxa"/>
              <w:bottom w:w="40" w:type="dxa"/>
              <w:right w:w="20" w:type="dxa"/>
            </w:tcMar>
          </w:tcPr>
          <w:p w14:paraId="4090F1F2" w14:textId="77777777" w:rsidR="00833634" w:rsidRDefault="00E15D51">
            <w:pPr>
              <w:textAlignment w:val="top"/>
            </w:pPr>
            <w:r>
              <w:rPr>
                <w:rFonts w:ascii="Arial" w:eastAsia="宋体" w:hAnsi="Arial" w:cs="Arial"/>
                <w:color w:val="000000"/>
                <w:sz w:val="20"/>
                <w:szCs w:val="20"/>
              </w:rPr>
              <w:t>changing budget and appropriation levels and acquisition priorities of the U.S. government;</w:t>
            </w:r>
          </w:p>
        </w:tc>
      </w:tr>
      <w:tr w:rsidR="00833634" w14:paraId="4090F1F6"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1F4"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1F5" w14:textId="77777777" w:rsidR="00833634" w:rsidRDefault="00833634">
            <w:pPr>
              <w:rPr>
                <w:rFonts w:ascii="宋体"/>
              </w:rPr>
            </w:pPr>
          </w:p>
        </w:tc>
      </w:tr>
      <w:tr w:rsidR="00833634" w14:paraId="4090F1F9"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1F7" w14:textId="77777777" w:rsidR="00833634" w:rsidRDefault="00E15D51">
            <w:pPr>
              <w:textAlignment w:val="top"/>
            </w:pPr>
            <w:r>
              <w:rPr>
                <w:rFonts w:ascii="Arial" w:eastAsia="宋体" w:hAnsi="Arial" w:cs="Arial"/>
                <w:color w:val="000000"/>
                <w:sz w:val="20"/>
                <w:szCs w:val="20"/>
              </w:rPr>
              <w:t>(7)</w:t>
            </w:r>
          </w:p>
        </w:tc>
        <w:tc>
          <w:tcPr>
            <w:tcW w:w="0" w:type="auto"/>
            <w:gridSpan w:val="3"/>
            <w:tcBorders>
              <w:right w:val="single" w:sz="8" w:space="0" w:color="000000"/>
            </w:tcBorders>
            <w:shd w:val="clear" w:color="auto" w:fill="auto"/>
            <w:tcMar>
              <w:top w:w="40" w:type="dxa"/>
              <w:left w:w="20" w:type="dxa"/>
              <w:bottom w:w="40" w:type="dxa"/>
              <w:right w:w="20" w:type="dxa"/>
            </w:tcMar>
          </w:tcPr>
          <w:p w14:paraId="4090F1F8" w14:textId="77777777" w:rsidR="00833634" w:rsidRDefault="00E15D51">
            <w:pPr>
              <w:textAlignment w:val="top"/>
            </w:pPr>
            <w:r>
              <w:rPr>
                <w:rFonts w:ascii="Arial" w:eastAsia="宋体" w:hAnsi="Arial" w:cs="Arial"/>
                <w:color w:val="000000"/>
                <w:sz w:val="20"/>
                <w:szCs w:val="20"/>
              </w:rPr>
              <w:t>our dependence on U.S. government contracts;</w:t>
            </w:r>
          </w:p>
        </w:tc>
      </w:tr>
      <w:tr w:rsidR="00833634" w14:paraId="4090F1FC"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1FA"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1FB" w14:textId="77777777" w:rsidR="00833634" w:rsidRDefault="00833634">
            <w:pPr>
              <w:rPr>
                <w:rFonts w:ascii="宋体"/>
              </w:rPr>
            </w:pPr>
          </w:p>
        </w:tc>
      </w:tr>
      <w:tr w:rsidR="00833634" w14:paraId="4090F1FF"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1FD" w14:textId="77777777" w:rsidR="00833634" w:rsidRDefault="00E15D51">
            <w:pPr>
              <w:textAlignment w:val="top"/>
            </w:pPr>
            <w:r>
              <w:rPr>
                <w:rFonts w:ascii="Arial" w:eastAsia="宋体" w:hAnsi="Arial" w:cs="Arial"/>
                <w:color w:val="000000"/>
                <w:sz w:val="20"/>
                <w:szCs w:val="20"/>
              </w:rPr>
              <w:t>(8)</w:t>
            </w:r>
          </w:p>
        </w:tc>
        <w:tc>
          <w:tcPr>
            <w:tcW w:w="0" w:type="auto"/>
            <w:gridSpan w:val="3"/>
            <w:tcBorders>
              <w:right w:val="single" w:sz="8" w:space="0" w:color="000000"/>
            </w:tcBorders>
            <w:shd w:val="clear" w:color="auto" w:fill="auto"/>
            <w:tcMar>
              <w:top w:w="40" w:type="dxa"/>
              <w:left w:w="20" w:type="dxa"/>
              <w:bottom w:w="40" w:type="dxa"/>
              <w:right w:w="20" w:type="dxa"/>
            </w:tcMar>
          </w:tcPr>
          <w:p w14:paraId="4090F1FE" w14:textId="77777777" w:rsidR="00833634" w:rsidRDefault="00E15D51">
            <w:pPr>
              <w:textAlignment w:val="top"/>
            </w:pPr>
            <w:r>
              <w:rPr>
                <w:rFonts w:ascii="Arial" w:eastAsia="宋体" w:hAnsi="Arial" w:cs="Arial"/>
                <w:color w:val="000000"/>
                <w:sz w:val="20"/>
                <w:szCs w:val="20"/>
              </w:rPr>
              <w:t>our reliance on fixed-price contracts;</w:t>
            </w:r>
          </w:p>
        </w:tc>
      </w:tr>
      <w:tr w:rsidR="00833634" w14:paraId="4090F202"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00"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01" w14:textId="77777777" w:rsidR="00833634" w:rsidRDefault="00833634">
            <w:pPr>
              <w:rPr>
                <w:rFonts w:ascii="宋体"/>
              </w:rPr>
            </w:pPr>
          </w:p>
        </w:tc>
      </w:tr>
      <w:tr w:rsidR="00833634" w14:paraId="4090F205"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03" w14:textId="77777777" w:rsidR="00833634" w:rsidRDefault="00E15D51">
            <w:pPr>
              <w:textAlignment w:val="top"/>
            </w:pPr>
            <w:r>
              <w:rPr>
                <w:rFonts w:ascii="Arial" w:eastAsia="宋体" w:hAnsi="Arial" w:cs="Arial"/>
                <w:color w:val="000000"/>
                <w:sz w:val="20"/>
                <w:szCs w:val="20"/>
              </w:rPr>
              <w:t>(9)</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04" w14:textId="77777777" w:rsidR="00833634" w:rsidRDefault="00E15D51">
            <w:pPr>
              <w:textAlignment w:val="top"/>
            </w:pPr>
            <w:r>
              <w:rPr>
                <w:rFonts w:ascii="Arial" w:eastAsia="宋体" w:hAnsi="Arial" w:cs="Arial"/>
                <w:color w:val="000000"/>
                <w:sz w:val="20"/>
                <w:szCs w:val="20"/>
              </w:rPr>
              <w:t>our reliance on cost-type contracts;</w:t>
            </w:r>
          </w:p>
        </w:tc>
      </w:tr>
      <w:tr w:rsidR="00833634" w14:paraId="4090F208"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06"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07" w14:textId="77777777" w:rsidR="00833634" w:rsidRDefault="00833634">
            <w:pPr>
              <w:rPr>
                <w:rFonts w:ascii="宋体"/>
              </w:rPr>
            </w:pPr>
          </w:p>
        </w:tc>
      </w:tr>
      <w:tr w:rsidR="00833634" w14:paraId="4090F20B"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09" w14:textId="77777777" w:rsidR="00833634" w:rsidRDefault="00E15D51">
            <w:pPr>
              <w:textAlignment w:val="top"/>
            </w:pPr>
            <w:r>
              <w:rPr>
                <w:rFonts w:ascii="Arial" w:eastAsia="宋体" w:hAnsi="Arial" w:cs="Arial"/>
                <w:color w:val="000000"/>
                <w:sz w:val="20"/>
                <w:szCs w:val="20"/>
              </w:rPr>
              <w:t>(10)</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0A" w14:textId="77777777" w:rsidR="00833634" w:rsidRDefault="00E15D51">
            <w:pPr>
              <w:textAlignment w:val="top"/>
            </w:pPr>
            <w:r>
              <w:rPr>
                <w:rFonts w:ascii="Arial" w:eastAsia="宋体" w:hAnsi="Arial" w:cs="Arial"/>
                <w:color w:val="000000"/>
                <w:sz w:val="20"/>
                <w:szCs w:val="20"/>
              </w:rPr>
              <w:t>uncertainties concerning contracts that include in-orbit incentive payments;</w:t>
            </w:r>
          </w:p>
        </w:tc>
      </w:tr>
      <w:tr w:rsidR="00833634" w14:paraId="4090F20E"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0C"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0D" w14:textId="77777777" w:rsidR="00833634" w:rsidRDefault="00833634">
            <w:pPr>
              <w:rPr>
                <w:rFonts w:ascii="宋体"/>
              </w:rPr>
            </w:pPr>
          </w:p>
        </w:tc>
      </w:tr>
      <w:tr w:rsidR="00833634" w14:paraId="4090F211"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0F" w14:textId="77777777" w:rsidR="00833634" w:rsidRDefault="00E15D51">
            <w:pPr>
              <w:textAlignment w:val="top"/>
            </w:pPr>
            <w:r>
              <w:rPr>
                <w:rFonts w:ascii="Arial" w:eastAsia="宋体" w:hAnsi="Arial" w:cs="Arial"/>
                <w:color w:val="000000"/>
                <w:sz w:val="20"/>
                <w:szCs w:val="20"/>
              </w:rPr>
              <w:t>(11)</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10" w14:textId="77777777" w:rsidR="00833634" w:rsidRDefault="00E15D51">
            <w:pPr>
              <w:textAlignment w:val="top"/>
            </w:pPr>
            <w:r>
              <w:rPr>
                <w:rFonts w:ascii="Arial" w:eastAsia="宋体" w:hAnsi="Arial" w:cs="Arial"/>
                <w:color w:val="000000"/>
                <w:sz w:val="20"/>
                <w:szCs w:val="20"/>
              </w:rPr>
              <w:t xml:space="preserve">our dependence on our subcontractors and suppliers as well as the </w:t>
            </w:r>
            <w:r>
              <w:rPr>
                <w:rFonts w:ascii="Arial" w:eastAsia="宋体" w:hAnsi="Arial" w:cs="Arial"/>
                <w:color w:val="000000"/>
                <w:sz w:val="20"/>
                <w:szCs w:val="20"/>
              </w:rPr>
              <w:t>availability of raw materials;</w:t>
            </w:r>
          </w:p>
        </w:tc>
      </w:tr>
      <w:tr w:rsidR="00833634" w14:paraId="4090F214"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12"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13" w14:textId="77777777" w:rsidR="00833634" w:rsidRDefault="00833634">
            <w:pPr>
              <w:rPr>
                <w:rFonts w:ascii="宋体"/>
              </w:rPr>
            </w:pPr>
          </w:p>
        </w:tc>
      </w:tr>
      <w:tr w:rsidR="00833634" w14:paraId="4090F217"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15" w14:textId="77777777" w:rsidR="00833634" w:rsidRDefault="00E15D51">
            <w:pPr>
              <w:textAlignment w:val="top"/>
            </w:pPr>
            <w:r>
              <w:rPr>
                <w:rFonts w:ascii="Arial" w:eastAsia="宋体" w:hAnsi="Arial" w:cs="Arial"/>
                <w:color w:val="000000"/>
                <w:sz w:val="20"/>
                <w:szCs w:val="20"/>
              </w:rPr>
              <w:t>(12)</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16" w14:textId="77777777" w:rsidR="00833634" w:rsidRDefault="00E15D51">
            <w:pPr>
              <w:textAlignment w:val="top"/>
            </w:pPr>
            <w:r>
              <w:rPr>
                <w:rFonts w:ascii="Arial" w:eastAsia="宋体" w:hAnsi="Arial" w:cs="Arial"/>
                <w:color w:val="000000"/>
                <w:sz w:val="20"/>
                <w:szCs w:val="20"/>
              </w:rPr>
              <w:t>changes in accounting estimates;</w:t>
            </w:r>
          </w:p>
        </w:tc>
      </w:tr>
      <w:tr w:rsidR="00833634" w14:paraId="4090F21A"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18"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19" w14:textId="77777777" w:rsidR="00833634" w:rsidRDefault="00833634">
            <w:pPr>
              <w:rPr>
                <w:rFonts w:ascii="宋体"/>
              </w:rPr>
            </w:pPr>
          </w:p>
        </w:tc>
      </w:tr>
      <w:tr w:rsidR="00833634" w14:paraId="4090F21D"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1B" w14:textId="77777777" w:rsidR="00833634" w:rsidRDefault="00E15D51">
            <w:pPr>
              <w:textAlignment w:val="top"/>
            </w:pPr>
            <w:r>
              <w:rPr>
                <w:rFonts w:ascii="Arial" w:eastAsia="宋体" w:hAnsi="Arial" w:cs="Arial"/>
                <w:color w:val="000000"/>
                <w:sz w:val="20"/>
                <w:szCs w:val="20"/>
              </w:rPr>
              <w:t>(13)</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1C" w14:textId="77777777" w:rsidR="00833634" w:rsidRDefault="00E15D51">
            <w:pPr>
              <w:textAlignment w:val="top"/>
            </w:pPr>
            <w:r>
              <w:rPr>
                <w:rFonts w:ascii="Arial" w:eastAsia="宋体" w:hAnsi="Arial" w:cs="Arial"/>
                <w:color w:val="000000"/>
                <w:sz w:val="20"/>
                <w:szCs w:val="20"/>
              </w:rPr>
              <w:t>changes in the competitive landscape in our markets;</w:t>
            </w:r>
          </w:p>
        </w:tc>
      </w:tr>
      <w:tr w:rsidR="00833634" w14:paraId="4090F220"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1E"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1F" w14:textId="77777777" w:rsidR="00833634" w:rsidRDefault="00833634">
            <w:pPr>
              <w:rPr>
                <w:rFonts w:ascii="宋体"/>
              </w:rPr>
            </w:pPr>
          </w:p>
        </w:tc>
      </w:tr>
      <w:tr w:rsidR="00833634" w14:paraId="4090F223"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21" w14:textId="77777777" w:rsidR="00833634" w:rsidRDefault="00E15D51">
            <w:pPr>
              <w:textAlignment w:val="top"/>
            </w:pPr>
            <w:r>
              <w:rPr>
                <w:rFonts w:ascii="Arial" w:eastAsia="宋体" w:hAnsi="Arial" w:cs="Arial"/>
                <w:color w:val="000000"/>
                <w:sz w:val="20"/>
                <w:szCs w:val="20"/>
              </w:rPr>
              <w:t>(14)</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22" w14:textId="77777777" w:rsidR="00833634" w:rsidRDefault="00E15D51">
            <w:pPr>
              <w:textAlignment w:val="top"/>
            </w:pPr>
            <w:r>
              <w:rPr>
                <w:rFonts w:ascii="Arial" w:eastAsia="宋体" w:hAnsi="Arial" w:cs="Arial"/>
                <w:color w:val="000000"/>
                <w:sz w:val="20"/>
                <w:szCs w:val="20"/>
              </w:rPr>
              <w:t>our non-U.S. operations, including sales to non-U.S. customers;</w:t>
            </w:r>
          </w:p>
        </w:tc>
      </w:tr>
      <w:tr w:rsidR="00833634" w14:paraId="4090F226"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24"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25" w14:textId="77777777" w:rsidR="00833634" w:rsidRDefault="00833634">
            <w:pPr>
              <w:rPr>
                <w:rFonts w:ascii="宋体"/>
              </w:rPr>
            </w:pPr>
          </w:p>
        </w:tc>
      </w:tr>
      <w:tr w:rsidR="00833634" w14:paraId="4090F229"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27" w14:textId="77777777" w:rsidR="00833634" w:rsidRDefault="00E15D51">
            <w:pPr>
              <w:textAlignment w:val="top"/>
            </w:pPr>
            <w:r>
              <w:rPr>
                <w:rFonts w:ascii="Arial" w:eastAsia="宋体" w:hAnsi="Arial" w:cs="Arial"/>
                <w:color w:val="000000"/>
                <w:sz w:val="20"/>
                <w:szCs w:val="20"/>
              </w:rPr>
              <w:t>(15)</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28" w14:textId="77777777" w:rsidR="00833634" w:rsidRDefault="00E15D51">
            <w:pPr>
              <w:textAlignment w:val="top"/>
            </w:pPr>
            <w:r>
              <w:rPr>
                <w:rFonts w:ascii="Arial" w:eastAsia="宋体" w:hAnsi="Arial" w:cs="Arial"/>
                <w:color w:val="000000"/>
                <w:sz w:val="20"/>
                <w:szCs w:val="20"/>
              </w:rPr>
              <w:t xml:space="preserve">threats to the security of our or </w:t>
            </w:r>
            <w:r>
              <w:rPr>
                <w:rFonts w:ascii="Arial" w:eastAsia="宋体" w:hAnsi="Arial" w:cs="Arial"/>
                <w:color w:val="000000"/>
                <w:sz w:val="20"/>
                <w:szCs w:val="20"/>
              </w:rPr>
              <w:t>our customers' information;</w:t>
            </w:r>
          </w:p>
        </w:tc>
      </w:tr>
      <w:tr w:rsidR="00833634" w14:paraId="4090F22C"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2A"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2B" w14:textId="77777777" w:rsidR="00833634" w:rsidRDefault="00833634">
            <w:pPr>
              <w:rPr>
                <w:rFonts w:ascii="宋体"/>
              </w:rPr>
            </w:pPr>
          </w:p>
        </w:tc>
      </w:tr>
      <w:tr w:rsidR="00833634" w14:paraId="4090F22F"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2D" w14:textId="77777777" w:rsidR="00833634" w:rsidRDefault="00E15D51">
            <w:pPr>
              <w:textAlignment w:val="top"/>
            </w:pPr>
            <w:r>
              <w:rPr>
                <w:rFonts w:ascii="Arial" w:eastAsia="宋体" w:hAnsi="Arial" w:cs="Arial"/>
                <w:color w:val="000000"/>
                <w:sz w:val="20"/>
                <w:szCs w:val="20"/>
              </w:rPr>
              <w:t>(16)</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2E" w14:textId="77777777" w:rsidR="00833634" w:rsidRDefault="00E15D51">
            <w:pPr>
              <w:textAlignment w:val="top"/>
            </w:pPr>
            <w:r>
              <w:rPr>
                <w:rFonts w:ascii="Arial" w:eastAsia="宋体" w:hAnsi="Arial" w:cs="Arial"/>
                <w:color w:val="000000"/>
                <w:sz w:val="20"/>
                <w:szCs w:val="20"/>
              </w:rPr>
              <w:t>potential adverse developments in new or pending litigation and/or government investigations;</w:t>
            </w:r>
          </w:p>
        </w:tc>
      </w:tr>
      <w:tr w:rsidR="00833634" w14:paraId="4090F232"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30"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31" w14:textId="77777777" w:rsidR="00833634" w:rsidRDefault="00833634">
            <w:pPr>
              <w:rPr>
                <w:rFonts w:ascii="宋体"/>
              </w:rPr>
            </w:pPr>
          </w:p>
        </w:tc>
      </w:tr>
      <w:tr w:rsidR="00833634" w14:paraId="4090F235"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33" w14:textId="77777777" w:rsidR="00833634" w:rsidRDefault="00E15D51">
            <w:pPr>
              <w:textAlignment w:val="top"/>
            </w:pPr>
            <w:r>
              <w:rPr>
                <w:rFonts w:ascii="Arial" w:eastAsia="宋体" w:hAnsi="Arial" w:cs="Arial"/>
                <w:color w:val="000000"/>
                <w:sz w:val="20"/>
                <w:szCs w:val="20"/>
              </w:rPr>
              <w:t>(17)</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34" w14:textId="77777777" w:rsidR="00833634" w:rsidRDefault="00E15D51">
            <w:pPr>
              <w:textAlignment w:val="top"/>
            </w:pPr>
            <w:r>
              <w:rPr>
                <w:rFonts w:ascii="Arial" w:eastAsia="宋体" w:hAnsi="Arial" w:cs="Arial"/>
                <w:color w:val="000000"/>
                <w:sz w:val="20"/>
                <w:szCs w:val="20"/>
              </w:rPr>
              <w:t>customer and aircraft concentration in our customer financing portfolio;</w:t>
            </w:r>
          </w:p>
        </w:tc>
      </w:tr>
      <w:tr w:rsidR="00833634" w14:paraId="4090F238" w14:textId="77777777">
        <w:trPr>
          <w:trHeight w:val="180"/>
        </w:trPr>
        <w:tc>
          <w:tcPr>
            <w:tcW w:w="0" w:type="auto"/>
            <w:gridSpan w:val="3"/>
            <w:tcBorders>
              <w:left w:val="single" w:sz="8" w:space="0" w:color="000000"/>
              <w:bottom w:val="single" w:sz="8" w:space="0" w:color="000000"/>
            </w:tcBorders>
            <w:shd w:val="clear" w:color="auto" w:fill="auto"/>
            <w:tcMar>
              <w:top w:w="0" w:type="dxa"/>
              <w:left w:w="20" w:type="dxa"/>
              <w:bottom w:w="0" w:type="dxa"/>
              <w:right w:w="20" w:type="dxa"/>
            </w:tcMar>
          </w:tcPr>
          <w:p w14:paraId="4090F236" w14:textId="77777777" w:rsidR="00833634" w:rsidRDefault="00833634">
            <w:pPr>
              <w:rPr>
                <w:rFonts w:ascii="宋体"/>
              </w:rPr>
            </w:pPr>
          </w:p>
        </w:tc>
        <w:tc>
          <w:tcPr>
            <w:tcW w:w="0" w:type="auto"/>
            <w:gridSpan w:val="3"/>
            <w:tcBorders>
              <w:bottom w:val="single" w:sz="8" w:space="0" w:color="000000"/>
              <w:right w:val="single" w:sz="8" w:space="0" w:color="000000"/>
            </w:tcBorders>
            <w:shd w:val="clear" w:color="auto" w:fill="auto"/>
            <w:tcMar>
              <w:top w:w="0" w:type="dxa"/>
              <w:left w:w="20" w:type="dxa"/>
              <w:bottom w:w="0" w:type="dxa"/>
              <w:right w:w="20" w:type="dxa"/>
            </w:tcMar>
          </w:tcPr>
          <w:p w14:paraId="4090F237" w14:textId="77777777" w:rsidR="00833634" w:rsidRDefault="00833634">
            <w:pPr>
              <w:rPr>
                <w:rFonts w:ascii="宋体"/>
              </w:rPr>
            </w:pPr>
          </w:p>
        </w:tc>
      </w:tr>
    </w:tbl>
    <w:p w14:paraId="4090F239" w14:textId="77777777" w:rsidR="00833634" w:rsidRDefault="00E15D51">
      <w:pPr>
        <w:spacing w:after="180"/>
        <w:jc w:val="center"/>
      </w:pPr>
      <w:r>
        <w:rPr>
          <w:rFonts w:ascii="Arial" w:eastAsia="宋体" w:hAnsi="Arial" w:cs="Arial"/>
          <w:color w:val="000000"/>
          <w:sz w:val="18"/>
          <w:szCs w:val="18"/>
        </w:rPr>
        <w:t>37</w:t>
      </w:r>
    </w:p>
    <w:p w14:paraId="4090F23A" w14:textId="77777777" w:rsidR="00833634" w:rsidRDefault="00E15D51">
      <w:r>
        <w:pict w14:anchorId="4090FE45">
          <v:rect id="_x0000_i1063" style="width:415.3pt;height:1.5pt" o:hralign="center" o:hrstd="t" o:hr="t" fillcolor="#a0a0a0" stroked="f"/>
        </w:pict>
      </w:r>
    </w:p>
    <w:p w14:paraId="4090F23B" w14:textId="77777777" w:rsidR="00833634" w:rsidRDefault="00E15D51">
      <w:pPr>
        <w:spacing w:after="180"/>
        <w:jc w:val="both"/>
      </w:pPr>
      <w:hyperlink r:id="rId140" w:anchor="i8d805bfb1e1c4815a1dcd5b6d1e0b117_10" w:history="1">
        <w:r>
          <w:rPr>
            <w:rStyle w:val="a5"/>
            <w:rFonts w:ascii="Arial" w:eastAsia="宋体" w:hAnsi="Arial" w:cs="Arial"/>
            <w:sz w:val="18"/>
            <w:szCs w:val="18"/>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69"/>
        <w:gridCol w:w="521"/>
        <w:gridCol w:w="36"/>
        <w:gridCol w:w="69"/>
        <w:gridCol w:w="7604"/>
        <w:gridCol w:w="37"/>
      </w:tblGrid>
      <w:tr w:rsidR="00833634" w14:paraId="4090F242" w14:textId="77777777">
        <w:tc>
          <w:tcPr>
            <w:tcW w:w="50" w:type="pct"/>
            <w:shd w:val="clear" w:color="auto" w:fill="auto"/>
          </w:tcPr>
          <w:p w14:paraId="4090F23C" w14:textId="77777777" w:rsidR="00833634" w:rsidRDefault="00833634">
            <w:pPr>
              <w:rPr>
                <w:rFonts w:ascii="宋体"/>
              </w:rPr>
            </w:pPr>
          </w:p>
        </w:tc>
        <w:tc>
          <w:tcPr>
            <w:tcW w:w="321" w:type="pct"/>
            <w:shd w:val="clear" w:color="auto" w:fill="auto"/>
          </w:tcPr>
          <w:p w14:paraId="4090F23D" w14:textId="77777777" w:rsidR="00833634" w:rsidRDefault="00833634">
            <w:pPr>
              <w:rPr>
                <w:rFonts w:ascii="宋体"/>
              </w:rPr>
            </w:pPr>
          </w:p>
        </w:tc>
        <w:tc>
          <w:tcPr>
            <w:tcW w:w="5" w:type="pct"/>
            <w:shd w:val="clear" w:color="auto" w:fill="auto"/>
          </w:tcPr>
          <w:p w14:paraId="4090F23E" w14:textId="77777777" w:rsidR="00833634" w:rsidRDefault="00833634">
            <w:pPr>
              <w:rPr>
                <w:rFonts w:ascii="宋体"/>
              </w:rPr>
            </w:pPr>
          </w:p>
        </w:tc>
        <w:tc>
          <w:tcPr>
            <w:tcW w:w="50" w:type="pct"/>
            <w:shd w:val="clear" w:color="auto" w:fill="auto"/>
          </w:tcPr>
          <w:p w14:paraId="4090F23F" w14:textId="77777777" w:rsidR="00833634" w:rsidRDefault="00833634">
            <w:pPr>
              <w:rPr>
                <w:rFonts w:ascii="宋体"/>
              </w:rPr>
            </w:pPr>
          </w:p>
        </w:tc>
        <w:tc>
          <w:tcPr>
            <w:tcW w:w="4568" w:type="pct"/>
            <w:shd w:val="clear" w:color="auto" w:fill="auto"/>
          </w:tcPr>
          <w:p w14:paraId="4090F240" w14:textId="77777777" w:rsidR="00833634" w:rsidRDefault="00833634">
            <w:pPr>
              <w:rPr>
                <w:rFonts w:ascii="宋体"/>
              </w:rPr>
            </w:pPr>
          </w:p>
        </w:tc>
        <w:tc>
          <w:tcPr>
            <w:tcW w:w="5" w:type="pct"/>
            <w:shd w:val="clear" w:color="auto" w:fill="auto"/>
          </w:tcPr>
          <w:p w14:paraId="4090F241" w14:textId="77777777" w:rsidR="00833634" w:rsidRDefault="00833634">
            <w:pPr>
              <w:rPr>
                <w:rFonts w:ascii="宋体"/>
              </w:rPr>
            </w:pPr>
          </w:p>
        </w:tc>
      </w:tr>
      <w:tr w:rsidR="00833634" w14:paraId="4090F245"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4090F243" w14:textId="77777777" w:rsidR="00833634" w:rsidRDefault="00E15D51">
            <w:pPr>
              <w:textAlignment w:val="top"/>
            </w:pPr>
            <w:r>
              <w:rPr>
                <w:rFonts w:ascii="Arial" w:eastAsia="宋体" w:hAnsi="Arial" w:cs="Arial"/>
                <w:color w:val="000000"/>
                <w:sz w:val="20"/>
                <w:szCs w:val="20"/>
              </w:rPr>
              <w:t>(18)</w:t>
            </w:r>
          </w:p>
        </w:tc>
        <w:tc>
          <w:tcPr>
            <w:tcW w:w="0" w:type="auto"/>
            <w:gridSpan w:val="3"/>
            <w:tcBorders>
              <w:top w:val="single" w:sz="8" w:space="0" w:color="000000"/>
              <w:right w:val="single" w:sz="8" w:space="0" w:color="000000"/>
            </w:tcBorders>
            <w:shd w:val="clear" w:color="auto" w:fill="auto"/>
            <w:tcMar>
              <w:top w:w="40" w:type="dxa"/>
              <w:left w:w="20" w:type="dxa"/>
              <w:bottom w:w="40" w:type="dxa"/>
              <w:right w:w="20" w:type="dxa"/>
            </w:tcMar>
          </w:tcPr>
          <w:p w14:paraId="4090F244" w14:textId="77777777" w:rsidR="00833634" w:rsidRDefault="00E15D51">
            <w:pPr>
              <w:jc w:val="both"/>
              <w:textAlignment w:val="top"/>
            </w:pPr>
            <w:r>
              <w:rPr>
                <w:rFonts w:ascii="Arial" w:eastAsia="宋体" w:hAnsi="Arial" w:cs="Arial"/>
                <w:color w:val="000000"/>
                <w:sz w:val="20"/>
                <w:szCs w:val="20"/>
              </w:rPr>
              <w:t xml:space="preserve">changes in our ability to obtain debt financing on </w:t>
            </w:r>
            <w:r>
              <w:rPr>
                <w:rFonts w:ascii="Arial" w:eastAsia="宋体" w:hAnsi="Arial" w:cs="Arial"/>
                <w:color w:val="000000"/>
                <w:sz w:val="20"/>
                <w:szCs w:val="20"/>
              </w:rPr>
              <w:t>commercially reasonable terms and at competitive rates;</w:t>
            </w:r>
          </w:p>
        </w:tc>
      </w:tr>
      <w:tr w:rsidR="00833634" w14:paraId="4090F248"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46"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47" w14:textId="77777777" w:rsidR="00833634" w:rsidRDefault="00833634">
            <w:pPr>
              <w:rPr>
                <w:rFonts w:ascii="宋体"/>
              </w:rPr>
            </w:pPr>
          </w:p>
        </w:tc>
      </w:tr>
      <w:tr w:rsidR="00833634" w14:paraId="4090F24B"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49" w14:textId="77777777" w:rsidR="00833634" w:rsidRDefault="00E15D51">
            <w:pPr>
              <w:textAlignment w:val="top"/>
            </w:pPr>
            <w:r>
              <w:rPr>
                <w:rFonts w:ascii="Arial" w:eastAsia="宋体" w:hAnsi="Arial" w:cs="Arial"/>
                <w:color w:val="000000"/>
                <w:sz w:val="20"/>
                <w:szCs w:val="20"/>
              </w:rPr>
              <w:t>(19)</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4A" w14:textId="77777777" w:rsidR="00833634" w:rsidRDefault="00E15D51">
            <w:pPr>
              <w:textAlignment w:val="top"/>
            </w:pPr>
            <w:r>
              <w:rPr>
                <w:rFonts w:ascii="Arial" w:eastAsia="宋体" w:hAnsi="Arial" w:cs="Arial"/>
                <w:color w:val="000000"/>
                <w:sz w:val="20"/>
                <w:szCs w:val="20"/>
              </w:rPr>
              <w:t>realizing the anticipated benefits of mergers, acquisitions, joint ventures, strategic alliances or divestitures;</w:t>
            </w:r>
          </w:p>
        </w:tc>
      </w:tr>
      <w:tr w:rsidR="00833634" w14:paraId="4090F24E"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4C"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4D" w14:textId="77777777" w:rsidR="00833634" w:rsidRDefault="00833634">
            <w:pPr>
              <w:rPr>
                <w:rFonts w:ascii="宋体"/>
              </w:rPr>
            </w:pPr>
          </w:p>
        </w:tc>
      </w:tr>
      <w:tr w:rsidR="00833634" w14:paraId="4090F251"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4F" w14:textId="77777777" w:rsidR="00833634" w:rsidRDefault="00E15D51">
            <w:pPr>
              <w:textAlignment w:val="top"/>
            </w:pPr>
            <w:r>
              <w:rPr>
                <w:rFonts w:ascii="Arial" w:eastAsia="宋体" w:hAnsi="Arial" w:cs="Arial"/>
                <w:color w:val="000000"/>
                <w:sz w:val="20"/>
                <w:szCs w:val="20"/>
              </w:rPr>
              <w:t>(20)</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50" w14:textId="77777777" w:rsidR="00833634" w:rsidRDefault="00E15D51">
            <w:pPr>
              <w:textAlignment w:val="top"/>
            </w:pPr>
            <w:r>
              <w:rPr>
                <w:rFonts w:ascii="Arial" w:eastAsia="宋体" w:hAnsi="Arial" w:cs="Arial"/>
                <w:color w:val="000000"/>
                <w:sz w:val="20"/>
                <w:szCs w:val="20"/>
              </w:rPr>
              <w:t xml:space="preserve">the adequacy of our insurance coverage to cover </w:t>
            </w:r>
            <w:r>
              <w:rPr>
                <w:rFonts w:ascii="Arial" w:eastAsia="宋体" w:hAnsi="Arial" w:cs="Arial"/>
                <w:color w:val="000000"/>
                <w:sz w:val="20"/>
                <w:szCs w:val="20"/>
              </w:rPr>
              <w:t>significant risk exposures;</w:t>
            </w:r>
          </w:p>
        </w:tc>
      </w:tr>
      <w:tr w:rsidR="00833634" w14:paraId="4090F254"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52"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53" w14:textId="77777777" w:rsidR="00833634" w:rsidRDefault="00833634">
            <w:pPr>
              <w:rPr>
                <w:rFonts w:ascii="宋体"/>
              </w:rPr>
            </w:pPr>
          </w:p>
        </w:tc>
      </w:tr>
      <w:tr w:rsidR="00833634" w14:paraId="4090F257"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55" w14:textId="77777777" w:rsidR="00833634" w:rsidRDefault="00E15D51">
            <w:pPr>
              <w:textAlignment w:val="top"/>
            </w:pPr>
            <w:r>
              <w:rPr>
                <w:rFonts w:ascii="Arial" w:eastAsia="宋体" w:hAnsi="Arial" w:cs="Arial"/>
                <w:color w:val="000000"/>
                <w:sz w:val="20"/>
                <w:szCs w:val="20"/>
              </w:rPr>
              <w:t>(21)</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56" w14:textId="77777777" w:rsidR="00833634" w:rsidRDefault="00E15D51">
            <w:pPr>
              <w:jc w:val="both"/>
              <w:textAlignment w:val="top"/>
            </w:pPr>
            <w:r>
              <w:rPr>
                <w:rFonts w:ascii="Arial" w:eastAsia="宋体" w:hAnsi="Arial" w:cs="Arial"/>
                <w:color w:val="000000"/>
                <w:sz w:val="20"/>
                <w:szCs w:val="20"/>
              </w:rPr>
              <w:t>potential business disruptions, including those related to physical security threats, information technology or cyber attacks, epidemics, sanctions or natural disasters;</w:t>
            </w:r>
          </w:p>
        </w:tc>
      </w:tr>
      <w:tr w:rsidR="00833634" w14:paraId="4090F25A"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58"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59" w14:textId="77777777" w:rsidR="00833634" w:rsidRDefault="00833634">
            <w:pPr>
              <w:rPr>
                <w:rFonts w:ascii="宋体"/>
              </w:rPr>
            </w:pPr>
          </w:p>
        </w:tc>
      </w:tr>
      <w:tr w:rsidR="00833634" w14:paraId="4090F25D"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5B" w14:textId="77777777" w:rsidR="00833634" w:rsidRDefault="00E15D51">
            <w:pPr>
              <w:textAlignment w:val="top"/>
            </w:pPr>
            <w:r>
              <w:rPr>
                <w:rFonts w:ascii="Arial" w:eastAsia="宋体" w:hAnsi="Arial" w:cs="Arial"/>
                <w:color w:val="000000"/>
                <w:sz w:val="20"/>
                <w:szCs w:val="20"/>
              </w:rPr>
              <w:t>(22)</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5C" w14:textId="77777777" w:rsidR="00833634" w:rsidRDefault="00E15D51">
            <w:pPr>
              <w:jc w:val="both"/>
              <w:textAlignment w:val="top"/>
            </w:pPr>
            <w:r>
              <w:rPr>
                <w:rFonts w:ascii="Arial" w:eastAsia="宋体" w:hAnsi="Arial" w:cs="Arial"/>
                <w:color w:val="000000"/>
                <w:sz w:val="20"/>
                <w:szCs w:val="20"/>
              </w:rPr>
              <w:t xml:space="preserve">work stoppages or other labor </w:t>
            </w:r>
            <w:r>
              <w:rPr>
                <w:rFonts w:ascii="Arial" w:eastAsia="宋体" w:hAnsi="Arial" w:cs="Arial"/>
                <w:color w:val="000000"/>
                <w:sz w:val="20"/>
                <w:szCs w:val="20"/>
              </w:rPr>
              <w:t>disruptions;</w:t>
            </w:r>
          </w:p>
        </w:tc>
      </w:tr>
      <w:tr w:rsidR="00833634" w14:paraId="4090F260"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5E"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5F" w14:textId="77777777" w:rsidR="00833634" w:rsidRDefault="00833634">
            <w:pPr>
              <w:rPr>
                <w:rFonts w:ascii="宋体"/>
              </w:rPr>
            </w:pPr>
          </w:p>
        </w:tc>
      </w:tr>
      <w:tr w:rsidR="00833634" w14:paraId="4090F263"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61" w14:textId="77777777" w:rsidR="00833634" w:rsidRDefault="00E15D51">
            <w:pPr>
              <w:textAlignment w:val="top"/>
            </w:pPr>
            <w:r>
              <w:rPr>
                <w:rFonts w:ascii="Arial" w:eastAsia="宋体" w:hAnsi="Arial" w:cs="Arial"/>
                <w:color w:val="000000"/>
                <w:sz w:val="20"/>
                <w:szCs w:val="20"/>
              </w:rPr>
              <w:t>(23)</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62" w14:textId="77777777" w:rsidR="00833634" w:rsidRDefault="00E15D51">
            <w:pPr>
              <w:jc w:val="both"/>
              <w:textAlignment w:val="top"/>
            </w:pPr>
            <w:r>
              <w:rPr>
                <w:rFonts w:ascii="Arial" w:eastAsia="宋体" w:hAnsi="Arial" w:cs="Arial"/>
                <w:color w:val="000000"/>
                <w:sz w:val="20"/>
                <w:szCs w:val="20"/>
              </w:rPr>
              <w:t>substantial pension and other postretirement benefit obligations; and</w:t>
            </w:r>
          </w:p>
        </w:tc>
      </w:tr>
      <w:tr w:rsidR="00833634" w14:paraId="4090F266"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64"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65" w14:textId="77777777" w:rsidR="00833634" w:rsidRDefault="00833634">
            <w:pPr>
              <w:rPr>
                <w:rFonts w:ascii="宋体"/>
              </w:rPr>
            </w:pPr>
          </w:p>
        </w:tc>
      </w:tr>
      <w:tr w:rsidR="00833634" w14:paraId="4090F269" w14:textId="77777777">
        <w:tc>
          <w:tcPr>
            <w:tcW w:w="0" w:type="auto"/>
            <w:gridSpan w:val="3"/>
            <w:tcBorders>
              <w:left w:val="single" w:sz="8" w:space="0" w:color="000000"/>
            </w:tcBorders>
            <w:shd w:val="clear" w:color="auto" w:fill="auto"/>
            <w:tcMar>
              <w:top w:w="40" w:type="dxa"/>
              <w:left w:w="20" w:type="dxa"/>
              <w:bottom w:w="40" w:type="dxa"/>
              <w:right w:w="20" w:type="dxa"/>
            </w:tcMar>
          </w:tcPr>
          <w:p w14:paraId="4090F267" w14:textId="77777777" w:rsidR="00833634" w:rsidRDefault="00E15D51">
            <w:pPr>
              <w:textAlignment w:val="top"/>
            </w:pPr>
            <w:r>
              <w:rPr>
                <w:rFonts w:ascii="Arial" w:eastAsia="宋体" w:hAnsi="Arial" w:cs="Arial"/>
                <w:color w:val="000000"/>
                <w:sz w:val="20"/>
                <w:szCs w:val="20"/>
              </w:rPr>
              <w:t>(24)</w:t>
            </w:r>
          </w:p>
        </w:tc>
        <w:tc>
          <w:tcPr>
            <w:tcW w:w="0" w:type="auto"/>
            <w:gridSpan w:val="3"/>
            <w:tcBorders>
              <w:right w:val="single" w:sz="8" w:space="0" w:color="000000"/>
            </w:tcBorders>
            <w:shd w:val="clear" w:color="auto" w:fill="auto"/>
            <w:tcMar>
              <w:top w:w="40" w:type="dxa"/>
              <w:left w:w="20" w:type="dxa"/>
              <w:bottom w:w="40" w:type="dxa"/>
              <w:right w:w="20" w:type="dxa"/>
            </w:tcMar>
          </w:tcPr>
          <w:p w14:paraId="4090F268" w14:textId="77777777" w:rsidR="00833634" w:rsidRDefault="00E15D51">
            <w:pPr>
              <w:jc w:val="both"/>
              <w:textAlignment w:val="top"/>
            </w:pPr>
            <w:r>
              <w:rPr>
                <w:rFonts w:ascii="Arial" w:eastAsia="宋体" w:hAnsi="Arial" w:cs="Arial"/>
                <w:color w:val="000000"/>
                <w:sz w:val="20"/>
                <w:szCs w:val="20"/>
              </w:rPr>
              <w:t>potential environmental liabilities.</w:t>
            </w:r>
          </w:p>
        </w:tc>
      </w:tr>
      <w:tr w:rsidR="00833634" w14:paraId="4090F26C" w14:textId="77777777">
        <w:trPr>
          <w:trHeight w:val="180"/>
        </w:trPr>
        <w:tc>
          <w:tcPr>
            <w:tcW w:w="0" w:type="auto"/>
            <w:gridSpan w:val="3"/>
            <w:tcBorders>
              <w:left w:val="single" w:sz="8" w:space="0" w:color="000000"/>
            </w:tcBorders>
            <w:shd w:val="clear" w:color="auto" w:fill="auto"/>
            <w:tcMar>
              <w:top w:w="0" w:type="dxa"/>
              <w:left w:w="20" w:type="dxa"/>
              <w:bottom w:w="0" w:type="dxa"/>
              <w:right w:w="20" w:type="dxa"/>
            </w:tcMar>
          </w:tcPr>
          <w:p w14:paraId="4090F26A"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6B" w14:textId="77777777" w:rsidR="00833634" w:rsidRDefault="00833634">
            <w:pPr>
              <w:rPr>
                <w:rFonts w:ascii="宋体"/>
              </w:rPr>
            </w:pPr>
          </w:p>
        </w:tc>
      </w:tr>
      <w:tr w:rsidR="00833634" w14:paraId="4090F26E" w14:textId="77777777">
        <w:tc>
          <w:tcPr>
            <w:tcW w:w="0" w:type="auto"/>
            <w:gridSpan w:val="6"/>
            <w:tcBorders>
              <w:left w:val="single" w:sz="8" w:space="0" w:color="000000"/>
              <w:right w:val="single" w:sz="8" w:space="0" w:color="000000"/>
            </w:tcBorders>
            <w:shd w:val="clear" w:color="auto" w:fill="auto"/>
            <w:tcMar>
              <w:top w:w="40" w:type="dxa"/>
              <w:left w:w="20" w:type="dxa"/>
              <w:bottom w:w="40" w:type="dxa"/>
              <w:right w:w="20" w:type="dxa"/>
            </w:tcMar>
            <w:vAlign w:val="bottom"/>
          </w:tcPr>
          <w:p w14:paraId="4090F26D" w14:textId="77777777" w:rsidR="00833634" w:rsidRDefault="00E15D51">
            <w:pPr>
              <w:spacing w:before="180"/>
              <w:jc w:val="both"/>
              <w:textAlignment w:val="bottom"/>
            </w:pPr>
            <w:r>
              <w:rPr>
                <w:rFonts w:ascii="Arial" w:eastAsia="宋体" w:hAnsi="Arial" w:cs="Arial"/>
                <w:color w:val="000000"/>
                <w:sz w:val="20"/>
                <w:szCs w:val="20"/>
              </w:rPr>
              <w:t xml:space="preserve">Additional information concerning these and other factors can be found in our filings with the </w:t>
            </w:r>
            <w:r>
              <w:rPr>
                <w:rFonts w:ascii="Arial" w:eastAsia="宋体" w:hAnsi="Arial" w:cs="Arial"/>
                <w:color w:val="000000"/>
                <w:sz w:val="20"/>
                <w:szCs w:val="20"/>
              </w:rPr>
              <w:t>Securities and Exchange Commission, including our most recent Annual Report on Form 10-K, Quarterly Reports on Form 10-Q and Current Reports on Form 8-K. Any forward-looking information speaks only as of the date on which it is made, and we assume no oblig</w:t>
            </w:r>
            <w:r>
              <w:rPr>
                <w:rFonts w:ascii="Arial" w:eastAsia="宋体" w:hAnsi="Arial" w:cs="Arial"/>
                <w:color w:val="000000"/>
                <w:sz w:val="20"/>
                <w:szCs w:val="20"/>
              </w:rPr>
              <w:t>ation to update or revise any forward-looking statement, whether as a result of new information, future events, or otherwise, except as required by law.</w:t>
            </w:r>
          </w:p>
        </w:tc>
      </w:tr>
      <w:tr w:rsidR="00833634" w14:paraId="4090F271" w14:textId="77777777">
        <w:trPr>
          <w:trHeight w:val="300"/>
        </w:trPr>
        <w:tc>
          <w:tcPr>
            <w:tcW w:w="0" w:type="auto"/>
            <w:gridSpan w:val="3"/>
            <w:tcBorders>
              <w:left w:val="single" w:sz="8" w:space="0" w:color="000000"/>
            </w:tcBorders>
            <w:shd w:val="clear" w:color="auto" w:fill="auto"/>
            <w:tcMar>
              <w:top w:w="0" w:type="dxa"/>
              <w:left w:w="20" w:type="dxa"/>
              <w:bottom w:w="0" w:type="dxa"/>
              <w:right w:w="20" w:type="dxa"/>
            </w:tcMar>
          </w:tcPr>
          <w:p w14:paraId="4090F26F"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70" w14:textId="77777777" w:rsidR="00833634" w:rsidRDefault="00833634">
            <w:pPr>
              <w:rPr>
                <w:rFonts w:ascii="宋体"/>
              </w:rPr>
            </w:pPr>
          </w:p>
        </w:tc>
      </w:tr>
      <w:tr w:rsidR="00833634" w14:paraId="4090F274" w14:textId="77777777">
        <w:trPr>
          <w:trHeight w:val="300"/>
        </w:trPr>
        <w:tc>
          <w:tcPr>
            <w:tcW w:w="0" w:type="auto"/>
            <w:gridSpan w:val="3"/>
            <w:tcBorders>
              <w:left w:val="single" w:sz="8" w:space="0" w:color="000000"/>
            </w:tcBorders>
            <w:shd w:val="clear" w:color="auto" w:fill="auto"/>
            <w:tcMar>
              <w:top w:w="0" w:type="dxa"/>
              <w:left w:w="20" w:type="dxa"/>
              <w:bottom w:w="0" w:type="dxa"/>
              <w:right w:w="20" w:type="dxa"/>
            </w:tcMar>
          </w:tcPr>
          <w:p w14:paraId="4090F272" w14:textId="77777777" w:rsidR="00833634" w:rsidRDefault="00833634">
            <w:pPr>
              <w:rPr>
                <w:rFonts w:ascii="宋体"/>
              </w:rPr>
            </w:pPr>
          </w:p>
        </w:tc>
        <w:tc>
          <w:tcPr>
            <w:tcW w:w="0" w:type="auto"/>
            <w:gridSpan w:val="3"/>
            <w:tcBorders>
              <w:right w:val="single" w:sz="8" w:space="0" w:color="000000"/>
            </w:tcBorders>
            <w:shd w:val="clear" w:color="auto" w:fill="auto"/>
            <w:tcMar>
              <w:top w:w="0" w:type="dxa"/>
              <w:left w:w="20" w:type="dxa"/>
              <w:bottom w:w="0" w:type="dxa"/>
              <w:right w:w="20" w:type="dxa"/>
            </w:tcMar>
          </w:tcPr>
          <w:p w14:paraId="4090F273" w14:textId="77777777" w:rsidR="00833634" w:rsidRDefault="00833634">
            <w:pPr>
              <w:rPr>
                <w:rFonts w:ascii="宋体"/>
              </w:rPr>
            </w:pPr>
          </w:p>
        </w:tc>
      </w:tr>
      <w:tr w:rsidR="00833634" w14:paraId="4090F277" w14:textId="77777777">
        <w:trPr>
          <w:trHeight w:val="300"/>
        </w:trPr>
        <w:tc>
          <w:tcPr>
            <w:tcW w:w="0" w:type="auto"/>
            <w:gridSpan w:val="3"/>
            <w:tcBorders>
              <w:left w:val="single" w:sz="8" w:space="0" w:color="000000"/>
              <w:bottom w:val="single" w:sz="8" w:space="0" w:color="000000"/>
            </w:tcBorders>
            <w:shd w:val="clear" w:color="auto" w:fill="auto"/>
            <w:tcMar>
              <w:top w:w="0" w:type="dxa"/>
              <w:left w:w="20" w:type="dxa"/>
              <w:bottom w:w="0" w:type="dxa"/>
              <w:right w:w="20" w:type="dxa"/>
            </w:tcMar>
          </w:tcPr>
          <w:p w14:paraId="4090F275" w14:textId="77777777" w:rsidR="00833634" w:rsidRDefault="00833634">
            <w:pPr>
              <w:rPr>
                <w:rFonts w:ascii="宋体"/>
              </w:rPr>
            </w:pPr>
          </w:p>
        </w:tc>
        <w:tc>
          <w:tcPr>
            <w:tcW w:w="0" w:type="auto"/>
            <w:gridSpan w:val="3"/>
            <w:tcBorders>
              <w:bottom w:val="single" w:sz="8" w:space="0" w:color="000000"/>
              <w:right w:val="single" w:sz="8" w:space="0" w:color="000000"/>
            </w:tcBorders>
            <w:shd w:val="clear" w:color="auto" w:fill="auto"/>
            <w:tcMar>
              <w:top w:w="0" w:type="dxa"/>
              <w:left w:w="20" w:type="dxa"/>
              <w:bottom w:w="0" w:type="dxa"/>
              <w:right w:w="20" w:type="dxa"/>
            </w:tcMar>
          </w:tcPr>
          <w:p w14:paraId="4090F276" w14:textId="77777777" w:rsidR="00833634" w:rsidRDefault="00833634">
            <w:pPr>
              <w:rPr>
                <w:rFonts w:ascii="宋体"/>
              </w:rPr>
            </w:pPr>
          </w:p>
        </w:tc>
      </w:tr>
    </w:tbl>
    <w:p w14:paraId="4090F278" w14:textId="77777777" w:rsidR="00833634" w:rsidRDefault="00E15D51">
      <w:pPr>
        <w:spacing w:after="180"/>
        <w:jc w:val="center"/>
      </w:pPr>
      <w:r>
        <w:rPr>
          <w:rFonts w:ascii="Arial" w:eastAsia="宋体" w:hAnsi="Arial" w:cs="Arial"/>
          <w:color w:val="000000"/>
          <w:sz w:val="18"/>
          <w:szCs w:val="18"/>
        </w:rPr>
        <w:t>38</w:t>
      </w:r>
    </w:p>
    <w:p w14:paraId="4090F279" w14:textId="77777777" w:rsidR="00833634" w:rsidRDefault="00E15D51">
      <w:r>
        <w:pict w14:anchorId="4090FE46">
          <v:rect id="_x0000_i1064" style="width:415.3pt;height:1.5pt" o:hralign="center" o:hrstd="t" o:hr="t" fillcolor="#a0a0a0" stroked="f"/>
        </w:pict>
      </w:r>
    </w:p>
    <w:p w14:paraId="4090F27A" w14:textId="77777777" w:rsidR="00833634" w:rsidRDefault="00E15D51">
      <w:pPr>
        <w:spacing w:after="180"/>
        <w:jc w:val="both"/>
      </w:pPr>
      <w:hyperlink r:id="rId141" w:anchor="i8d805bfb1e1c4815a1dcd5b6d1e0b117_10" w:history="1">
        <w:r>
          <w:rPr>
            <w:rStyle w:val="a5"/>
            <w:rFonts w:ascii="Arial" w:eastAsia="宋体" w:hAnsi="Arial" w:cs="Arial"/>
            <w:sz w:val="18"/>
            <w:szCs w:val="18"/>
          </w:rPr>
          <w:t>Table of Contents</w:t>
        </w:r>
      </w:hyperlink>
    </w:p>
    <w:p w14:paraId="4090F27B" w14:textId="77777777" w:rsidR="00833634" w:rsidRDefault="00E15D51">
      <w:pPr>
        <w:spacing w:after="180"/>
        <w:jc w:val="both"/>
      </w:pPr>
      <w:r>
        <w:rPr>
          <w:rFonts w:ascii="Arial" w:eastAsia="宋体" w:hAnsi="Arial" w:cs="Arial"/>
          <w:b/>
          <w:bCs/>
          <w:color w:val="000000"/>
          <w:sz w:val="20"/>
          <w:szCs w:val="20"/>
        </w:rPr>
        <w:t>Item 2. Management’s Discussion and Analysis of Financial Condition and Results of Ope</w:t>
      </w:r>
      <w:r>
        <w:rPr>
          <w:rFonts w:ascii="Arial" w:eastAsia="宋体" w:hAnsi="Arial" w:cs="Arial"/>
          <w:b/>
          <w:bCs/>
          <w:color w:val="000000"/>
          <w:sz w:val="20"/>
          <w:szCs w:val="20"/>
        </w:rPr>
        <w:t>rations</w:t>
      </w:r>
    </w:p>
    <w:p w14:paraId="4090F27C" w14:textId="77777777" w:rsidR="00833634" w:rsidRDefault="00E15D51">
      <w:pPr>
        <w:spacing w:before="180" w:after="180"/>
        <w:jc w:val="both"/>
      </w:pPr>
      <w:r>
        <w:rPr>
          <w:rFonts w:ascii="Arial" w:eastAsia="宋体" w:hAnsi="Arial" w:cs="Arial"/>
          <w:b/>
          <w:bCs/>
          <w:color w:val="000000"/>
          <w:sz w:val="20"/>
          <w:szCs w:val="20"/>
        </w:rPr>
        <w:t>Consolidated Results of Operations and Financial Condition</w:t>
      </w:r>
    </w:p>
    <w:p w14:paraId="4090F27D" w14:textId="77777777" w:rsidR="00833634" w:rsidRDefault="00E15D51">
      <w:pPr>
        <w:spacing w:after="180"/>
        <w:jc w:val="both"/>
      </w:pPr>
      <w:r>
        <w:rPr>
          <w:rFonts w:ascii="Arial" w:eastAsia="宋体" w:hAnsi="Arial" w:cs="Arial"/>
          <w:b/>
          <w:bCs/>
          <w:color w:val="000000"/>
          <w:sz w:val="20"/>
          <w:szCs w:val="20"/>
        </w:rPr>
        <w:t>Overview</w:t>
      </w:r>
    </w:p>
    <w:p w14:paraId="4090F27E" w14:textId="77777777" w:rsidR="00833634" w:rsidRDefault="00E15D51">
      <w:pPr>
        <w:spacing w:after="180"/>
        <w:jc w:val="both"/>
      </w:pPr>
      <w:r>
        <w:rPr>
          <w:rFonts w:ascii="Arial" w:eastAsia="宋体" w:hAnsi="Arial" w:cs="Arial"/>
          <w:color w:val="000000"/>
          <w:sz w:val="20"/>
          <w:szCs w:val="20"/>
        </w:rPr>
        <w:t>The global outbreak of COVID-19 and the ongoing grounding of the 737 MAX airplane are having a significant adverse impact on our business and are expected to continue to negatively</w:t>
      </w:r>
      <w:r>
        <w:rPr>
          <w:rFonts w:ascii="Arial" w:eastAsia="宋体" w:hAnsi="Arial" w:cs="Arial"/>
          <w:color w:val="000000"/>
          <w:sz w:val="20"/>
          <w:szCs w:val="20"/>
        </w:rPr>
        <w:t xml:space="preserve"> impact revenue, earnings and operating cash flow in future quarters. They are also having a significant impact on our liquidity - see Liquidity Matters in Note 1 to our Condensed Consolidated Financial Statements for a further discussion of liquidity and </w:t>
      </w:r>
      <w:r>
        <w:rPr>
          <w:rFonts w:ascii="Arial" w:eastAsia="宋体" w:hAnsi="Arial" w:cs="Arial"/>
          <w:color w:val="000000"/>
          <w:sz w:val="20"/>
          <w:szCs w:val="20"/>
        </w:rPr>
        <w:t xml:space="preserve">additional actions we are taking in response to the challenges posed by COVID-19 and the 737 MAX grounding. </w:t>
      </w:r>
    </w:p>
    <w:p w14:paraId="4090F27F" w14:textId="77777777" w:rsidR="00833634" w:rsidRDefault="00E15D51">
      <w:pPr>
        <w:spacing w:after="180"/>
        <w:jc w:val="both"/>
      </w:pPr>
      <w:r>
        <w:rPr>
          <w:rFonts w:ascii="Arial" w:eastAsia="宋体" w:hAnsi="Arial" w:cs="Arial"/>
          <w:color w:val="000000"/>
          <w:sz w:val="20"/>
          <w:szCs w:val="20"/>
        </w:rPr>
        <w:t>The COVID-19 pandemic has caused an unprecedented shock to demand for air travel, creating a tremendous challenge for our customers, our business a</w:t>
      </w:r>
      <w:r>
        <w:rPr>
          <w:rFonts w:ascii="Arial" w:eastAsia="宋体" w:hAnsi="Arial" w:cs="Arial"/>
          <w:color w:val="000000"/>
          <w:sz w:val="20"/>
          <w:szCs w:val="20"/>
        </w:rPr>
        <w:t>nd the entire commercial aerospace manufacturing and services sector. The latest International Air Transport Association (IATA) forecast projects full-year passenger traffic to be down 66% this year compared to 2019 as global economic activity slows due to</w:t>
      </w:r>
      <w:r>
        <w:rPr>
          <w:rFonts w:ascii="Arial" w:eastAsia="宋体" w:hAnsi="Arial" w:cs="Arial"/>
          <w:color w:val="000000"/>
          <w:sz w:val="20"/>
          <w:szCs w:val="20"/>
        </w:rPr>
        <w:t xml:space="preserve"> COVID-19 and governments severely restrict travel to contain the spread of the virus. However, the recovery remains slow and uneven as travel restrictions and varying regional travel protocols continue to impact air travel. Generally, we expect domestic t</w:t>
      </w:r>
      <w:r>
        <w:rPr>
          <w:rFonts w:ascii="Arial" w:eastAsia="宋体" w:hAnsi="Arial" w:cs="Arial"/>
          <w:color w:val="000000"/>
          <w:sz w:val="20"/>
          <w:szCs w:val="20"/>
        </w:rPr>
        <w:t>ravel to recover faster than international travel. As a result, we expect the narrow-body market to recover faster than the wide-body market. Also, the pace of the commercial market recovery will be heavily dependent on COVID-19 infection rates, progress o</w:t>
      </w:r>
      <w:r>
        <w:rPr>
          <w:rFonts w:ascii="Arial" w:eastAsia="宋体" w:hAnsi="Arial" w:cs="Arial"/>
          <w:color w:val="000000"/>
          <w:sz w:val="20"/>
          <w:szCs w:val="20"/>
        </w:rPr>
        <w:t>n testing, government travel restrictions, and timing and availability of a vaccine.</w:t>
      </w:r>
    </w:p>
    <w:p w14:paraId="4090F280" w14:textId="77777777" w:rsidR="00833634" w:rsidRDefault="00E15D51">
      <w:pPr>
        <w:spacing w:after="180"/>
        <w:jc w:val="both"/>
      </w:pPr>
      <w:r>
        <w:rPr>
          <w:rFonts w:ascii="Arial" w:eastAsia="宋体" w:hAnsi="Arial" w:cs="Arial"/>
          <w:color w:val="000000"/>
          <w:sz w:val="20"/>
          <w:szCs w:val="20"/>
        </w:rPr>
        <w:t>Our customers are taking actions to combat the effects of the COVID-19 pandemic on the market by preserving liquidity. This comes in many forms such as deferrals of advanc</w:t>
      </w:r>
      <w:r>
        <w:rPr>
          <w:rFonts w:ascii="Arial" w:eastAsia="宋体" w:hAnsi="Arial" w:cs="Arial"/>
          <w:color w:val="000000"/>
          <w:sz w:val="20"/>
          <w:szCs w:val="20"/>
        </w:rPr>
        <w:t>es and other payments to suppliers, deferrals of deliveries, reduced spending on services, and, in some cases, cancellation of orders. We face a challenging environment in the near to medium term as airlines adjust to reduced traffic which in turn will low</w:t>
      </w:r>
      <w:r>
        <w:rPr>
          <w:rFonts w:ascii="Arial" w:eastAsia="宋体" w:hAnsi="Arial" w:cs="Arial"/>
          <w:color w:val="000000"/>
          <w:sz w:val="20"/>
          <w:szCs w:val="20"/>
        </w:rPr>
        <w:t>er demand for commercial aerospace products and services. The current environment is also affecting the financial viability of some airlines.</w:t>
      </w:r>
    </w:p>
    <w:p w14:paraId="4090F281" w14:textId="77777777" w:rsidR="00833634" w:rsidRDefault="00E15D51">
      <w:pPr>
        <w:spacing w:after="180"/>
        <w:jc w:val="both"/>
      </w:pPr>
      <w:r>
        <w:rPr>
          <w:rFonts w:ascii="Arial" w:eastAsia="宋体" w:hAnsi="Arial" w:cs="Arial"/>
          <w:color w:val="000000"/>
          <w:sz w:val="20"/>
          <w:szCs w:val="20"/>
        </w:rPr>
        <w:t>We currently expect it will take approximately three years for world-wide travel to return to 2019 levels and a fe</w:t>
      </w:r>
      <w:r>
        <w:rPr>
          <w:rFonts w:ascii="Arial" w:eastAsia="宋体" w:hAnsi="Arial" w:cs="Arial"/>
          <w:color w:val="000000"/>
          <w:sz w:val="20"/>
          <w:szCs w:val="20"/>
        </w:rPr>
        <w:t>w years beyond that for the industry to return to long-term trend growth. To balance the supply and demand given the COVID-19 shock and to preserve our long-term potential and competitiveness, we have reduced the production rates of several of our Commerci</w:t>
      </w:r>
      <w:r>
        <w:rPr>
          <w:rFonts w:ascii="Arial" w:eastAsia="宋体" w:hAnsi="Arial" w:cs="Arial"/>
          <w:color w:val="000000"/>
          <w:sz w:val="20"/>
          <w:szCs w:val="20"/>
        </w:rPr>
        <w:t>al Airplanes (BCA) programs. These rate decisions are based on our ongoing assessments of the demand environment and availability of aircraft financing. There is significant uncertainty with respect to when commercial air traffic levels will recover, and w</w:t>
      </w:r>
      <w:r>
        <w:rPr>
          <w:rFonts w:ascii="Arial" w:eastAsia="宋体" w:hAnsi="Arial" w:cs="Arial"/>
          <w:color w:val="000000"/>
          <w:sz w:val="20"/>
          <w:szCs w:val="20"/>
        </w:rPr>
        <w:t>hether, and at what point, capacity will return to and/or exceed pre-COVID-19 levels. We will closely monitor the key factors that affect backlog and future demand including customers’ evolving fleet plans, the wide-body replacement cycle and the cargo mar</w:t>
      </w:r>
      <w:r>
        <w:rPr>
          <w:rFonts w:ascii="Arial" w:eastAsia="宋体" w:hAnsi="Arial" w:cs="Arial"/>
          <w:color w:val="000000"/>
          <w:sz w:val="20"/>
          <w:szCs w:val="20"/>
        </w:rPr>
        <w:t>ket. We will maintain a disciplined rate management process, and make adjustments as appropriate in the future. Notwithstanding the changes we have made to production rates, risk remains that further reductions will be required.</w:t>
      </w:r>
      <w:r>
        <w:rPr>
          <w:rFonts w:ascii="Arial" w:eastAsia="宋体" w:hAnsi="Arial" w:cs="Arial"/>
          <w:color w:val="000000"/>
        </w:rPr>
        <w:t xml:space="preserve"> </w:t>
      </w:r>
      <w:r>
        <w:rPr>
          <w:rFonts w:ascii="Arial" w:eastAsia="宋体" w:hAnsi="Arial" w:cs="Arial"/>
          <w:color w:val="000000"/>
          <w:sz w:val="20"/>
          <w:szCs w:val="20"/>
        </w:rPr>
        <w:t>Additionally, if we are una</w:t>
      </w:r>
      <w:r>
        <w:rPr>
          <w:rFonts w:ascii="Arial" w:eastAsia="宋体" w:hAnsi="Arial" w:cs="Arial"/>
          <w:color w:val="000000"/>
          <w:sz w:val="20"/>
          <w:szCs w:val="20"/>
        </w:rPr>
        <w:t>ble to make timely deliveries of the large number of aircraft in inventory as of September 30, 2020, future revenues, earnings and cash flows will be adversely impacted.</w:t>
      </w:r>
    </w:p>
    <w:p w14:paraId="4090F282" w14:textId="77777777" w:rsidR="00833634" w:rsidRDefault="00E15D51">
      <w:pPr>
        <w:spacing w:after="180"/>
        <w:jc w:val="both"/>
      </w:pPr>
      <w:r>
        <w:rPr>
          <w:rFonts w:ascii="Arial" w:eastAsia="宋体" w:hAnsi="Arial" w:cs="Arial"/>
          <w:color w:val="000000"/>
          <w:sz w:val="20"/>
          <w:szCs w:val="20"/>
        </w:rPr>
        <w:t>At Global Services (BGS), we are seeing a direct impact on our commercial supply chain</w:t>
      </w:r>
      <w:r>
        <w:rPr>
          <w:rFonts w:ascii="Arial" w:eastAsia="宋体" w:hAnsi="Arial" w:cs="Arial"/>
          <w:color w:val="000000"/>
          <w:sz w:val="20"/>
          <w:szCs w:val="20"/>
        </w:rPr>
        <w:t xml:space="preserve"> business as fewer flights and more aircraft retirements result in a decreased demand for our parts and logistics offerings. Additionally, our commercial customers are curtailing discretionary spending, such as modifications and upgrades and focusing on re</w:t>
      </w:r>
      <w:r>
        <w:rPr>
          <w:rFonts w:ascii="Arial" w:eastAsia="宋体" w:hAnsi="Arial" w:cs="Arial"/>
          <w:color w:val="000000"/>
          <w:sz w:val="20"/>
          <w:szCs w:val="20"/>
        </w:rPr>
        <w:t>quired maintenance. Similar to BCA, we expect a multi-year recovery period for the commercial services business. The demand outlook for our government services business, which in 2019 accounted for just under half of BGS revenue, remains stable.</w:t>
      </w:r>
    </w:p>
    <w:p w14:paraId="4090F283" w14:textId="77777777" w:rsidR="00833634" w:rsidRDefault="00E15D51">
      <w:pPr>
        <w:spacing w:after="180"/>
        <w:jc w:val="center"/>
      </w:pPr>
      <w:r>
        <w:rPr>
          <w:rFonts w:ascii="Arial" w:eastAsia="宋体" w:hAnsi="Arial" w:cs="Arial"/>
          <w:color w:val="000000"/>
          <w:sz w:val="18"/>
          <w:szCs w:val="18"/>
        </w:rPr>
        <w:t>39</w:t>
      </w:r>
    </w:p>
    <w:p w14:paraId="4090F284" w14:textId="77777777" w:rsidR="00833634" w:rsidRDefault="00E15D51">
      <w:r>
        <w:pict w14:anchorId="4090FE47">
          <v:rect id="_x0000_i1065" style="width:415.3pt;height:1.5pt" o:hralign="center" o:hrstd="t" o:hr="t" fillcolor="#a0a0a0" stroked="f"/>
        </w:pict>
      </w:r>
    </w:p>
    <w:p w14:paraId="4090F285" w14:textId="77777777" w:rsidR="00833634" w:rsidRDefault="00E15D51">
      <w:pPr>
        <w:spacing w:after="180"/>
        <w:jc w:val="both"/>
      </w:pPr>
      <w:hyperlink r:id="rId142" w:anchor="i8d805bfb1e1c4815a1dcd5b6d1e0b117_10" w:history="1">
        <w:r>
          <w:rPr>
            <w:rStyle w:val="a5"/>
            <w:rFonts w:ascii="Arial" w:eastAsia="宋体" w:hAnsi="Arial" w:cs="Arial"/>
            <w:sz w:val="18"/>
            <w:szCs w:val="18"/>
          </w:rPr>
          <w:t>Table of Contents</w:t>
        </w:r>
      </w:hyperlink>
    </w:p>
    <w:p w14:paraId="4090F286" w14:textId="77777777" w:rsidR="00833634" w:rsidRDefault="00E15D51">
      <w:pPr>
        <w:spacing w:after="180"/>
        <w:jc w:val="both"/>
      </w:pPr>
      <w:r>
        <w:rPr>
          <w:rFonts w:ascii="Arial" w:eastAsia="宋体" w:hAnsi="Arial" w:cs="Arial"/>
          <w:color w:val="000000"/>
          <w:sz w:val="20"/>
          <w:szCs w:val="20"/>
        </w:rPr>
        <w:t>At Defense, Space &amp; Security (BDS), we continue to see a healthy market with solid demand f</w:t>
      </w:r>
      <w:r>
        <w:rPr>
          <w:rFonts w:ascii="Arial" w:eastAsia="宋体" w:hAnsi="Arial" w:cs="Arial"/>
          <w:color w:val="000000"/>
          <w:sz w:val="20"/>
          <w:szCs w:val="20"/>
        </w:rPr>
        <w:t>or our major platforms and programs both domestically and internationally. However, we have experienced near-term production impacts associated with our temporary suspension of operations at various locations earlier this year.</w:t>
      </w:r>
    </w:p>
    <w:p w14:paraId="4090F287" w14:textId="77777777" w:rsidR="00833634" w:rsidRDefault="00E15D51">
      <w:pPr>
        <w:spacing w:after="180"/>
        <w:jc w:val="both"/>
      </w:pPr>
      <w:r>
        <w:rPr>
          <w:rFonts w:ascii="Arial" w:eastAsia="宋体" w:hAnsi="Arial" w:cs="Arial"/>
          <w:color w:val="000000"/>
          <w:sz w:val="20"/>
          <w:szCs w:val="20"/>
        </w:rPr>
        <w:t xml:space="preserve">In March and April of 2020, </w:t>
      </w:r>
      <w:r>
        <w:rPr>
          <w:rFonts w:ascii="Arial" w:eastAsia="宋体" w:hAnsi="Arial" w:cs="Arial"/>
          <w:color w:val="000000"/>
          <w:sz w:val="20"/>
          <w:szCs w:val="20"/>
        </w:rPr>
        <w:t xml:space="preserve">we temporarily suspended operations at multiple locations including the Puget Sound area, South Carolina and Philadelphia. Operations in Puget Sound and Philadelphia resumed during the week of April 20, while operations in South Carolina resumed beginning </w:t>
      </w:r>
      <w:r>
        <w:rPr>
          <w:rFonts w:ascii="Arial" w:eastAsia="宋体" w:hAnsi="Arial" w:cs="Arial"/>
          <w:color w:val="000000"/>
          <w:sz w:val="20"/>
          <w:szCs w:val="20"/>
        </w:rPr>
        <w:t>on May 3. We have implemented procedures to promote employee safety in our facilities, including more frequent and enhanced cleaning and adjusted schedules and work flows to support physical distancing. These actions have resulted, and will continue to res</w:t>
      </w:r>
      <w:r>
        <w:rPr>
          <w:rFonts w:ascii="Arial" w:eastAsia="宋体" w:hAnsi="Arial" w:cs="Arial"/>
          <w:color w:val="000000"/>
          <w:sz w:val="20"/>
          <w:szCs w:val="20"/>
        </w:rPr>
        <w:t xml:space="preserve">ult, in increased operating costs. In addition, a number of our suppliers have suspended or otherwise reduced their operations, and we are experiencing some supply chain shortages. Our suppliers are also experiencing liquidity pressures and disruptions to </w:t>
      </w:r>
      <w:r>
        <w:rPr>
          <w:rFonts w:ascii="Arial" w:eastAsia="宋体" w:hAnsi="Arial" w:cs="Arial"/>
          <w:color w:val="000000"/>
          <w:sz w:val="20"/>
          <w:szCs w:val="20"/>
        </w:rPr>
        <w:t>their operations as a result of COVID-19. We also continue to have large numbers of employees working from home. These measures and disruptions have reduced overall productivity and adversely impacted our financial position, results of operations, and cash</w:t>
      </w:r>
      <w:r>
        <w:rPr>
          <w:rFonts w:ascii="Arial" w:eastAsia="宋体" w:hAnsi="Arial" w:cs="Arial"/>
          <w:color w:val="000000"/>
          <w:sz w:val="20"/>
          <w:szCs w:val="20"/>
        </w:rPr>
        <w:t xml:space="preserve"> flows in 2020. We expect further adverse impacts in future quarters.</w:t>
      </w:r>
    </w:p>
    <w:p w14:paraId="4090F288" w14:textId="77777777" w:rsidR="00833634" w:rsidRDefault="00E15D51">
      <w:pPr>
        <w:spacing w:after="180"/>
        <w:jc w:val="both"/>
      </w:pPr>
      <w:r>
        <w:rPr>
          <w:rFonts w:ascii="Arial" w:eastAsia="宋体" w:hAnsi="Arial" w:cs="Arial"/>
          <w:b/>
          <w:bCs/>
          <w:color w:val="000000"/>
          <w:sz w:val="20"/>
          <w:szCs w:val="20"/>
        </w:rPr>
        <w:t>Loss/Earnings From Operations and Core Operating Loss/Earnings (Non-GAAP)</w:t>
      </w:r>
    </w:p>
    <w:p w14:paraId="4090F289" w14:textId="77777777" w:rsidR="00833634" w:rsidRDefault="00E15D51">
      <w:pPr>
        <w:jc w:val="both"/>
      </w:pPr>
      <w:r>
        <w:rPr>
          <w:rFonts w:ascii="Arial" w:eastAsia="宋体" w:hAnsi="Arial" w:cs="Arial"/>
          <w:color w:val="000000"/>
          <w:sz w:val="20"/>
          <w:szCs w:val="20"/>
        </w:rPr>
        <w:t>The following table summarizes key indicators of consolidated 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39"/>
        <w:gridCol w:w="3923"/>
        <w:gridCol w:w="38"/>
        <w:gridCol w:w="70"/>
        <w:gridCol w:w="730"/>
        <w:gridCol w:w="199"/>
        <w:gridCol w:w="37"/>
        <w:gridCol w:w="37"/>
        <w:gridCol w:w="37"/>
        <w:gridCol w:w="70"/>
        <w:gridCol w:w="730"/>
        <w:gridCol w:w="198"/>
        <w:gridCol w:w="36"/>
        <w:gridCol w:w="36"/>
        <w:gridCol w:w="36"/>
        <w:gridCol w:w="70"/>
        <w:gridCol w:w="730"/>
        <w:gridCol w:w="199"/>
        <w:gridCol w:w="37"/>
        <w:gridCol w:w="37"/>
        <w:gridCol w:w="36"/>
        <w:gridCol w:w="70"/>
        <w:gridCol w:w="730"/>
        <w:gridCol w:w="198"/>
      </w:tblGrid>
      <w:tr w:rsidR="00833634" w14:paraId="4090F2A2" w14:textId="77777777">
        <w:tc>
          <w:tcPr>
            <w:tcW w:w="50" w:type="pct"/>
            <w:shd w:val="clear" w:color="auto" w:fill="auto"/>
          </w:tcPr>
          <w:p w14:paraId="4090F28A" w14:textId="77777777" w:rsidR="00833634" w:rsidRDefault="00833634">
            <w:pPr>
              <w:rPr>
                <w:rFonts w:ascii="宋体"/>
              </w:rPr>
            </w:pPr>
          </w:p>
        </w:tc>
        <w:tc>
          <w:tcPr>
            <w:tcW w:w="2513" w:type="pct"/>
            <w:shd w:val="clear" w:color="auto" w:fill="auto"/>
          </w:tcPr>
          <w:p w14:paraId="4090F28B" w14:textId="77777777" w:rsidR="00833634" w:rsidRDefault="00833634">
            <w:pPr>
              <w:rPr>
                <w:rFonts w:ascii="宋体"/>
              </w:rPr>
            </w:pPr>
          </w:p>
        </w:tc>
        <w:tc>
          <w:tcPr>
            <w:tcW w:w="5" w:type="pct"/>
            <w:shd w:val="clear" w:color="auto" w:fill="auto"/>
          </w:tcPr>
          <w:p w14:paraId="4090F28C" w14:textId="77777777" w:rsidR="00833634" w:rsidRDefault="00833634">
            <w:pPr>
              <w:rPr>
                <w:rFonts w:ascii="宋体"/>
              </w:rPr>
            </w:pPr>
          </w:p>
        </w:tc>
        <w:tc>
          <w:tcPr>
            <w:tcW w:w="50" w:type="pct"/>
            <w:shd w:val="clear" w:color="auto" w:fill="auto"/>
          </w:tcPr>
          <w:p w14:paraId="4090F28D" w14:textId="77777777" w:rsidR="00833634" w:rsidRDefault="00833634">
            <w:pPr>
              <w:rPr>
                <w:rFonts w:ascii="宋体"/>
              </w:rPr>
            </w:pPr>
          </w:p>
        </w:tc>
        <w:tc>
          <w:tcPr>
            <w:tcW w:w="522" w:type="pct"/>
            <w:shd w:val="clear" w:color="auto" w:fill="auto"/>
          </w:tcPr>
          <w:p w14:paraId="4090F28E" w14:textId="77777777" w:rsidR="00833634" w:rsidRDefault="00833634">
            <w:pPr>
              <w:rPr>
                <w:rFonts w:ascii="宋体"/>
              </w:rPr>
            </w:pPr>
          </w:p>
        </w:tc>
        <w:tc>
          <w:tcPr>
            <w:tcW w:w="5" w:type="pct"/>
            <w:shd w:val="clear" w:color="auto" w:fill="auto"/>
          </w:tcPr>
          <w:p w14:paraId="4090F28F" w14:textId="77777777" w:rsidR="00833634" w:rsidRDefault="00833634">
            <w:pPr>
              <w:rPr>
                <w:rFonts w:ascii="宋体"/>
              </w:rPr>
            </w:pPr>
          </w:p>
        </w:tc>
        <w:tc>
          <w:tcPr>
            <w:tcW w:w="5" w:type="pct"/>
            <w:shd w:val="clear" w:color="auto" w:fill="auto"/>
          </w:tcPr>
          <w:p w14:paraId="4090F290" w14:textId="77777777" w:rsidR="00833634" w:rsidRDefault="00833634">
            <w:pPr>
              <w:rPr>
                <w:rFonts w:ascii="宋体"/>
              </w:rPr>
            </w:pPr>
          </w:p>
        </w:tc>
        <w:tc>
          <w:tcPr>
            <w:tcW w:w="30" w:type="pct"/>
            <w:shd w:val="clear" w:color="auto" w:fill="auto"/>
          </w:tcPr>
          <w:p w14:paraId="4090F291" w14:textId="77777777" w:rsidR="00833634" w:rsidRDefault="00833634">
            <w:pPr>
              <w:rPr>
                <w:rFonts w:ascii="宋体"/>
              </w:rPr>
            </w:pPr>
          </w:p>
        </w:tc>
        <w:tc>
          <w:tcPr>
            <w:tcW w:w="5" w:type="pct"/>
            <w:shd w:val="clear" w:color="auto" w:fill="auto"/>
          </w:tcPr>
          <w:p w14:paraId="4090F292" w14:textId="77777777" w:rsidR="00833634" w:rsidRDefault="00833634">
            <w:pPr>
              <w:rPr>
                <w:rFonts w:ascii="宋体"/>
              </w:rPr>
            </w:pPr>
          </w:p>
        </w:tc>
        <w:tc>
          <w:tcPr>
            <w:tcW w:w="50" w:type="pct"/>
            <w:shd w:val="clear" w:color="auto" w:fill="auto"/>
          </w:tcPr>
          <w:p w14:paraId="4090F293" w14:textId="77777777" w:rsidR="00833634" w:rsidRDefault="00833634">
            <w:pPr>
              <w:rPr>
                <w:rFonts w:ascii="宋体"/>
              </w:rPr>
            </w:pPr>
          </w:p>
        </w:tc>
        <w:tc>
          <w:tcPr>
            <w:tcW w:w="522" w:type="pct"/>
            <w:shd w:val="clear" w:color="auto" w:fill="auto"/>
          </w:tcPr>
          <w:p w14:paraId="4090F294" w14:textId="77777777" w:rsidR="00833634" w:rsidRDefault="00833634">
            <w:pPr>
              <w:rPr>
                <w:rFonts w:ascii="宋体"/>
              </w:rPr>
            </w:pPr>
          </w:p>
        </w:tc>
        <w:tc>
          <w:tcPr>
            <w:tcW w:w="5" w:type="pct"/>
            <w:shd w:val="clear" w:color="auto" w:fill="auto"/>
          </w:tcPr>
          <w:p w14:paraId="4090F295" w14:textId="77777777" w:rsidR="00833634" w:rsidRDefault="00833634">
            <w:pPr>
              <w:rPr>
                <w:rFonts w:ascii="宋体"/>
              </w:rPr>
            </w:pPr>
          </w:p>
        </w:tc>
        <w:tc>
          <w:tcPr>
            <w:tcW w:w="5" w:type="pct"/>
            <w:shd w:val="clear" w:color="auto" w:fill="auto"/>
          </w:tcPr>
          <w:p w14:paraId="4090F296" w14:textId="77777777" w:rsidR="00833634" w:rsidRDefault="00833634">
            <w:pPr>
              <w:rPr>
                <w:rFonts w:ascii="宋体"/>
              </w:rPr>
            </w:pPr>
          </w:p>
        </w:tc>
        <w:tc>
          <w:tcPr>
            <w:tcW w:w="30" w:type="pct"/>
            <w:shd w:val="clear" w:color="auto" w:fill="auto"/>
          </w:tcPr>
          <w:p w14:paraId="4090F297" w14:textId="77777777" w:rsidR="00833634" w:rsidRDefault="00833634">
            <w:pPr>
              <w:rPr>
                <w:rFonts w:ascii="宋体"/>
              </w:rPr>
            </w:pPr>
          </w:p>
        </w:tc>
        <w:tc>
          <w:tcPr>
            <w:tcW w:w="5" w:type="pct"/>
            <w:shd w:val="clear" w:color="auto" w:fill="auto"/>
          </w:tcPr>
          <w:p w14:paraId="4090F298" w14:textId="77777777" w:rsidR="00833634" w:rsidRDefault="00833634">
            <w:pPr>
              <w:rPr>
                <w:rFonts w:ascii="宋体"/>
              </w:rPr>
            </w:pPr>
          </w:p>
        </w:tc>
        <w:tc>
          <w:tcPr>
            <w:tcW w:w="50" w:type="pct"/>
            <w:shd w:val="clear" w:color="auto" w:fill="auto"/>
          </w:tcPr>
          <w:p w14:paraId="4090F299" w14:textId="77777777" w:rsidR="00833634" w:rsidRDefault="00833634">
            <w:pPr>
              <w:rPr>
                <w:rFonts w:ascii="宋体"/>
              </w:rPr>
            </w:pPr>
          </w:p>
        </w:tc>
        <w:tc>
          <w:tcPr>
            <w:tcW w:w="522" w:type="pct"/>
            <w:shd w:val="clear" w:color="auto" w:fill="auto"/>
          </w:tcPr>
          <w:p w14:paraId="4090F29A" w14:textId="77777777" w:rsidR="00833634" w:rsidRDefault="00833634">
            <w:pPr>
              <w:rPr>
                <w:rFonts w:ascii="宋体"/>
              </w:rPr>
            </w:pPr>
          </w:p>
        </w:tc>
        <w:tc>
          <w:tcPr>
            <w:tcW w:w="5" w:type="pct"/>
            <w:shd w:val="clear" w:color="auto" w:fill="auto"/>
          </w:tcPr>
          <w:p w14:paraId="4090F29B" w14:textId="77777777" w:rsidR="00833634" w:rsidRDefault="00833634">
            <w:pPr>
              <w:rPr>
                <w:rFonts w:ascii="宋体"/>
              </w:rPr>
            </w:pPr>
          </w:p>
        </w:tc>
        <w:tc>
          <w:tcPr>
            <w:tcW w:w="5" w:type="pct"/>
            <w:shd w:val="clear" w:color="auto" w:fill="auto"/>
          </w:tcPr>
          <w:p w14:paraId="4090F29C" w14:textId="77777777" w:rsidR="00833634" w:rsidRDefault="00833634">
            <w:pPr>
              <w:rPr>
                <w:rFonts w:ascii="宋体"/>
              </w:rPr>
            </w:pPr>
          </w:p>
        </w:tc>
        <w:tc>
          <w:tcPr>
            <w:tcW w:w="30" w:type="pct"/>
            <w:shd w:val="clear" w:color="auto" w:fill="auto"/>
          </w:tcPr>
          <w:p w14:paraId="4090F29D" w14:textId="77777777" w:rsidR="00833634" w:rsidRDefault="00833634">
            <w:pPr>
              <w:rPr>
                <w:rFonts w:ascii="宋体"/>
              </w:rPr>
            </w:pPr>
          </w:p>
        </w:tc>
        <w:tc>
          <w:tcPr>
            <w:tcW w:w="5" w:type="pct"/>
            <w:shd w:val="clear" w:color="auto" w:fill="auto"/>
          </w:tcPr>
          <w:p w14:paraId="4090F29E" w14:textId="77777777" w:rsidR="00833634" w:rsidRDefault="00833634">
            <w:pPr>
              <w:rPr>
                <w:rFonts w:ascii="宋体"/>
              </w:rPr>
            </w:pPr>
          </w:p>
        </w:tc>
        <w:tc>
          <w:tcPr>
            <w:tcW w:w="50" w:type="pct"/>
            <w:shd w:val="clear" w:color="auto" w:fill="auto"/>
          </w:tcPr>
          <w:p w14:paraId="4090F29F" w14:textId="77777777" w:rsidR="00833634" w:rsidRDefault="00833634">
            <w:pPr>
              <w:rPr>
                <w:rFonts w:ascii="宋体"/>
              </w:rPr>
            </w:pPr>
          </w:p>
        </w:tc>
        <w:tc>
          <w:tcPr>
            <w:tcW w:w="523" w:type="pct"/>
            <w:shd w:val="clear" w:color="auto" w:fill="auto"/>
          </w:tcPr>
          <w:p w14:paraId="4090F2A0" w14:textId="77777777" w:rsidR="00833634" w:rsidRDefault="00833634">
            <w:pPr>
              <w:rPr>
                <w:rFonts w:ascii="宋体"/>
              </w:rPr>
            </w:pPr>
          </w:p>
        </w:tc>
        <w:tc>
          <w:tcPr>
            <w:tcW w:w="5" w:type="pct"/>
            <w:shd w:val="clear" w:color="auto" w:fill="auto"/>
          </w:tcPr>
          <w:p w14:paraId="4090F2A1" w14:textId="77777777" w:rsidR="00833634" w:rsidRDefault="00833634">
            <w:pPr>
              <w:rPr>
                <w:rFonts w:ascii="宋体"/>
              </w:rPr>
            </w:pPr>
          </w:p>
        </w:tc>
      </w:tr>
      <w:tr w:rsidR="00833634" w14:paraId="4090F2A7" w14:textId="77777777">
        <w:tc>
          <w:tcPr>
            <w:tcW w:w="0" w:type="auto"/>
            <w:gridSpan w:val="3"/>
            <w:shd w:val="clear" w:color="auto" w:fill="auto"/>
            <w:tcMar>
              <w:top w:w="40" w:type="dxa"/>
              <w:left w:w="20" w:type="dxa"/>
              <w:bottom w:w="40" w:type="dxa"/>
              <w:right w:w="20" w:type="dxa"/>
            </w:tcMar>
            <w:vAlign w:val="bottom"/>
          </w:tcPr>
          <w:p w14:paraId="4090F2A3" w14:textId="77777777" w:rsidR="00833634" w:rsidRDefault="00E15D51">
            <w:pPr>
              <w:textAlignment w:val="bottom"/>
            </w:pPr>
            <w:r>
              <w:rPr>
                <w:rFonts w:ascii="Arial" w:eastAsia="宋体" w:hAnsi="Arial" w:cs="Arial"/>
                <w:i/>
                <w:iCs/>
                <w:color w:val="000000"/>
                <w:sz w:val="20"/>
                <w:szCs w:val="20"/>
              </w:rPr>
              <w:t>(Dollars in millions, except per share data)</w:t>
            </w:r>
          </w:p>
        </w:tc>
        <w:tc>
          <w:tcPr>
            <w:tcW w:w="0" w:type="auto"/>
            <w:gridSpan w:val="9"/>
            <w:shd w:val="clear" w:color="auto" w:fill="auto"/>
            <w:tcMar>
              <w:top w:w="40" w:type="dxa"/>
              <w:left w:w="20" w:type="dxa"/>
              <w:bottom w:w="40" w:type="dxa"/>
              <w:right w:w="20" w:type="dxa"/>
            </w:tcMar>
            <w:vAlign w:val="bottom"/>
          </w:tcPr>
          <w:p w14:paraId="4090F2A4"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2A5"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2A6"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2B0"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2A8"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2A9"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2A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2AB"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2A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2AD"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2A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2AF" w14:textId="77777777" w:rsidR="00833634" w:rsidRDefault="00E15D51">
            <w:pPr>
              <w:jc w:val="right"/>
              <w:textAlignment w:val="bottom"/>
            </w:pPr>
            <w:r>
              <w:rPr>
                <w:rFonts w:ascii="Arial" w:eastAsia="宋体" w:hAnsi="Arial" w:cs="Arial"/>
                <w:color w:val="000000"/>
                <w:sz w:val="20"/>
                <w:szCs w:val="20"/>
              </w:rPr>
              <w:t>2019</w:t>
            </w:r>
          </w:p>
        </w:tc>
      </w:tr>
      <w:tr w:rsidR="00833634" w14:paraId="4090F2BD"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2B1" w14:textId="77777777" w:rsidR="00833634" w:rsidRDefault="00E15D51">
            <w:pPr>
              <w:textAlignment w:val="bottom"/>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2B2" w14:textId="77777777" w:rsidR="00833634" w:rsidRDefault="00E15D51">
            <w:pPr>
              <w:jc w:val="right"/>
              <w:textAlignment w:val="bottom"/>
            </w:pPr>
            <w:r>
              <w:rPr>
                <w:rFonts w:ascii="Arial" w:eastAsia="宋体" w:hAnsi="Arial" w:cs="Arial"/>
                <w:b/>
                <w:bCs/>
                <w:color w:val="000000"/>
                <w:sz w:val="20"/>
                <w:szCs w:val="20"/>
              </w:rPr>
              <w:t>$42,854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2B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2B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2B5" w14:textId="77777777" w:rsidR="00833634" w:rsidRDefault="00E15D51">
            <w:pPr>
              <w:jc w:val="right"/>
              <w:textAlignment w:val="bottom"/>
            </w:pPr>
            <w:r>
              <w:rPr>
                <w:rFonts w:ascii="Arial" w:eastAsia="宋体" w:hAnsi="Arial" w:cs="Arial"/>
                <w:color w:val="000000"/>
                <w:sz w:val="20"/>
                <w:szCs w:val="20"/>
              </w:rPr>
              <w:t>$58,648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2B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2B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2B8" w14:textId="77777777" w:rsidR="00833634" w:rsidRDefault="00E15D51">
            <w:pPr>
              <w:jc w:val="right"/>
              <w:textAlignment w:val="bottom"/>
            </w:pPr>
            <w:r>
              <w:rPr>
                <w:rFonts w:ascii="Arial" w:eastAsia="宋体" w:hAnsi="Arial" w:cs="Arial"/>
                <w:b/>
                <w:bCs/>
                <w:color w:val="000000"/>
                <w:sz w:val="20"/>
                <w:szCs w:val="20"/>
              </w:rPr>
              <w:t>$14,139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2B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2B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2BB" w14:textId="77777777" w:rsidR="00833634" w:rsidRDefault="00E15D51">
            <w:pPr>
              <w:jc w:val="right"/>
              <w:textAlignment w:val="bottom"/>
            </w:pPr>
            <w:r>
              <w:rPr>
                <w:rFonts w:ascii="Arial" w:eastAsia="宋体" w:hAnsi="Arial" w:cs="Arial"/>
                <w:color w:val="000000"/>
                <w:sz w:val="20"/>
                <w:szCs w:val="20"/>
              </w:rPr>
              <w:t>$19,980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2BC" w14:textId="77777777" w:rsidR="00833634" w:rsidRDefault="00833634">
            <w:pPr>
              <w:jc w:val="right"/>
              <w:rPr>
                <w:rFonts w:ascii="宋体"/>
              </w:rPr>
            </w:pPr>
          </w:p>
        </w:tc>
      </w:tr>
      <w:tr w:rsidR="00833634" w14:paraId="4090F2C6" w14:textId="77777777">
        <w:trPr>
          <w:trHeight w:val="180"/>
        </w:trPr>
        <w:tc>
          <w:tcPr>
            <w:tcW w:w="0" w:type="auto"/>
            <w:gridSpan w:val="3"/>
            <w:shd w:val="clear" w:color="auto" w:fill="FFFFFF"/>
            <w:tcMar>
              <w:top w:w="0" w:type="dxa"/>
              <w:left w:w="20" w:type="dxa"/>
              <w:bottom w:w="0" w:type="dxa"/>
              <w:right w:w="20" w:type="dxa"/>
            </w:tcMar>
          </w:tcPr>
          <w:p w14:paraId="4090F2B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2B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2C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2C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2C2"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2C3"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2C4"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2C5" w14:textId="77777777" w:rsidR="00833634" w:rsidRDefault="00833634">
            <w:pPr>
              <w:rPr>
                <w:rFonts w:ascii="宋体"/>
              </w:rPr>
            </w:pPr>
          </w:p>
        </w:tc>
      </w:tr>
      <w:tr w:rsidR="00833634" w14:paraId="4090F2CF" w14:textId="77777777">
        <w:tc>
          <w:tcPr>
            <w:tcW w:w="0" w:type="auto"/>
            <w:gridSpan w:val="3"/>
            <w:shd w:val="clear" w:color="auto" w:fill="CCEEFF"/>
            <w:tcMar>
              <w:top w:w="40" w:type="dxa"/>
              <w:left w:w="20" w:type="dxa"/>
              <w:bottom w:w="40" w:type="dxa"/>
              <w:right w:w="20" w:type="dxa"/>
            </w:tcMar>
            <w:vAlign w:val="bottom"/>
          </w:tcPr>
          <w:p w14:paraId="4090F2C7" w14:textId="77777777" w:rsidR="00833634" w:rsidRDefault="00E15D51">
            <w:pPr>
              <w:textAlignment w:val="bottom"/>
            </w:pPr>
            <w:r>
              <w:rPr>
                <w:rFonts w:ascii="Arial" w:eastAsia="宋体" w:hAnsi="Arial" w:cs="Arial"/>
                <w:b/>
                <w:bCs/>
                <w:color w:val="000000"/>
                <w:sz w:val="20"/>
                <w:szCs w:val="20"/>
                <w:u w:val="single"/>
              </w:rPr>
              <w:t>GAAP</w:t>
            </w:r>
          </w:p>
        </w:tc>
        <w:tc>
          <w:tcPr>
            <w:tcW w:w="0" w:type="auto"/>
            <w:gridSpan w:val="3"/>
            <w:shd w:val="clear" w:color="auto" w:fill="CCEEFF"/>
            <w:tcMar>
              <w:top w:w="0" w:type="dxa"/>
              <w:left w:w="20" w:type="dxa"/>
              <w:bottom w:w="0" w:type="dxa"/>
              <w:right w:w="20" w:type="dxa"/>
            </w:tcMar>
          </w:tcPr>
          <w:p w14:paraId="4090F2C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2C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2CA"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2CB"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2CC"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2CD"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2CE" w14:textId="77777777" w:rsidR="00833634" w:rsidRDefault="00833634">
            <w:pPr>
              <w:rPr>
                <w:rFonts w:ascii="宋体"/>
              </w:rPr>
            </w:pPr>
          </w:p>
        </w:tc>
      </w:tr>
      <w:tr w:rsidR="00833634" w14:paraId="4090F2DC" w14:textId="77777777">
        <w:tc>
          <w:tcPr>
            <w:tcW w:w="0" w:type="auto"/>
            <w:gridSpan w:val="3"/>
            <w:shd w:val="clear" w:color="auto" w:fill="FFFFFF"/>
            <w:tcMar>
              <w:top w:w="40" w:type="dxa"/>
              <w:left w:w="20" w:type="dxa"/>
              <w:bottom w:w="40" w:type="dxa"/>
              <w:right w:w="20" w:type="dxa"/>
            </w:tcMar>
            <w:vAlign w:val="bottom"/>
          </w:tcPr>
          <w:p w14:paraId="4090F2D0" w14:textId="77777777" w:rsidR="00833634" w:rsidRDefault="00E15D51">
            <w:pPr>
              <w:textAlignment w:val="bottom"/>
            </w:pPr>
            <w:r>
              <w:rPr>
                <w:rFonts w:ascii="Arial" w:eastAsia="宋体" w:hAnsi="Arial" w:cs="Arial"/>
                <w:b/>
                <w:bCs/>
                <w:color w:val="000000"/>
                <w:sz w:val="20"/>
                <w:szCs w:val="20"/>
              </w:rPr>
              <w:t>(Loss)/earnings from operations</w:t>
            </w:r>
          </w:p>
        </w:tc>
        <w:tc>
          <w:tcPr>
            <w:tcW w:w="0" w:type="auto"/>
            <w:gridSpan w:val="2"/>
            <w:shd w:val="clear" w:color="auto" w:fill="FFFFFF"/>
            <w:tcMar>
              <w:top w:w="40" w:type="dxa"/>
              <w:left w:w="20" w:type="dxa"/>
              <w:bottom w:w="40" w:type="dxa"/>
              <w:right w:w="0" w:type="dxa"/>
            </w:tcMar>
            <w:vAlign w:val="bottom"/>
          </w:tcPr>
          <w:p w14:paraId="4090F2D1" w14:textId="77777777" w:rsidR="00833634" w:rsidRDefault="00E15D51">
            <w:pPr>
              <w:jc w:val="right"/>
              <w:textAlignment w:val="bottom"/>
            </w:pPr>
            <w:r>
              <w:rPr>
                <w:rFonts w:ascii="Arial" w:eastAsia="宋体" w:hAnsi="Arial" w:cs="Arial"/>
                <w:b/>
                <w:bCs/>
                <w:color w:val="000000"/>
                <w:sz w:val="20"/>
                <w:szCs w:val="20"/>
              </w:rPr>
              <w:t>($4,718)</w:t>
            </w:r>
          </w:p>
        </w:tc>
        <w:tc>
          <w:tcPr>
            <w:tcW w:w="0" w:type="auto"/>
            <w:shd w:val="clear" w:color="auto" w:fill="FFFFFF"/>
            <w:tcMar>
              <w:top w:w="40" w:type="dxa"/>
              <w:left w:w="0" w:type="dxa"/>
              <w:bottom w:w="40" w:type="dxa"/>
              <w:right w:w="20" w:type="dxa"/>
            </w:tcMar>
            <w:vAlign w:val="bottom"/>
          </w:tcPr>
          <w:p w14:paraId="4090F2D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2D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2D4" w14:textId="77777777" w:rsidR="00833634" w:rsidRDefault="00E15D51">
            <w:pPr>
              <w:jc w:val="right"/>
              <w:textAlignment w:val="bottom"/>
            </w:pPr>
            <w:r>
              <w:rPr>
                <w:rFonts w:ascii="Arial" w:eastAsia="宋体" w:hAnsi="Arial" w:cs="Arial"/>
                <w:color w:val="000000"/>
                <w:sz w:val="20"/>
                <w:szCs w:val="20"/>
              </w:rPr>
              <w:t>$229 </w:t>
            </w:r>
          </w:p>
        </w:tc>
        <w:tc>
          <w:tcPr>
            <w:tcW w:w="0" w:type="auto"/>
            <w:shd w:val="clear" w:color="auto" w:fill="FFFFFF"/>
            <w:tcMar>
              <w:top w:w="40" w:type="dxa"/>
              <w:left w:w="0" w:type="dxa"/>
              <w:bottom w:w="40" w:type="dxa"/>
              <w:right w:w="20" w:type="dxa"/>
            </w:tcMar>
            <w:vAlign w:val="bottom"/>
          </w:tcPr>
          <w:p w14:paraId="4090F2D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2D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2D7" w14:textId="77777777" w:rsidR="00833634" w:rsidRDefault="00E15D51">
            <w:pPr>
              <w:jc w:val="right"/>
              <w:textAlignment w:val="bottom"/>
            </w:pPr>
            <w:r>
              <w:rPr>
                <w:rFonts w:ascii="Arial" w:eastAsia="宋体" w:hAnsi="Arial" w:cs="Arial"/>
                <w:b/>
                <w:bCs/>
                <w:color w:val="000000"/>
                <w:sz w:val="20"/>
                <w:szCs w:val="20"/>
              </w:rPr>
              <w:t>($401)</w:t>
            </w:r>
          </w:p>
        </w:tc>
        <w:tc>
          <w:tcPr>
            <w:tcW w:w="0" w:type="auto"/>
            <w:shd w:val="clear" w:color="auto" w:fill="FFFFFF"/>
            <w:tcMar>
              <w:top w:w="40" w:type="dxa"/>
              <w:left w:w="0" w:type="dxa"/>
              <w:bottom w:w="40" w:type="dxa"/>
              <w:right w:w="20" w:type="dxa"/>
            </w:tcMar>
            <w:vAlign w:val="bottom"/>
          </w:tcPr>
          <w:p w14:paraId="4090F2D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2D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2DA" w14:textId="77777777" w:rsidR="00833634" w:rsidRDefault="00E15D51">
            <w:pPr>
              <w:jc w:val="right"/>
              <w:textAlignment w:val="bottom"/>
            </w:pPr>
            <w:r>
              <w:rPr>
                <w:rFonts w:ascii="Arial" w:eastAsia="宋体" w:hAnsi="Arial" w:cs="Arial"/>
                <w:color w:val="000000"/>
                <w:sz w:val="20"/>
                <w:szCs w:val="20"/>
              </w:rPr>
              <w:t>$1,259 </w:t>
            </w:r>
          </w:p>
        </w:tc>
        <w:tc>
          <w:tcPr>
            <w:tcW w:w="0" w:type="auto"/>
            <w:shd w:val="clear" w:color="auto" w:fill="FFFFFF"/>
            <w:tcMar>
              <w:top w:w="40" w:type="dxa"/>
              <w:left w:w="0" w:type="dxa"/>
              <w:bottom w:w="40" w:type="dxa"/>
              <w:right w:w="20" w:type="dxa"/>
            </w:tcMar>
            <w:vAlign w:val="bottom"/>
          </w:tcPr>
          <w:p w14:paraId="4090F2DB" w14:textId="77777777" w:rsidR="00833634" w:rsidRDefault="00833634">
            <w:pPr>
              <w:jc w:val="right"/>
              <w:rPr>
                <w:rFonts w:ascii="宋体"/>
              </w:rPr>
            </w:pPr>
          </w:p>
        </w:tc>
      </w:tr>
      <w:tr w:rsidR="00833634" w14:paraId="4090F2E9" w14:textId="77777777">
        <w:tc>
          <w:tcPr>
            <w:tcW w:w="0" w:type="auto"/>
            <w:gridSpan w:val="3"/>
            <w:shd w:val="clear" w:color="auto" w:fill="CCEEFF"/>
            <w:tcMar>
              <w:top w:w="40" w:type="dxa"/>
              <w:left w:w="20" w:type="dxa"/>
              <w:bottom w:w="40" w:type="dxa"/>
              <w:right w:w="20" w:type="dxa"/>
            </w:tcMar>
            <w:vAlign w:val="bottom"/>
          </w:tcPr>
          <w:p w14:paraId="4090F2DD" w14:textId="77777777" w:rsidR="00833634" w:rsidRDefault="00E15D51">
            <w:pPr>
              <w:textAlignment w:val="bottom"/>
            </w:pPr>
            <w:r>
              <w:rPr>
                <w:rFonts w:ascii="Arial" w:eastAsia="宋体" w:hAnsi="Arial" w:cs="Arial"/>
                <w:color w:val="000000"/>
                <w:sz w:val="20"/>
                <w:szCs w:val="20"/>
              </w:rPr>
              <w:t>Operating margins</w:t>
            </w:r>
          </w:p>
        </w:tc>
        <w:tc>
          <w:tcPr>
            <w:tcW w:w="0" w:type="auto"/>
            <w:gridSpan w:val="2"/>
            <w:shd w:val="clear" w:color="auto" w:fill="CCEEFF"/>
            <w:tcMar>
              <w:top w:w="40" w:type="dxa"/>
              <w:left w:w="20" w:type="dxa"/>
              <w:bottom w:w="40" w:type="dxa"/>
              <w:right w:w="0" w:type="dxa"/>
            </w:tcMar>
            <w:vAlign w:val="bottom"/>
          </w:tcPr>
          <w:p w14:paraId="4090F2DE" w14:textId="77777777" w:rsidR="00833634" w:rsidRDefault="00E15D51">
            <w:pPr>
              <w:jc w:val="right"/>
              <w:textAlignment w:val="bottom"/>
            </w:pPr>
            <w:r>
              <w:rPr>
                <w:rFonts w:ascii="Arial" w:eastAsia="宋体" w:hAnsi="Arial" w:cs="Arial"/>
                <w:b/>
                <w:bCs/>
                <w:color w:val="000000"/>
                <w:sz w:val="20"/>
                <w:szCs w:val="20"/>
              </w:rPr>
              <w:t>(11.0)</w:t>
            </w:r>
          </w:p>
        </w:tc>
        <w:tc>
          <w:tcPr>
            <w:tcW w:w="0" w:type="auto"/>
            <w:shd w:val="clear" w:color="auto" w:fill="CCEEFF"/>
            <w:tcMar>
              <w:top w:w="40" w:type="dxa"/>
              <w:left w:w="0" w:type="dxa"/>
              <w:bottom w:w="40" w:type="dxa"/>
              <w:right w:w="20" w:type="dxa"/>
            </w:tcMar>
            <w:vAlign w:val="bottom"/>
          </w:tcPr>
          <w:p w14:paraId="4090F2DF"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4090F2E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2E1" w14:textId="77777777" w:rsidR="00833634" w:rsidRDefault="00E15D51">
            <w:pPr>
              <w:jc w:val="right"/>
              <w:textAlignment w:val="bottom"/>
            </w:pPr>
            <w:r>
              <w:rPr>
                <w:rFonts w:ascii="Arial" w:eastAsia="宋体" w:hAnsi="Arial" w:cs="Arial"/>
                <w:color w:val="000000"/>
                <w:sz w:val="20"/>
                <w:szCs w:val="20"/>
              </w:rPr>
              <w:t>0.4 </w:t>
            </w:r>
          </w:p>
        </w:tc>
        <w:tc>
          <w:tcPr>
            <w:tcW w:w="0" w:type="auto"/>
            <w:shd w:val="clear" w:color="auto" w:fill="CCEEFF"/>
            <w:tcMar>
              <w:top w:w="40" w:type="dxa"/>
              <w:left w:w="0" w:type="dxa"/>
              <w:bottom w:w="40" w:type="dxa"/>
              <w:right w:w="20" w:type="dxa"/>
            </w:tcMar>
            <w:vAlign w:val="bottom"/>
          </w:tcPr>
          <w:p w14:paraId="4090F2E2" w14:textId="77777777" w:rsidR="00833634" w:rsidRDefault="00E15D51">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4090F2E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2E4" w14:textId="77777777" w:rsidR="00833634" w:rsidRDefault="00E15D51">
            <w:pPr>
              <w:jc w:val="right"/>
              <w:textAlignment w:val="bottom"/>
            </w:pPr>
            <w:r>
              <w:rPr>
                <w:rFonts w:ascii="Arial" w:eastAsia="宋体" w:hAnsi="Arial" w:cs="Arial"/>
                <w:b/>
                <w:bCs/>
                <w:color w:val="000000"/>
                <w:sz w:val="20"/>
                <w:szCs w:val="20"/>
              </w:rPr>
              <w:t>(2.8)</w:t>
            </w:r>
          </w:p>
        </w:tc>
        <w:tc>
          <w:tcPr>
            <w:tcW w:w="0" w:type="auto"/>
            <w:shd w:val="clear" w:color="auto" w:fill="CCEEFF"/>
            <w:tcMar>
              <w:top w:w="40" w:type="dxa"/>
              <w:left w:w="0" w:type="dxa"/>
              <w:bottom w:w="40" w:type="dxa"/>
              <w:right w:w="20" w:type="dxa"/>
            </w:tcMar>
            <w:vAlign w:val="bottom"/>
          </w:tcPr>
          <w:p w14:paraId="4090F2E5"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4090F2E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2E7" w14:textId="77777777" w:rsidR="00833634" w:rsidRDefault="00E15D51">
            <w:pPr>
              <w:jc w:val="right"/>
              <w:textAlignment w:val="bottom"/>
            </w:pPr>
            <w:r>
              <w:rPr>
                <w:rFonts w:ascii="Arial" w:eastAsia="宋体" w:hAnsi="Arial" w:cs="Arial"/>
                <w:color w:val="000000"/>
                <w:sz w:val="20"/>
                <w:szCs w:val="20"/>
              </w:rPr>
              <w:t>6.3 </w:t>
            </w:r>
          </w:p>
        </w:tc>
        <w:tc>
          <w:tcPr>
            <w:tcW w:w="0" w:type="auto"/>
            <w:shd w:val="clear" w:color="auto" w:fill="CCEEFF"/>
            <w:tcMar>
              <w:top w:w="40" w:type="dxa"/>
              <w:left w:w="0" w:type="dxa"/>
              <w:bottom w:w="40" w:type="dxa"/>
              <w:right w:w="20" w:type="dxa"/>
            </w:tcMar>
            <w:vAlign w:val="bottom"/>
          </w:tcPr>
          <w:p w14:paraId="4090F2E8" w14:textId="77777777" w:rsidR="00833634" w:rsidRDefault="00E15D51">
            <w:pPr>
              <w:jc w:val="right"/>
              <w:textAlignment w:val="bottom"/>
            </w:pPr>
            <w:r>
              <w:rPr>
                <w:rFonts w:ascii="Arial" w:eastAsia="宋体" w:hAnsi="Arial" w:cs="Arial"/>
                <w:color w:val="000000"/>
                <w:sz w:val="20"/>
                <w:szCs w:val="20"/>
              </w:rPr>
              <w:t>%</w:t>
            </w:r>
          </w:p>
        </w:tc>
      </w:tr>
      <w:tr w:rsidR="00833634" w14:paraId="4090F2F6" w14:textId="77777777">
        <w:tc>
          <w:tcPr>
            <w:tcW w:w="0" w:type="auto"/>
            <w:gridSpan w:val="3"/>
            <w:shd w:val="clear" w:color="auto" w:fill="FFFFFF"/>
            <w:tcMar>
              <w:top w:w="40" w:type="dxa"/>
              <w:left w:w="20" w:type="dxa"/>
              <w:bottom w:w="40" w:type="dxa"/>
              <w:right w:w="20" w:type="dxa"/>
            </w:tcMar>
            <w:vAlign w:val="bottom"/>
          </w:tcPr>
          <w:p w14:paraId="4090F2EA" w14:textId="77777777" w:rsidR="00833634" w:rsidRDefault="00E15D51">
            <w:pPr>
              <w:textAlignment w:val="bottom"/>
            </w:pPr>
            <w:r>
              <w:rPr>
                <w:rFonts w:ascii="Arial" w:eastAsia="宋体" w:hAnsi="Arial" w:cs="Arial"/>
                <w:color w:val="000000"/>
                <w:sz w:val="20"/>
                <w:szCs w:val="20"/>
              </w:rPr>
              <w:t>Effective income tax rate</w:t>
            </w:r>
          </w:p>
        </w:tc>
        <w:tc>
          <w:tcPr>
            <w:tcW w:w="0" w:type="auto"/>
            <w:gridSpan w:val="2"/>
            <w:shd w:val="clear" w:color="auto" w:fill="FFFFFF"/>
            <w:tcMar>
              <w:top w:w="40" w:type="dxa"/>
              <w:left w:w="20" w:type="dxa"/>
              <w:bottom w:w="40" w:type="dxa"/>
              <w:right w:w="0" w:type="dxa"/>
            </w:tcMar>
            <w:vAlign w:val="bottom"/>
          </w:tcPr>
          <w:p w14:paraId="4090F2EB" w14:textId="77777777" w:rsidR="00833634" w:rsidRDefault="00E15D51">
            <w:pPr>
              <w:jc w:val="right"/>
              <w:textAlignment w:val="bottom"/>
            </w:pPr>
            <w:r>
              <w:rPr>
                <w:rFonts w:ascii="Arial" w:eastAsia="宋体" w:hAnsi="Arial" w:cs="Arial"/>
                <w:b/>
                <w:bCs/>
                <w:color w:val="000000"/>
                <w:sz w:val="20"/>
                <w:szCs w:val="20"/>
              </w:rPr>
              <w:t>40.1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2EC"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F2E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2EE" w14:textId="77777777" w:rsidR="00833634" w:rsidRDefault="00E15D51">
            <w:pPr>
              <w:jc w:val="right"/>
              <w:textAlignment w:val="bottom"/>
            </w:pPr>
            <w:r>
              <w:rPr>
                <w:rFonts w:ascii="Arial" w:eastAsia="宋体" w:hAnsi="Arial" w:cs="Arial"/>
                <w:color w:val="000000"/>
                <w:sz w:val="20"/>
                <w:szCs w:val="20"/>
              </w:rPr>
              <w:t>(350.6)</w:t>
            </w:r>
          </w:p>
        </w:tc>
        <w:tc>
          <w:tcPr>
            <w:tcW w:w="0" w:type="auto"/>
            <w:shd w:val="clear" w:color="auto" w:fill="FFFFFF"/>
            <w:tcMar>
              <w:top w:w="40" w:type="dxa"/>
              <w:left w:w="0" w:type="dxa"/>
              <w:bottom w:w="40" w:type="dxa"/>
              <w:right w:w="20" w:type="dxa"/>
            </w:tcMar>
            <w:vAlign w:val="bottom"/>
          </w:tcPr>
          <w:p w14:paraId="4090F2EF" w14:textId="77777777" w:rsidR="00833634" w:rsidRDefault="00E15D51">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4090F2F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2F1" w14:textId="77777777" w:rsidR="00833634" w:rsidRDefault="00E15D51">
            <w:pPr>
              <w:jc w:val="right"/>
              <w:textAlignment w:val="bottom"/>
            </w:pPr>
            <w:r>
              <w:rPr>
                <w:rFonts w:ascii="Arial" w:eastAsia="宋体" w:hAnsi="Arial" w:cs="Arial"/>
                <w:b/>
                <w:bCs/>
                <w:color w:val="000000"/>
                <w:sz w:val="20"/>
                <w:szCs w:val="20"/>
              </w:rPr>
              <w:t>49.6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2F2"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F2F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2F4" w14:textId="77777777" w:rsidR="00833634" w:rsidRDefault="00E15D51">
            <w:pPr>
              <w:jc w:val="right"/>
              <w:textAlignment w:val="bottom"/>
            </w:pPr>
            <w:r>
              <w:rPr>
                <w:rFonts w:ascii="Arial" w:eastAsia="宋体" w:hAnsi="Arial" w:cs="Arial"/>
                <w:color w:val="000000"/>
                <w:sz w:val="20"/>
                <w:szCs w:val="20"/>
              </w:rPr>
              <w:t>0.8 </w:t>
            </w:r>
          </w:p>
        </w:tc>
        <w:tc>
          <w:tcPr>
            <w:tcW w:w="0" w:type="auto"/>
            <w:shd w:val="clear" w:color="auto" w:fill="FFFFFF"/>
            <w:tcMar>
              <w:top w:w="40" w:type="dxa"/>
              <w:left w:w="0" w:type="dxa"/>
              <w:bottom w:w="40" w:type="dxa"/>
              <w:right w:w="20" w:type="dxa"/>
            </w:tcMar>
            <w:vAlign w:val="bottom"/>
          </w:tcPr>
          <w:p w14:paraId="4090F2F5" w14:textId="77777777" w:rsidR="00833634" w:rsidRDefault="00E15D51">
            <w:pPr>
              <w:jc w:val="right"/>
              <w:textAlignment w:val="bottom"/>
            </w:pPr>
            <w:r>
              <w:rPr>
                <w:rFonts w:ascii="Arial" w:eastAsia="宋体" w:hAnsi="Arial" w:cs="Arial"/>
                <w:color w:val="000000"/>
                <w:sz w:val="20"/>
                <w:szCs w:val="20"/>
              </w:rPr>
              <w:t>%</w:t>
            </w:r>
          </w:p>
        </w:tc>
      </w:tr>
      <w:tr w:rsidR="00833634" w14:paraId="4090F2FF" w14:textId="77777777">
        <w:trPr>
          <w:hidden/>
        </w:trPr>
        <w:tc>
          <w:tcPr>
            <w:tcW w:w="0" w:type="auto"/>
            <w:gridSpan w:val="3"/>
            <w:shd w:val="clear" w:color="auto" w:fill="auto"/>
          </w:tcPr>
          <w:p w14:paraId="4090F2F7" w14:textId="77777777" w:rsidR="00833634" w:rsidRDefault="00833634">
            <w:pPr>
              <w:rPr>
                <w:rFonts w:ascii="宋体"/>
                <w:vanish/>
              </w:rPr>
            </w:pPr>
          </w:p>
        </w:tc>
        <w:tc>
          <w:tcPr>
            <w:tcW w:w="0" w:type="auto"/>
            <w:gridSpan w:val="3"/>
            <w:shd w:val="clear" w:color="auto" w:fill="auto"/>
          </w:tcPr>
          <w:p w14:paraId="4090F2F8" w14:textId="77777777" w:rsidR="00833634" w:rsidRDefault="00833634">
            <w:pPr>
              <w:rPr>
                <w:rFonts w:ascii="宋体"/>
                <w:vanish/>
              </w:rPr>
            </w:pPr>
          </w:p>
        </w:tc>
        <w:tc>
          <w:tcPr>
            <w:tcW w:w="0" w:type="auto"/>
            <w:gridSpan w:val="3"/>
            <w:shd w:val="clear" w:color="auto" w:fill="auto"/>
          </w:tcPr>
          <w:p w14:paraId="4090F2F9" w14:textId="77777777" w:rsidR="00833634" w:rsidRDefault="00833634">
            <w:pPr>
              <w:rPr>
                <w:rFonts w:ascii="宋体"/>
                <w:vanish/>
              </w:rPr>
            </w:pPr>
          </w:p>
        </w:tc>
        <w:tc>
          <w:tcPr>
            <w:tcW w:w="0" w:type="auto"/>
            <w:gridSpan w:val="3"/>
            <w:shd w:val="clear" w:color="auto" w:fill="auto"/>
          </w:tcPr>
          <w:p w14:paraId="4090F2FA" w14:textId="77777777" w:rsidR="00833634" w:rsidRDefault="00833634">
            <w:pPr>
              <w:rPr>
                <w:rFonts w:ascii="宋体"/>
                <w:vanish/>
              </w:rPr>
            </w:pPr>
          </w:p>
        </w:tc>
        <w:tc>
          <w:tcPr>
            <w:tcW w:w="0" w:type="auto"/>
            <w:gridSpan w:val="3"/>
            <w:shd w:val="clear" w:color="auto" w:fill="auto"/>
          </w:tcPr>
          <w:p w14:paraId="4090F2FB" w14:textId="77777777" w:rsidR="00833634" w:rsidRDefault="00833634">
            <w:pPr>
              <w:rPr>
                <w:rFonts w:ascii="宋体"/>
                <w:vanish/>
              </w:rPr>
            </w:pPr>
          </w:p>
        </w:tc>
        <w:tc>
          <w:tcPr>
            <w:tcW w:w="0" w:type="auto"/>
            <w:gridSpan w:val="3"/>
            <w:shd w:val="clear" w:color="auto" w:fill="auto"/>
          </w:tcPr>
          <w:p w14:paraId="4090F2FC" w14:textId="77777777" w:rsidR="00833634" w:rsidRDefault="00833634">
            <w:pPr>
              <w:rPr>
                <w:rFonts w:ascii="宋体"/>
                <w:vanish/>
              </w:rPr>
            </w:pPr>
          </w:p>
        </w:tc>
        <w:tc>
          <w:tcPr>
            <w:tcW w:w="0" w:type="auto"/>
            <w:gridSpan w:val="3"/>
            <w:shd w:val="clear" w:color="auto" w:fill="auto"/>
          </w:tcPr>
          <w:p w14:paraId="4090F2FD" w14:textId="77777777" w:rsidR="00833634" w:rsidRDefault="00833634">
            <w:pPr>
              <w:rPr>
                <w:rFonts w:ascii="宋体"/>
                <w:vanish/>
              </w:rPr>
            </w:pPr>
          </w:p>
        </w:tc>
        <w:tc>
          <w:tcPr>
            <w:tcW w:w="0" w:type="auto"/>
            <w:gridSpan w:val="3"/>
            <w:shd w:val="clear" w:color="auto" w:fill="auto"/>
          </w:tcPr>
          <w:p w14:paraId="4090F2FE" w14:textId="77777777" w:rsidR="00833634" w:rsidRDefault="00833634">
            <w:pPr>
              <w:rPr>
                <w:rFonts w:ascii="宋体"/>
                <w:vanish/>
              </w:rPr>
            </w:pPr>
          </w:p>
        </w:tc>
      </w:tr>
      <w:tr w:rsidR="00833634" w14:paraId="4090F308" w14:textId="77777777">
        <w:trPr>
          <w:hidden/>
        </w:trPr>
        <w:tc>
          <w:tcPr>
            <w:tcW w:w="0" w:type="auto"/>
            <w:gridSpan w:val="3"/>
            <w:shd w:val="clear" w:color="auto" w:fill="auto"/>
          </w:tcPr>
          <w:p w14:paraId="4090F300" w14:textId="77777777" w:rsidR="00833634" w:rsidRDefault="00833634">
            <w:pPr>
              <w:rPr>
                <w:rFonts w:ascii="宋体"/>
                <w:vanish/>
              </w:rPr>
            </w:pPr>
          </w:p>
        </w:tc>
        <w:tc>
          <w:tcPr>
            <w:tcW w:w="0" w:type="auto"/>
            <w:gridSpan w:val="3"/>
            <w:shd w:val="clear" w:color="auto" w:fill="auto"/>
          </w:tcPr>
          <w:p w14:paraId="4090F301" w14:textId="77777777" w:rsidR="00833634" w:rsidRDefault="00833634">
            <w:pPr>
              <w:rPr>
                <w:rFonts w:ascii="宋体"/>
                <w:vanish/>
              </w:rPr>
            </w:pPr>
          </w:p>
        </w:tc>
        <w:tc>
          <w:tcPr>
            <w:tcW w:w="0" w:type="auto"/>
            <w:gridSpan w:val="3"/>
            <w:shd w:val="clear" w:color="auto" w:fill="auto"/>
          </w:tcPr>
          <w:p w14:paraId="4090F302" w14:textId="77777777" w:rsidR="00833634" w:rsidRDefault="00833634">
            <w:pPr>
              <w:rPr>
                <w:rFonts w:ascii="宋体"/>
                <w:vanish/>
              </w:rPr>
            </w:pPr>
          </w:p>
        </w:tc>
        <w:tc>
          <w:tcPr>
            <w:tcW w:w="0" w:type="auto"/>
            <w:gridSpan w:val="3"/>
            <w:shd w:val="clear" w:color="auto" w:fill="auto"/>
          </w:tcPr>
          <w:p w14:paraId="4090F303" w14:textId="77777777" w:rsidR="00833634" w:rsidRDefault="00833634">
            <w:pPr>
              <w:rPr>
                <w:rFonts w:ascii="宋体"/>
                <w:vanish/>
              </w:rPr>
            </w:pPr>
          </w:p>
        </w:tc>
        <w:tc>
          <w:tcPr>
            <w:tcW w:w="0" w:type="auto"/>
            <w:gridSpan w:val="3"/>
            <w:shd w:val="clear" w:color="auto" w:fill="auto"/>
          </w:tcPr>
          <w:p w14:paraId="4090F304" w14:textId="77777777" w:rsidR="00833634" w:rsidRDefault="00833634">
            <w:pPr>
              <w:rPr>
                <w:rFonts w:ascii="宋体"/>
                <w:vanish/>
              </w:rPr>
            </w:pPr>
          </w:p>
        </w:tc>
        <w:tc>
          <w:tcPr>
            <w:tcW w:w="0" w:type="auto"/>
            <w:gridSpan w:val="3"/>
            <w:shd w:val="clear" w:color="auto" w:fill="auto"/>
          </w:tcPr>
          <w:p w14:paraId="4090F305" w14:textId="77777777" w:rsidR="00833634" w:rsidRDefault="00833634">
            <w:pPr>
              <w:rPr>
                <w:rFonts w:ascii="宋体"/>
                <w:vanish/>
              </w:rPr>
            </w:pPr>
          </w:p>
        </w:tc>
        <w:tc>
          <w:tcPr>
            <w:tcW w:w="0" w:type="auto"/>
            <w:gridSpan w:val="3"/>
            <w:shd w:val="clear" w:color="auto" w:fill="auto"/>
          </w:tcPr>
          <w:p w14:paraId="4090F306" w14:textId="77777777" w:rsidR="00833634" w:rsidRDefault="00833634">
            <w:pPr>
              <w:rPr>
                <w:rFonts w:ascii="宋体"/>
                <w:vanish/>
              </w:rPr>
            </w:pPr>
          </w:p>
        </w:tc>
        <w:tc>
          <w:tcPr>
            <w:tcW w:w="0" w:type="auto"/>
            <w:gridSpan w:val="3"/>
            <w:shd w:val="clear" w:color="auto" w:fill="auto"/>
          </w:tcPr>
          <w:p w14:paraId="4090F307" w14:textId="77777777" w:rsidR="00833634" w:rsidRDefault="00833634">
            <w:pPr>
              <w:rPr>
                <w:rFonts w:ascii="宋体"/>
                <w:vanish/>
              </w:rPr>
            </w:pPr>
          </w:p>
        </w:tc>
      </w:tr>
      <w:tr w:rsidR="00833634" w14:paraId="4090F315" w14:textId="77777777">
        <w:tc>
          <w:tcPr>
            <w:tcW w:w="0" w:type="auto"/>
            <w:gridSpan w:val="3"/>
            <w:shd w:val="clear" w:color="auto" w:fill="CCEEFF"/>
            <w:tcMar>
              <w:top w:w="40" w:type="dxa"/>
              <w:left w:w="20" w:type="dxa"/>
              <w:bottom w:w="40" w:type="dxa"/>
              <w:right w:w="20" w:type="dxa"/>
            </w:tcMar>
            <w:vAlign w:val="bottom"/>
          </w:tcPr>
          <w:p w14:paraId="4090F309" w14:textId="77777777" w:rsidR="00833634" w:rsidRDefault="00E15D51">
            <w:pPr>
              <w:textAlignment w:val="bottom"/>
            </w:pPr>
            <w:r>
              <w:rPr>
                <w:rFonts w:ascii="Arial" w:eastAsia="宋体" w:hAnsi="Arial" w:cs="Arial"/>
                <w:color w:val="000000"/>
                <w:sz w:val="20"/>
                <w:szCs w:val="20"/>
              </w:rPr>
              <w:t>Net (loss)/earnings attributable to Boeing Shareholders</w:t>
            </w:r>
          </w:p>
        </w:tc>
        <w:tc>
          <w:tcPr>
            <w:tcW w:w="0" w:type="auto"/>
            <w:gridSpan w:val="2"/>
            <w:shd w:val="clear" w:color="auto" w:fill="CCEEFF"/>
            <w:tcMar>
              <w:top w:w="40" w:type="dxa"/>
              <w:left w:w="20" w:type="dxa"/>
              <w:bottom w:w="40" w:type="dxa"/>
              <w:right w:w="0" w:type="dxa"/>
            </w:tcMar>
            <w:vAlign w:val="bottom"/>
          </w:tcPr>
          <w:p w14:paraId="4090F30A" w14:textId="77777777" w:rsidR="00833634" w:rsidRDefault="00E15D51">
            <w:pPr>
              <w:jc w:val="right"/>
              <w:textAlignment w:val="bottom"/>
            </w:pPr>
            <w:r>
              <w:rPr>
                <w:rFonts w:ascii="Arial" w:eastAsia="宋体" w:hAnsi="Arial" w:cs="Arial"/>
                <w:b/>
                <w:bCs/>
                <w:color w:val="000000"/>
                <w:sz w:val="20"/>
                <w:szCs w:val="20"/>
              </w:rPr>
              <w:t>($3,453)</w:t>
            </w:r>
          </w:p>
        </w:tc>
        <w:tc>
          <w:tcPr>
            <w:tcW w:w="0" w:type="auto"/>
            <w:shd w:val="clear" w:color="auto" w:fill="CCEEFF"/>
            <w:tcMar>
              <w:top w:w="40" w:type="dxa"/>
              <w:left w:w="0" w:type="dxa"/>
              <w:bottom w:w="40" w:type="dxa"/>
              <w:right w:w="20" w:type="dxa"/>
            </w:tcMar>
            <w:vAlign w:val="bottom"/>
          </w:tcPr>
          <w:p w14:paraId="4090F30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0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0D" w14:textId="77777777" w:rsidR="00833634" w:rsidRDefault="00E15D51">
            <w:pPr>
              <w:jc w:val="right"/>
              <w:textAlignment w:val="bottom"/>
            </w:pPr>
            <w:r>
              <w:rPr>
                <w:rFonts w:ascii="Arial" w:eastAsia="宋体" w:hAnsi="Arial" w:cs="Arial"/>
                <w:color w:val="000000"/>
                <w:sz w:val="20"/>
                <w:szCs w:val="20"/>
              </w:rPr>
              <w:t>$374 </w:t>
            </w:r>
          </w:p>
        </w:tc>
        <w:tc>
          <w:tcPr>
            <w:tcW w:w="0" w:type="auto"/>
            <w:shd w:val="clear" w:color="auto" w:fill="CCEEFF"/>
            <w:tcMar>
              <w:top w:w="40" w:type="dxa"/>
              <w:left w:w="0" w:type="dxa"/>
              <w:bottom w:w="40" w:type="dxa"/>
              <w:right w:w="20" w:type="dxa"/>
            </w:tcMar>
            <w:vAlign w:val="bottom"/>
          </w:tcPr>
          <w:p w14:paraId="4090F30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0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10" w14:textId="77777777" w:rsidR="00833634" w:rsidRDefault="00E15D51">
            <w:pPr>
              <w:jc w:val="right"/>
              <w:textAlignment w:val="bottom"/>
            </w:pPr>
            <w:r>
              <w:rPr>
                <w:rFonts w:ascii="Arial" w:eastAsia="宋体" w:hAnsi="Arial" w:cs="Arial"/>
                <w:b/>
                <w:bCs/>
                <w:color w:val="000000"/>
                <w:sz w:val="20"/>
                <w:szCs w:val="20"/>
              </w:rPr>
              <w:t>($449)</w:t>
            </w:r>
          </w:p>
        </w:tc>
        <w:tc>
          <w:tcPr>
            <w:tcW w:w="0" w:type="auto"/>
            <w:shd w:val="clear" w:color="auto" w:fill="CCEEFF"/>
            <w:tcMar>
              <w:top w:w="40" w:type="dxa"/>
              <w:left w:w="0" w:type="dxa"/>
              <w:bottom w:w="40" w:type="dxa"/>
              <w:right w:w="20" w:type="dxa"/>
            </w:tcMar>
            <w:vAlign w:val="bottom"/>
          </w:tcPr>
          <w:p w14:paraId="4090F31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1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13" w14:textId="77777777" w:rsidR="00833634" w:rsidRDefault="00E15D51">
            <w:pPr>
              <w:jc w:val="right"/>
              <w:textAlignment w:val="bottom"/>
            </w:pPr>
            <w:r>
              <w:rPr>
                <w:rFonts w:ascii="Arial" w:eastAsia="宋体" w:hAnsi="Arial" w:cs="Arial"/>
                <w:color w:val="000000"/>
                <w:sz w:val="20"/>
                <w:szCs w:val="20"/>
              </w:rPr>
              <w:t>$1,167 </w:t>
            </w:r>
          </w:p>
        </w:tc>
        <w:tc>
          <w:tcPr>
            <w:tcW w:w="0" w:type="auto"/>
            <w:shd w:val="clear" w:color="auto" w:fill="CCEEFF"/>
            <w:tcMar>
              <w:top w:w="40" w:type="dxa"/>
              <w:left w:w="0" w:type="dxa"/>
              <w:bottom w:w="40" w:type="dxa"/>
              <w:right w:w="20" w:type="dxa"/>
            </w:tcMar>
            <w:vAlign w:val="bottom"/>
          </w:tcPr>
          <w:p w14:paraId="4090F314" w14:textId="77777777" w:rsidR="00833634" w:rsidRDefault="00833634">
            <w:pPr>
              <w:jc w:val="right"/>
              <w:rPr>
                <w:rFonts w:ascii="宋体"/>
              </w:rPr>
            </w:pPr>
          </w:p>
        </w:tc>
      </w:tr>
      <w:tr w:rsidR="00833634" w14:paraId="4090F322" w14:textId="77777777">
        <w:tc>
          <w:tcPr>
            <w:tcW w:w="0" w:type="auto"/>
            <w:gridSpan w:val="3"/>
            <w:shd w:val="clear" w:color="auto" w:fill="FFFFFF"/>
            <w:tcMar>
              <w:top w:w="40" w:type="dxa"/>
              <w:left w:w="20" w:type="dxa"/>
              <w:bottom w:w="40" w:type="dxa"/>
              <w:right w:w="20" w:type="dxa"/>
            </w:tcMar>
            <w:vAlign w:val="bottom"/>
          </w:tcPr>
          <w:p w14:paraId="4090F316" w14:textId="77777777" w:rsidR="00833634" w:rsidRDefault="00E15D51">
            <w:pPr>
              <w:textAlignment w:val="bottom"/>
            </w:pPr>
            <w:r>
              <w:rPr>
                <w:rFonts w:ascii="Arial" w:eastAsia="宋体" w:hAnsi="Arial" w:cs="Arial"/>
                <w:b/>
                <w:bCs/>
                <w:color w:val="000000"/>
                <w:sz w:val="20"/>
                <w:szCs w:val="20"/>
              </w:rPr>
              <w:t>Diluted (loss)/earnings per share</w:t>
            </w:r>
          </w:p>
        </w:tc>
        <w:tc>
          <w:tcPr>
            <w:tcW w:w="0" w:type="auto"/>
            <w:gridSpan w:val="2"/>
            <w:shd w:val="clear" w:color="auto" w:fill="FFFFFF"/>
            <w:tcMar>
              <w:top w:w="40" w:type="dxa"/>
              <w:left w:w="20" w:type="dxa"/>
              <w:bottom w:w="40" w:type="dxa"/>
              <w:right w:w="0" w:type="dxa"/>
            </w:tcMar>
            <w:vAlign w:val="bottom"/>
          </w:tcPr>
          <w:p w14:paraId="4090F317" w14:textId="77777777" w:rsidR="00833634" w:rsidRDefault="00E15D51">
            <w:pPr>
              <w:jc w:val="right"/>
              <w:textAlignment w:val="bottom"/>
            </w:pPr>
            <w:r>
              <w:rPr>
                <w:rFonts w:ascii="Arial" w:eastAsia="宋体" w:hAnsi="Arial" w:cs="Arial"/>
                <w:b/>
                <w:bCs/>
                <w:color w:val="000000"/>
                <w:sz w:val="20"/>
                <w:szCs w:val="20"/>
              </w:rPr>
              <w:t>($6.10)</w:t>
            </w:r>
          </w:p>
        </w:tc>
        <w:tc>
          <w:tcPr>
            <w:tcW w:w="0" w:type="auto"/>
            <w:shd w:val="clear" w:color="auto" w:fill="FFFFFF"/>
            <w:tcMar>
              <w:top w:w="40" w:type="dxa"/>
              <w:left w:w="0" w:type="dxa"/>
              <w:bottom w:w="40" w:type="dxa"/>
              <w:right w:w="20" w:type="dxa"/>
            </w:tcMar>
            <w:vAlign w:val="bottom"/>
          </w:tcPr>
          <w:p w14:paraId="4090F31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31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1A" w14:textId="77777777" w:rsidR="00833634" w:rsidRDefault="00E15D51">
            <w:pPr>
              <w:jc w:val="right"/>
              <w:textAlignment w:val="bottom"/>
            </w:pPr>
            <w:r>
              <w:rPr>
                <w:rFonts w:ascii="Arial" w:eastAsia="宋体" w:hAnsi="Arial" w:cs="Arial"/>
                <w:color w:val="000000"/>
                <w:sz w:val="20"/>
                <w:szCs w:val="20"/>
              </w:rPr>
              <w:t>$0.66 </w:t>
            </w:r>
          </w:p>
        </w:tc>
        <w:tc>
          <w:tcPr>
            <w:tcW w:w="0" w:type="auto"/>
            <w:shd w:val="clear" w:color="auto" w:fill="FFFFFF"/>
            <w:tcMar>
              <w:top w:w="40" w:type="dxa"/>
              <w:left w:w="0" w:type="dxa"/>
              <w:bottom w:w="40" w:type="dxa"/>
              <w:right w:w="20" w:type="dxa"/>
            </w:tcMar>
            <w:vAlign w:val="bottom"/>
          </w:tcPr>
          <w:p w14:paraId="4090F31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31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1D" w14:textId="77777777" w:rsidR="00833634" w:rsidRDefault="00E15D51">
            <w:pPr>
              <w:jc w:val="right"/>
              <w:textAlignment w:val="bottom"/>
            </w:pPr>
            <w:r>
              <w:rPr>
                <w:rFonts w:ascii="Arial" w:eastAsia="宋体" w:hAnsi="Arial" w:cs="Arial"/>
                <w:b/>
                <w:bCs/>
                <w:color w:val="000000"/>
                <w:sz w:val="20"/>
                <w:szCs w:val="20"/>
              </w:rPr>
              <w:t>($0.79)</w:t>
            </w:r>
          </w:p>
        </w:tc>
        <w:tc>
          <w:tcPr>
            <w:tcW w:w="0" w:type="auto"/>
            <w:shd w:val="clear" w:color="auto" w:fill="FFFFFF"/>
            <w:tcMar>
              <w:top w:w="40" w:type="dxa"/>
              <w:left w:w="0" w:type="dxa"/>
              <w:bottom w:w="40" w:type="dxa"/>
              <w:right w:w="20" w:type="dxa"/>
            </w:tcMar>
            <w:vAlign w:val="bottom"/>
          </w:tcPr>
          <w:p w14:paraId="4090F31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31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20" w14:textId="77777777" w:rsidR="00833634" w:rsidRDefault="00E15D51">
            <w:pPr>
              <w:jc w:val="right"/>
              <w:textAlignment w:val="bottom"/>
            </w:pPr>
            <w:r>
              <w:rPr>
                <w:rFonts w:ascii="Arial" w:eastAsia="宋体" w:hAnsi="Arial" w:cs="Arial"/>
                <w:color w:val="000000"/>
                <w:sz w:val="20"/>
                <w:szCs w:val="20"/>
              </w:rPr>
              <w:t>$2.05 </w:t>
            </w:r>
          </w:p>
        </w:tc>
        <w:tc>
          <w:tcPr>
            <w:tcW w:w="0" w:type="auto"/>
            <w:shd w:val="clear" w:color="auto" w:fill="FFFFFF"/>
            <w:tcMar>
              <w:top w:w="40" w:type="dxa"/>
              <w:left w:w="0" w:type="dxa"/>
              <w:bottom w:w="40" w:type="dxa"/>
              <w:right w:w="20" w:type="dxa"/>
            </w:tcMar>
            <w:vAlign w:val="bottom"/>
          </w:tcPr>
          <w:p w14:paraId="4090F321" w14:textId="77777777" w:rsidR="00833634" w:rsidRDefault="00833634">
            <w:pPr>
              <w:jc w:val="right"/>
              <w:rPr>
                <w:rFonts w:ascii="宋体"/>
              </w:rPr>
            </w:pPr>
          </w:p>
        </w:tc>
      </w:tr>
      <w:tr w:rsidR="00833634" w14:paraId="4090F32B" w14:textId="77777777">
        <w:trPr>
          <w:trHeight w:val="180"/>
        </w:trPr>
        <w:tc>
          <w:tcPr>
            <w:tcW w:w="0" w:type="auto"/>
            <w:gridSpan w:val="3"/>
            <w:tcBorders>
              <w:top w:val="double" w:sz="6" w:space="0" w:color="000000"/>
            </w:tcBorders>
            <w:shd w:val="clear" w:color="auto" w:fill="CCEEFF"/>
            <w:tcMar>
              <w:top w:w="0" w:type="dxa"/>
              <w:left w:w="20" w:type="dxa"/>
              <w:bottom w:w="0" w:type="dxa"/>
              <w:right w:w="20" w:type="dxa"/>
            </w:tcMar>
          </w:tcPr>
          <w:p w14:paraId="4090F323"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324"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325"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326"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327"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328"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329" w14:textId="77777777" w:rsidR="00833634" w:rsidRDefault="00833634">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tcPr>
          <w:p w14:paraId="4090F32A" w14:textId="77777777" w:rsidR="00833634" w:rsidRDefault="00833634">
            <w:pPr>
              <w:rPr>
                <w:rFonts w:ascii="宋体"/>
              </w:rPr>
            </w:pPr>
          </w:p>
        </w:tc>
      </w:tr>
      <w:tr w:rsidR="00833634" w14:paraId="4090F334" w14:textId="77777777">
        <w:tc>
          <w:tcPr>
            <w:tcW w:w="0" w:type="auto"/>
            <w:gridSpan w:val="3"/>
            <w:shd w:val="clear" w:color="auto" w:fill="FFFFFF"/>
            <w:tcMar>
              <w:top w:w="40" w:type="dxa"/>
              <w:left w:w="20" w:type="dxa"/>
              <w:bottom w:w="40" w:type="dxa"/>
              <w:right w:w="20" w:type="dxa"/>
            </w:tcMar>
            <w:vAlign w:val="bottom"/>
          </w:tcPr>
          <w:p w14:paraId="4090F32C" w14:textId="77777777" w:rsidR="00833634" w:rsidRDefault="00E15D51">
            <w:pPr>
              <w:textAlignment w:val="bottom"/>
            </w:pPr>
            <w:r>
              <w:rPr>
                <w:rFonts w:ascii="Arial" w:eastAsia="宋体" w:hAnsi="Arial" w:cs="Arial"/>
                <w:b/>
                <w:bCs/>
                <w:color w:val="000000"/>
                <w:sz w:val="20"/>
                <w:szCs w:val="20"/>
                <w:u w:val="single"/>
              </w:rPr>
              <w:t xml:space="preserve">Non-GAAP </w:t>
            </w:r>
            <w:r>
              <w:rPr>
                <w:rFonts w:ascii="Arial" w:eastAsia="宋体" w:hAnsi="Arial" w:cs="Arial"/>
                <w:b/>
                <w:bCs/>
                <w:color w:val="000000"/>
                <w:sz w:val="13"/>
                <w:szCs w:val="13"/>
              </w:rPr>
              <w:t>(1)</w:t>
            </w:r>
          </w:p>
        </w:tc>
        <w:tc>
          <w:tcPr>
            <w:tcW w:w="0" w:type="auto"/>
            <w:gridSpan w:val="3"/>
            <w:shd w:val="clear" w:color="auto" w:fill="FFFFFF"/>
            <w:tcMar>
              <w:top w:w="0" w:type="dxa"/>
              <w:left w:w="20" w:type="dxa"/>
              <w:bottom w:w="0" w:type="dxa"/>
              <w:right w:w="20" w:type="dxa"/>
            </w:tcMar>
          </w:tcPr>
          <w:p w14:paraId="4090F32D"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32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32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330"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331"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332"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333" w14:textId="77777777" w:rsidR="00833634" w:rsidRDefault="00833634">
            <w:pPr>
              <w:rPr>
                <w:rFonts w:ascii="宋体"/>
              </w:rPr>
            </w:pPr>
          </w:p>
        </w:tc>
      </w:tr>
      <w:tr w:rsidR="00833634" w14:paraId="4090F341" w14:textId="77777777">
        <w:tc>
          <w:tcPr>
            <w:tcW w:w="0" w:type="auto"/>
            <w:gridSpan w:val="3"/>
            <w:shd w:val="clear" w:color="auto" w:fill="CCEEFF"/>
            <w:tcMar>
              <w:top w:w="40" w:type="dxa"/>
              <w:left w:w="20" w:type="dxa"/>
              <w:bottom w:w="40" w:type="dxa"/>
              <w:right w:w="20" w:type="dxa"/>
            </w:tcMar>
            <w:vAlign w:val="bottom"/>
          </w:tcPr>
          <w:p w14:paraId="4090F335" w14:textId="77777777" w:rsidR="00833634" w:rsidRDefault="00E15D51">
            <w:pPr>
              <w:textAlignment w:val="bottom"/>
            </w:pPr>
            <w:r>
              <w:rPr>
                <w:rFonts w:ascii="Arial" w:eastAsia="宋体" w:hAnsi="Arial" w:cs="Arial"/>
                <w:color w:val="000000"/>
                <w:sz w:val="20"/>
                <w:szCs w:val="20"/>
              </w:rPr>
              <w:t>Core operating (loss)/earnings</w:t>
            </w:r>
          </w:p>
        </w:tc>
        <w:tc>
          <w:tcPr>
            <w:tcW w:w="0" w:type="auto"/>
            <w:gridSpan w:val="2"/>
            <w:shd w:val="clear" w:color="auto" w:fill="CCEEFF"/>
            <w:tcMar>
              <w:top w:w="40" w:type="dxa"/>
              <w:left w:w="20" w:type="dxa"/>
              <w:bottom w:w="40" w:type="dxa"/>
              <w:right w:w="0" w:type="dxa"/>
            </w:tcMar>
            <w:vAlign w:val="bottom"/>
          </w:tcPr>
          <w:p w14:paraId="4090F336" w14:textId="77777777" w:rsidR="00833634" w:rsidRDefault="00E15D51">
            <w:pPr>
              <w:jc w:val="right"/>
              <w:textAlignment w:val="bottom"/>
            </w:pPr>
            <w:r>
              <w:rPr>
                <w:rFonts w:ascii="Arial" w:eastAsia="宋体" w:hAnsi="Arial" w:cs="Arial"/>
                <w:b/>
                <w:bCs/>
                <w:color w:val="000000"/>
                <w:sz w:val="20"/>
                <w:szCs w:val="20"/>
              </w:rPr>
              <w:t>($5,773)</w:t>
            </w:r>
          </w:p>
        </w:tc>
        <w:tc>
          <w:tcPr>
            <w:tcW w:w="0" w:type="auto"/>
            <w:shd w:val="clear" w:color="auto" w:fill="CCEEFF"/>
            <w:tcMar>
              <w:top w:w="40" w:type="dxa"/>
              <w:left w:w="0" w:type="dxa"/>
              <w:bottom w:w="40" w:type="dxa"/>
              <w:right w:w="20" w:type="dxa"/>
            </w:tcMar>
            <w:vAlign w:val="bottom"/>
          </w:tcPr>
          <w:p w14:paraId="4090F33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3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39" w14:textId="77777777" w:rsidR="00833634" w:rsidRDefault="00E15D51">
            <w:pPr>
              <w:jc w:val="right"/>
              <w:textAlignment w:val="bottom"/>
            </w:pPr>
            <w:r>
              <w:rPr>
                <w:rFonts w:ascii="Arial" w:eastAsia="宋体" w:hAnsi="Arial" w:cs="Arial"/>
                <w:color w:val="000000"/>
                <w:sz w:val="20"/>
                <w:szCs w:val="20"/>
              </w:rPr>
              <w:t>($864)</w:t>
            </w:r>
          </w:p>
        </w:tc>
        <w:tc>
          <w:tcPr>
            <w:tcW w:w="0" w:type="auto"/>
            <w:shd w:val="clear" w:color="auto" w:fill="CCEEFF"/>
            <w:tcMar>
              <w:top w:w="40" w:type="dxa"/>
              <w:left w:w="0" w:type="dxa"/>
              <w:bottom w:w="40" w:type="dxa"/>
              <w:right w:w="20" w:type="dxa"/>
            </w:tcMar>
            <w:vAlign w:val="bottom"/>
          </w:tcPr>
          <w:p w14:paraId="4090F33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3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3C" w14:textId="77777777" w:rsidR="00833634" w:rsidRDefault="00E15D51">
            <w:pPr>
              <w:jc w:val="right"/>
              <w:textAlignment w:val="bottom"/>
            </w:pPr>
            <w:r>
              <w:rPr>
                <w:rFonts w:ascii="Arial" w:eastAsia="宋体" w:hAnsi="Arial" w:cs="Arial"/>
                <w:b/>
                <w:bCs/>
                <w:color w:val="000000"/>
                <w:sz w:val="20"/>
                <w:szCs w:val="20"/>
              </w:rPr>
              <w:t>($754)</w:t>
            </w:r>
          </w:p>
        </w:tc>
        <w:tc>
          <w:tcPr>
            <w:tcW w:w="0" w:type="auto"/>
            <w:shd w:val="clear" w:color="auto" w:fill="CCEEFF"/>
            <w:tcMar>
              <w:top w:w="40" w:type="dxa"/>
              <w:left w:w="0" w:type="dxa"/>
              <w:bottom w:w="40" w:type="dxa"/>
              <w:right w:w="20" w:type="dxa"/>
            </w:tcMar>
            <w:vAlign w:val="bottom"/>
          </w:tcPr>
          <w:p w14:paraId="4090F33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3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3F" w14:textId="77777777" w:rsidR="00833634" w:rsidRDefault="00E15D51">
            <w:pPr>
              <w:jc w:val="right"/>
              <w:textAlignment w:val="bottom"/>
            </w:pPr>
            <w:r>
              <w:rPr>
                <w:rFonts w:ascii="Arial" w:eastAsia="宋体" w:hAnsi="Arial" w:cs="Arial"/>
                <w:color w:val="000000"/>
                <w:sz w:val="20"/>
                <w:szCs w:val="20"/>
              </w:rPr>
              <w:t>$895 </w:t>
            </w:r>
          </w:p>
        </w:tc>
        <w:tc>
          <w:tcPr>
            <w:tcW w:w="0" w:type="auto"/>
            <w:shd w:val="clear" w:color="auto" w:fill="CCEEFF"/>
            <w:tcMar>
              <w:top w:w="40" w:type="dxa"/>
              <w:left w:w="0" w:type="dxa"/>
              <w:bottom w:w="40" w:type="dxa"/>
              <w:right w:w="20" w:type="dxa"/>
            </w:tcMar>
            <w:vAlign w:val="bottom"/>
          </w:tcPr>
          <w:p w14:paraId="4090F340" w14:textId="77777777" w:rsidR="00833634" w:rsidRDefault="00833634">
            <w:pPr>
              <w:jc w:val="right"/>
              <w:rPr>
                <w:rFonts w:ascii="宋体"/>
              </w:rPr>
            </w:pPr>
          </w:p>
        </w:tc>
      </w:tr>
      <w:tr w:rsidR="00833634" w14:paraId="4090F34E" w14:textId="77777777">
        <w:tc>
          <w:tcPr>
            <w:tcW w:w="0" w:type="auto"/>
            <w:gridSpan w:val="3"/>
            <w:shd w:val="clear" w:color="auto" w:fill="FFFFFF"/>
            <w:tcMar>
              <w:top w:w="40" w:type="dxa"/>
              <w:left w:w="20" w:type="dxa"/>
              <w:bottom w:w="40" w:type="dxa"/>
              <w:right w:w="20" w:type="dxa"/>
            </w:tcMar>
            <w:vAlign w:val="bottom"/>
          </w:tcPr>
          <w:p w14:paraId="4090F342" w14:textId="77777777" w:rsidR="00833634" w:rsidRDefault="00E15D51">
            <w:pPr>
              <w:textAlignment w:val="bottom"/>
            </w:pPr>
            <w:r>
              <w:rPr>
                <w:rFonts w:ascii="Arial" w:eastAsia="宋体" w:hAnsi="Arial" w:cs="Arial"/>
                <w:color w:val="000000"/>
                <w:sz w:val="20"/>
                <w:szCs w:val="20"/>
              </w:rPr>
              <w:t>Core operating margins</w:t>
            </w:r>
          </w:p>
        </w:tc>
        <w:tc>
          <w:tcPr>
            <w:tcW w:w="0" w:type="auto"/>
            <w:gridSpan w:val="2"/>
            <w:shd w:val="clear" w:color="auto" w:fill="FFFFFF"/>
            <w:tcMar>
              <w:top w:w="40" w:type="dxa"/>
              <w:left w:w="20" w:type="dxa"/>
              <w:bottom w:w="40" w:type="dxa"/>
              <w:right w:w="0" w:type="dxa"/>
            </w:tcMar>
            <w:vAlign w:val="bottom"/>
          </w:tcPr>
          <w:p w14:paraId="4090F343" w14:textId="77777777" w:rsidR="00833634" w:rsidRDefault="00E15D51">
            <w:pPr>
              <w:jc w:val="right"/>
              <w:textAlignment w:val="bottom"/>
            </w:pPr>
            <w:r>
              <w:rPr>
                <w:rFonts w:ascii="Arial" w:eastAsia="宋体" w:hAnsi="Arial" w:cs="Arial"/>
                <w:b/>
                <w:bCs/>
                <w:color w:val="000000"/>
                <w:sz w:val="20"/>
                <w:szCs w:val="20"/>
              </w:rPr>
              <w:t>(13.5)</w:t>
            </w:r>
          </w:p>
        </w:tc>
        <w:tc>
          <w:tcPr>
            <w:tcW w:w="0" w:type="auto"/>
            <w:shd w:val="clear" w:color="auto" w:fill="FFFFFF"/>
            <w:tcMar>
              <w:top w:w="40" w:type="dxa"/>
              <w:left w:w="0" w:type="dxa"/>
              <w:bottom w:w="40" w:type="dxa"/>
              <w:right w:w="20" w:type="dxa"/>
            </w:tcMar>
            <w:vAlign w:val="bottom"/>
          </w:tcPr>
          <w:p w14:paraId="4090F344"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F34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46" w14:textId="77777777" w:rsidR="00833634" w:rsidRDefault="00E15D51">
            <w:pPr>
              <w:jc w:val="right"/>
              <w:textAlignment w:val="bottom"/>
            </w:pPr>
            <w:r>
              <w:rPr>
                <w:rFonts w:ascii="Arial" w:eastAsia="宋体" w:hAnsi="Arial" w:cs="Arial"/>
                <w:color w:val="000000"/>
                <w:sz w:val="20"/>
                <w:szCs w:val="20"/>
              </w:rPr>
              <w:t>(1.5)</w:t>
            </w:r>
          </w:p>
        </w:tc>
        <w:tc>
          <w:tcPr>
            <w:tcW w:w="0" w:type="auto"/>
            <w:shd w:val="clear" w:color="auto" w:fill="FFFFFF"/>
            <w:tcMar>
              <w:top w:w="40" w:type="dxa"/>
              <w:left w:w="0" w:type="dxa"/>
              <w:bottom w:w="40" w:type="dxa"/>
              <w:right w:w="20" w:type="dxa"/>
            </w:tcMar>
            <w:vAlign w:val="bottom"/>
          </w:tcPr>
          <w:p w14:paraId="4090F347" w14:textId="77777777" w:rsidR="00833634" w:rsidRDefault="00E15D51">
            <w:pPr>
              <w:jc w:val="right"/>
              <w:textAlignment w:val="bottom"/>
            </w:pPr>
            <w:r>
              <w:rPr>
                <w:rFonts w:ascii="Arial" w:eastAsia="宋体" w:hAnsi="Arial" w:cs="Arial"/>
                <w:color w:val="000000"/>
                <w:sz w:val="20"/>
                <w:szCs w:val="20"/>
              </w:rPr>
              <w:t>%</w:t>
            </w:r>
          </w:p>
        </w:tc>
        <w:tc>
          <w:tcPr>
            <w:tcW w:w="0" w:type="auto"/>
            <w:gridSpan w:val="3"/>
            <w:shd w:val="clear" w:color="auto" w:fill="FFFFFF"/>
            <w:tcMar>
              <w:top w:w="0" w:type="dxa"/>
              <w:left w:w="20" w:type="dxa"/>
              <w:bottom w:w="0" w:type="dxa"/>
              <w:right w:w="20" w:type="dxa"/>
            </w:tcMar>
          </w:tcPr>
          <w:p w14:paraId="4090F34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49" w14:textId="77777777" w:rsidR="00833634" w:rsidRDefault="00E15D51">
            <w:pPr>
              <w:jc w:val="right"/>
              <w:textAlignment w:val="bottom"/>
            </w:pPr>
            <w:r>
              <w:rPr>
                <w:rFonts w:ascii="Arial" w:eastAsia="宋体" w:hAnsi="Arial" w:cs="Arial"/>
                <w:b/>
                <w:bCs/>
                <w:color w:val="000000"/>
                <w:sz w:val="20"/>
                <w:szCs w:val="20"/>
              </w:rPr>
              <w:t>(5.3)</w:t>
            </w:r>
          </w:p>
        </w:tc>
        <w:tc>
          <w:tcPr>
            <w:tcW w:w="0" w:type="auto"/>
            <w:shd w:val="clear" w:color="auto" w:fill="FFFFFF"/>
            <w:tcMar>
              <w:top w:w="40" w:type="dxa"/>
              <w:left w:w="0" w:type="dxa"/>
              <w:bottom w:w="40" w:type="dxa"/>
              <w:right w:w="20" w:type="dxa"/>
            </w:tcMar>
            <w:vAlign w:val="bottom"/>
          </w:tcPr>
          <w:p w14:paraId="4090F34A"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FFFFFF"/>
            <w:tcMar>
              <w:top w:w="0" w:type="dxa"/>
              <w:left w:w="20" w:type="dxa"/>
              <w:bottom w:w="0" w:type="dxa"/>
              <w:right w:w="20" w:type="dxa"/>
            </w:tcMar>
          </w:tcPr>
          <w:p w14:paraId="4090F34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4C" w14:textId="77777777" w:rsidR="00833634" w:rsidRDefault="00E15D51">
            <w:pPr>
              <w:jc w:val="right"/>
              <w:textAlignment w:val="bottom"/>
            </w:pPr>
            <w:r>
              <w:rPr>
                <w:rFonts w:ascii="Arial" w:eastAsia="宋体" w:hAnsi="Arial" w:cs="Arial"/>
                <w:color w:val="000000"/>
                <w:sz w:val="20"/>
                <w:szCs w:val="20"/>
              </w:rPr>
              <w:t>4.5 </w:t>
            </w:r>
          </w:p>
        </w:tc>
        <w:tc>
          <w:tcPr>
            <w:tcW w:w="0" w:type="auto"/>
            <w:shd w:val="clear" w:color="auto" w:fill="FFFFFF"/>
            <w:tcMar>
              <w:top w:w="40" w:type="dxa"/>
              <w:left w:w="0" w:type="dxa"/>
              <w:bottom w:w="40" w:type="dxa"/>
              <w:right w:w="20" w:type="dxa"/>
            </w:tcMar>
            <w:vAlign w:val="bottom"/>
          </w:tcPr>
          <w:p w14:paraId="4090F34D" w14:textId="77777777" w:rsidR="00833634" w:rsidRDefault="00E15D51">
            <w:pPr>
              <w:jc w:val="right"/>
              <w:textAlignment w:val="bottom"/>
            </w:pPr>
            <w:r>
              <w:rPr>
                <w:rFonts w:ascii="Arial" w:eastAsia="宋体" w:hAnsi="Arial" w:cs="Arial"/>
                <w:color w:val="000000"/>
                <w:sz w:val="20"/>
                <w:szCs w:val="20"/>
              </w:rPr>
              <w:t>%</w:t>
            </w:r>
          </w:p>
        </w:tc>
      </w:tr>
      <w:tr w:rsidR="00833634" w14:paraId="4090F35B"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F34F" w14:textId="77777777" w:rsidR="00833634" w:rsidRDefault="00E15D51">
            <w:pPr>
              <w:textAlignment w:val="bottom"/>
            </w:pPr>
            <w:r>
              <w:rPr>
                <w:rFonts w:ascii="Arial" w:eastAsia="宋体" w:hAnsi="Arial" w:cs="Arial"/>
                <w:color w:val="000000"/>
                <w:sz w:val="20"/>
                <w:szCs w:val="20"/>
              </w:rPr>
              <w:t>Core (loss)/earnings per share</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350" w14:textId="77777777" w:rsidR="00833634" w:rsidRDefault="00E15D51">
            <w:pPr>
              <w:jc w:val="right"/>
              <w:textAlignment w:val="bottom"/>
            </w:pPr>
            <w:r>
              <w:rPr>
                <w:rFonts w:ascii="Arial" w:eastAsia="宋体" w:hAnsi="Arial" w:cs="Arial"/>
                <w:b/>
                <w:bCs/>
                <w:color w:val="000000"/>
                <w:sz w:val="20"/>
                <w:szCs w:val="20"/>
              </w:rPr>
              <w:t>($7.88)</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351" w14:textId="77777777" w:rsidR="00833634" w:rsidRDefault="00833634">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4090F352"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353" w14:textId="77777777" w:rsidR="00833634" w:rsidRDefault="00E15D51">
            <w:pPr>
              <w:jc w:val="right"/>
              <w:textAlignment w:val="bottom"/>
            </w:pPr>
            <w:r>
              <w:rPr>
                <w:rFonts w:ascii="Arial" w:eastAsia="宋体" w:hAnsi="Arial" w:cs="Arial"/>
                <w:color w:val="000000"/>
                <w:sz w:val="20"/>
                <w:szCs w:val="20"/>
              </w:rPr>
              <w:t>($1.13)</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354" w14:textId="77777777" w:rsidR="00833634" w:rsidRDefault="00833634">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4090F355"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356" w14:textId="77777777" w:rsidR="00833634" w:rsidRDefault="00E15D51">
            <w:pPr>
              <w:jc w:val="right"/>
              <w:textAlignment w:val="bottom"/>
            </w:pPr>
            <w:r>
              <w:rPr>
                <w:rFonts w:ascii="Arial" w:eastAsia="宋体" w:hAnsi="Arial" w:cs="Arial"/>
                <w:b/>
                <w:bCs/>
                <w:color w:val="000000"/>
                <w:sz w:val="20"/>
                <w:szCs w:val="20"/>
              </w:rPr>
              <w:t>($1.39)</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357" w14:textId="77777777" w:rsidR="00833634" w:rsidRDefault="00833634">
            <w:pPr>
              <w:jc w:val="right"/>
              <w:rPr>
                <w:rFonts w:ascii="宋体"/>
              </w:rPr>
            </w:pPr>
          </w:p>
        </w:tc>
        <w:tc>
          <w:tcPr>
            <w:tcW w:w="0" w:type="auto"/>
            <w:gridSpan w:val="3"/>
            <w:tcBorders>
              <w:bottom w:val="double" w:sz="6" w:space="0" w:color="000000"/>
            </w:tcBorders>
            <w:shd w:val="clear" w:color="auto" w:fill="CCEEFF"/>
            <w:tcMar>
              <w:top w:w="0" w:type="dxa"/>
              <w:left w:w="20" w:type="dxa"/>
              <w:bottom w:w="0" w:type="dxa"/>
              <w:right w:w="20" w:type="dxa"/>
            </w:tcMar>
          </w:tcPr>
          <w:p w14:paraId="4090F358"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359" w14:textId="77777777" w:rsidR="00833634" w:rsidRDefault="00E15D51">
            <w:pPr>
              <w:jc w:val="right"/>
              <w:textAlignment w:val="bottom"/>
            </w:pPr>
            <w:r>
              <w:rPr>
                <w:rFonts w:ascii="Arial" w:eastAsia="宋体" w:hAnsi="Arial" w:cs="Arial"/>
                <w:color w:val="000000"/>
                <w:sz w:val="20"/>
                <w:szCs w:val="20"/>
              </w:rPr>
              <w:t>$1.45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35A" w14:textId="77777777" w:rsidR="00833634" w:rsidRDefault="00833634">
            <w:pPr>
              <w:jc w:val="right"/>
              <w:rPr>
                <w:rFonts w:ascii="宋体"/>
              </w:rPr>
            </w:pPr>
          </w:p>
        </w:tc>
      </w:tr>
    </w:tbl>
    <w:p w14:paraId="4090F35C" w14:textId="77777777" w:rsidR="00833634" w:rsidRDefault="00E15D51">
      <w:pPr>
        <w:spacing w:after="18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These measures exclude certain components of pension and other postretirement benefit expense. See page 58 for </w:t>
      </w:r>
      <w:r>
        <w:rPr>
          <w:rFonts w:ascii="Arial" w:eastAsia="宋体" w:hAnsi="Arial" w:cs="Arial"/>
          <w:color w:val="000000"/>
          <w:sz w:val="20"/>
          <w:szCs w:val="20"/>
        </w:rPr>
        <w:t>important information about these non-GAAP measures and reconciliations to the most comparable GAAP measures.</w:t>
      </w:r>
    </w:p>
    <w:p w14:paraId="4090F35D" w14:textId="77777777" w:rsidR="00833634" w:rsidRDefault="00E15D51">
      <w:pPr>
        <w:spacing w:after="180"/>
        <w:jc w:val="center"/>
      </w:pPr>
      <w:r>
        <w:rPr>
          <w:rFonts w:ascii="Arial" w:eastAsia="宋体" w:hAnsi="Arial" w:cs="Arial"/>
          <w:color w:val="000000"/>
          <w:sz w:val="18"/>
          <w:szCs w:val="18"/>
        </w:rPr>
        <w:t>40</w:t>
      </w:r>
    </w:p>
    <w:p w14:paraId="4090F35E" w14:textId="77777777" w:rsidR="00833634" w:rsidRDefault="00E15D51">
      <w:r>
        <w:pict w14:anchorId="4090FE48">
          <v:rect id="_x0000_i1066" style="width:415.3pt;height:1.5pt" o:hralign="center" o:hrstd="t" o:hr="t" fillcolor="#a0a0a0" stroked="f"/>
        </w:pict>
      </w:r>
    </w:p>
    <w:p w14:paraId="4090F35F" w14:textId="77777777" w:rsidR="00833634" w:rsidRDefault="00E15D51">
      <w:pPr>
        <w:spacing w:after="180"/>
        <w:jc w:val="both"/>
      </w:pPr>
      <w:hyperlink r:id="rId143" w:anchor="i8d805bfb1e1c4815a1dcd5b6d1e0b117_10" w:history="1">
        <w:r>
          <w:rPr>
            <w:rStyle w:val="a5"/>
            <w:rFonts w:ascii="Arial" w:eastAsia="宋体" w:hAnsi="Arial" w:cs="Arial"/>
            <w:sz w:val="18"/>
            <w:szCs w:val="18"/>
          </w:rPr>
          <w:t>Table of Contents</w:t>
        </w:r>
      </w:hyperlink>
    </w:p>
    <w:p w14:paraId="4090F360" w14:textId="77777777" w:rsidR="00833634" w:rsidRDefault="00E15D51">
      <w:pPr>
        <w:spacing w:after="180"/>
        <w:jc w:val="both"/>
      </w:pPr>
      <w:r>
        <w:rPr>
          <w:rFonts w:ascii="Arial" w:eastAsia="宋体" w:hAnsi="Arial" w:cs="Arial"/>
          <w:b/>
          <w:bCs/>
          <w:color w:val="000000"/>
          <w:sz w:val="20"/>
          <w:szCs w:val="20"/>
        </w:rPr>
        <w:t>Revenues</w:t>
      </w:r>
    </w:p>
    <w:p w14:paraId="4090F361" w14:textId="77777777" w:rsidR="00833634" w:rsidRDefault="00E15D51">
      <w:pPr>
        <w:jc w:val="both"/>
      </w:pPr>
      <w:r>
        <w:rPr>
          <w:rFonts w:ascii="Arial" w:eastAsia="宋体" w:hAnsi="Arial" w:cs="Arial"/>
          <w:color w:val="000000"/>
          <w:sz w:val="20"/>
          <w:szCs w:val="20"/>
        </w:rPr>
        <w:t>The following table summarizes Revenues:</w:t>
      </w:r>
    </w:p>
    <w:tbl>
      <w:tblPr>
        <w:tblW w:w="4992" w:type="pct"/>
        <w:tblCellMar>
          <w:top w:w="15" w:type="dxa"/>
          <w:left w:w="15" w:type="dxa"/>
          <w:bottom w:w="15" w:type="dxa"/>
          <w:right w:w="15" w:type="dxa"/>
        </w:tblCellMar>
        <w:tblLook w:val="04A0" w:firstRow="1" w:lastRow="0" w:firstColumn="1" w:lastColumn="0" w:noHBand="0" w:noVBand="1"/>
      </w:tblPr>
      <w:tblGrid>
        <w:gridCol w:w="59"/>
        <w:gridCol w:w="4162"/>
        <w:gridCol w:w="37"/>
        <w:gridCol w:w="70"/>
        <w:gridCol w:w="834"/>
        <w:gridCol w:w="37"/>
        <w:gridCol w:w="37"/>
        <w:gridCol w:w="37"/>
        <w:gridCol w:w="37"/>
        <w:gridCol w:w="70"/>
        <w:gridCol w:w="823"/>
        <w:gridCol w:w="36"/>
        <w:gridCol w:w="36"/>
        <w:gridCol w:w="36"/>
        <w:gridCol w:w="36"/>
        <w:gridCol w:w="70"/>
        <w:gridCol w:w="825"/>
        <w:gridCol w:w="37"/>
        <w:gridCol w:w="37"/>
        <w:gridCol w:w="37"/>
        <w:gridCol w:w="36"/>
        <w:gridCol w:w="70"/>
        <w:gridCol w:w="828"/>
        <w:gridCol w:w="36"/>
      </w:tblGrid>
      <w:tr w:rsidR="00833634" w14:paraId="4090F37A" w14:textId="77777777">
        <w:tc>
          <w:tcPr>
            <w:tcW w:w="50" w:type="pct"/>
            <w:shd w:val="clear" w:color="auto" w:fill="auto"/>
          </w:tcPr>
          <w:p w14:paraId="4090F362" w14:textId="77777777" w:rsidR="00833634" w:rsidRDefault="00833634">
            <w:pPr>
              <w:rPr>
                <w:rFonts w:ascii="宋体"/>
              </w:rPr>
            </w:pPr>
          </w:p>
        </w:tc>
        <w:tc>
          <w:tcPr>
            <w:tcW w:w="2513" w:type="pct"/>
            <w:shd w:val="clear" w:color="auto" w:fill="auto"/>
          </w:tcPr>
          <w:p w14:paraId="4090F363" w14:textId="77777777" w:rsidR="00833634" w:rsidRDefault="00833634">
            <w:pPr>
              <w:rPr>
                <w:rFonts w:ascii="宋体"/>
              </w:rPr>
            </w:pPr>
          </w:p>
        </w:tc>
        <w:tc>
          <w:tcPr>
            <w:tcW w:w="5" w:type="pct"/>
            <w:shd w:val="clear" w:color="auto" w:fill="auto"/>
          </w:tcPr>
          <w:p w14:paraId="4090F364" w14:textId="77777777" w:rsidR="00833634" w:rsidRDefault="00833634">
            <w:pPr>
              <w:rPr>
                <w:rFonts w:ascii="宋体"/>
              </w:rPr>
            </w:pPr>
          </w:p>
        </w:tc>
        <w:tc>
          <w:tcPr>
            <w:tcW w:w="50" w:type="pct"/>
            <w:shd w:val="clear" w:color="auto" w:fill="auto"/>
          </w:tcPr>
          <w:p w14:paraId="4090F365" w14:textId="77777777" w:rsidR="00833634" w:rsidRDefault="00833634">
            <w:pPr>
              <w:rPr>
                <w:rFonts w:ascii="宋体"/>
              </w:rPr>
            </w:pPr>
          </w:p>
        </w:tc>
        <w:tc>
          <w:tcPr>
            <w:tcW w:w="522" w:type="pct"/>
            <w:shd w:val="clear" w:color="auto" w:fill="auto"/>
          </w:tcPr>
          <w:p w14:paraId="4090F366" w14:textId="77777777" w:rsidR="00833634" w:rsidRDefault="00833634">
            <w:pPr>
              <w:rPr>
                <w:rFonts w:ascii="宋体"/>
              </w:rPr>
            </w:pPr>
          </w:p>
        </w:tc>
        <w:tc>
          <w:tcPr>
            <w:tcW w:w="5" w:type="pct"/>
            <w:shd w:val="clear" w:color="auto" w:fill="auto"/>
          </w:tcPr>
          <w:p w14:paraId="4090F367" w14:textId="77777777" w:rsidR="00833634" w:rsidRDefault="00833634">
            <w:pPr>
              <w:rPr>
                <w:rFonts w:ascii="宋体"/>
              </w:rPr>
            </w:pPr>
          </w:p>
        </w:tc>
        <w:tc>
          <w:tcPr>
            <w:tcW w:w="5" w:type="pct"/>
            <w:shd w:val="clear" w:color="auto" w:fill="auto"/>
          </w:tcPr>
          <w:p w14:paraId="4090F368" w14:textId="77777777" w:rsidR="00833634" w:rsidRDefault="00833634">
            <w:pPr>
              <w:rPr>
                <w:rFonts w:ascii="宋体"/>
              </w:rPr>
            </w:pPr>
          </w:p>
        </w:tc>
        <w:tc>
          <w:tcPr>
            <w:tcW w:w="30" w:type="pct"/>
            <w:shd w:val="clear" w:color="auto" w:fill="auto"/>
          </w:tcPr>
          <w:p w14:paraId="4090F369" w14:textId="77777777" w:rsidR="00833634" w:rsidRDefault="00833634">
            <w:pPr>
              <w:rPr>
                <w:rFonts w:ascii="宋体"/>
              </w:rPr>
            </w:pPr>
          </w:p>
        </w:tc>
        <w:tc>
          <w:tcPr>
            <w:tcW w:w="5" w:type="pct"/>
            <w:shd w:val="clear" w:color="auto" w:fill="auto"/>
          </w:tcPr>
          <w:p w14:paraId="4090F36A" w14:textId="77777777" w:rsidR="00833634" w:rsidRDefault="00833634">
            <w:pPr>
              <w:rPr>
                <w:rFonts w:ascii="宋体"/>
              </w:rPr>
            </w:pPr>
          </w:p>
        </w:tc>
        <w:tc>
          <w:tcPr>
            <w:tcW w:w="50" w:type="pct"/>
            <w:shd w:val="clear" w:color="auto" w:fill="auto"/>
          </w:tcPr>
          <w:p w14:paraId="4090F36B" w14:textId="77777777" w:rsidR="00833634" w:rsidRDefault="00833634">
            <w:pPr>
              <w:rPr>
                <w:rFonts w:ascii="宋体"/>
              </w:rPr>
            </w:pPr>
          </w:p>
        </w:tc>
        <w:tc>
          <w:tcPr>
            <w:tcW w:w="522" w:type="pct"/>
            <w:shd w:val="clear" w:color="auto" w:fill="auto"/>
          </w:tcPr>
          <w:p w14:paraId="4090F36C" w14:textId="77777777" w:rsidR="00833634" w:rsidRDefault="00833634">
            <w:pPr>
              <w:rPr>
                <w:rFonts w:ascii="宋体"/>
              </w:rPr>
            </w:pPr>
          </w:p>
        </w:tc>
        <w:tc>
          <w:tcPr>
            <w:tcW w:w="5" w:type="pct"/>
            <w:shd w:val="clear" w:color="auto" w:fill="auto"/>
          </w:tcPr>
          <w:p w14:paraId="4090F36D" w14:textId="77777777" w:rsidR="00833634" w:rsidRDefault="00833634">
            <w:pPr>
              <w:rPr>
                <w:rFonts w:ascii="宋体"/>
              </w:rPr>
            </w:pPr>
          </w:p>
        </w:tc>
        <w:tc>
          <w:tcPr>
            <w:tcW w:w="5" w:type="pct"/>
            <w:shd w:val="clear" w:color="auto" w:fill="auto"/>
          </w:tcPr>
          <w:p w14:paraId="4090F36E" w14:textId="77777777" w:rsidR="00833634" w:rsidRDefault="00833634">
            <w:pPr>
              <w:rPr>
                <w:rFonts w:ascii="宋体"/>
              </w:rPr>
            </w:pPr>
          </w:p>
        </w:tc>
        <w:tc>
          <w:tcPr>
            <w:tcW w:w="30" w:type="pct"/>
            <w:shd w:val="clear" w:color="auto" w:fill="auto"/>
          </w:tcPr>
          <w:p w14:paraId="4090F36F" w14:textId="77777777" w:rsidR="00833634" w:rsidRDefault="00833634">
            <w:pPr>
              <w:rPr>
                <w:rFonts w:ascii="宋体"/>
              </w:rPr>
            </w:pPr>
          </w:p>
        </w:tc>
        <w:tc>
          <w:tcPr>
            <w:tcW w:w="5" w:type="pct"/>
            <w:shd w:val="clear" w:color="auto" w:fill="auto"/>
          </w:tcPr>
          <w:p w14:paraId="4090F370" w14:textId="77777777" w:rsidR="00833634" w:rsidRDefault="00833634">
            <w:pPr>
              <w:rPr>
                <w:rFonts w:ascii="宋体"/>
              </w:rPr>
            </w:pPr>
          </w:p>
        </w:tc>
        <w:tc>
          <w:tcPr>
            <w:tcW w:w="50" w:type="pct"/>
            <w:shd w:val="clear" w:color="auto" w:fill="auto"/>
          </w:tcPr>
          <w:p w14:paraId="4090F371" w14:textId="77777777" w:rsidR="00833634" w:rsidRDefault="00833634">
            <w:pPr>
              <w:rPr>
                <w:rFonts w:ascii="宋体"/>
              </w:rPr>
            </w:pPr>
          </w:p>
        </w:tc>
        <w:tc>
          <w:tcPr>
            <w:tcW w:w="522" w:type="pct"/>
            <w:shd w:val="clear" w:color="auto" w:fill="auto"/>
          </w:tcPr>
          <w:p w14:paraId="4090F372" w14:textId="77777777" w:rsidR="00833634" w:rsidRDefault="00833634">
            <w:pPr>
              <w:rPr>
                <w:rFonts w:ascii="宋体"/>
              </w:rPr>
            </w:pPr>
          </w:p>
        </w:tc>
        <w:tc>
          <w:tcPr>
            <w:tcW w:w="5" w:type="pct"/>
            <w:shd w:val="clear" w:color="auto" w:fill="auto"/>
          </w:tcPr>
          <w:p w14:paraId="4090F373" w14:textId="77777777" w:rsidR="00833634" w:rsidRDefault="00833634">
            <w:pPr>
              <w:rPr>
                <w:rFonts w:ascii="宋体"/>
              </w:rPr>
            </w:pPr>
          </w:p>
        </w:tc>
        <w:tc>
          <w:tcPr>
            <w:tcW w:w="5" w:type="pct"/>
            <w:shd w:val="clear" w:color="auto" w:fill="auto"/>
          </w:tcPr>
          <w:p w14:paraId="4090F374" w14:textId="77777777" w:rsidR="00833634" w:rsidRDefault="00833634">
            <w:pPr>
              <w:rPr>
                <w:rFonts w:ascii="宋体"/>
              </w:rPr>
            </w:pPr>
          </w:p>
        </w:tc>
        <w:tc>
          <w:tcPr>
            <w:tcW w:w="30" w:type="pct"/>
            <w:shd w:val="clear" w:color="auto" w:fill="auto"/>
          </w:tcPr>
          <w:p w14:paraId="4090F375" w14:textId="77777777" w:rsidR="00833634" w:rsidRDefault="00833634">
            <w:pPr>
              <w:rPr>
                <w:rFonts w:ascii="宋体"/>
              </w:rPr>
            </w:pPr>
          </w:p>
        </w:tc>
        <w:tc>
          <w:tcPr>
            <w:tcW w:w="5" w:type="pct"/>
            <w:shd w:val="clear" w:color="auto" w:fill="auto"/>
          </w:tcPr>
          <w:p w14:paraId="4090F376" w14:textId="77777777" w:rsidR="00833634" w:rsidRDefault="00833634">
            <w:pPr>
              <w:rPr>
                <w:rFonts w:ascii="宋体"/>
              </w:rPr>
            </w:pPr>
          </w:p>
        </w:tc>
        <w:tc>
          <w:tcPr>
            <w:tcW w:w="50" w:type="pct"/>
            <w:shd w:val="clear" w:color="auto" w:fill="auto"/>
          </w:tcPr>
          <w:p w14:paraId="4090F377" w14:textId="77777777" w:rsidR="00833634" w:rsidRDefault="00833634">
            <w:pPr>
              <w:rPr>
                <w:rFonts w:ascii="宋体"/>
              </w:rPr>
            </w:pPr>
          </w:p>
        </w:tc>
        <w:tc>
          <w:tcPr>
            <w:tcW w:w="523" w:type="pct"/>
            <w:shd w:val="clear" w:color="auto" w:fill="auto"/>
          </w:tcPr>
          <w:p w14:paraId="4090F378" w14:textId="77777777" w:rsidR="00833634" w:rsidRDefault="00833634">
            <w:pPr>
              <w:rPr>
                <w:rFonts w:ascii="宋体"/>
              </w:rPr>
            </w:pPr>
          </w:p>
        </w:tc>
        <w:tc>
          <w:tcPr>
            <w:tcW w:w="5" w:type="pct"/>
            <w:shd w:val="clear" w:color="auto" w:fill="auto"/>
          </w:tcPr>
          <w:p w14:paraId="4090F379" w14:textId="77777777" w:rsidR="00833634" w:rsidRDefault="00833634">
            <w:pPr>
              <w:rPr>
                <w:rFonts w:ascii="宋体"/>
              </w:rPr>
            </w:pPr>
          </w:p>
        </w:tc>
      </w:tr>
      <w:tr w:rsidR="00833634" w14:paraId="4090F37F" w14:textId="77777777">
        <w:tc>
          <w:tcPr>
            <w:tcW w:w="0" w:type="auto"/>
            <w:gridSpan w:val="3"/>
            <w:shd w:val="clear" w:color="auto" w:fill="auto"/>
            <w:tcMar>
              <w:top w:w="40" w:type="dxa"/>
              <w:left w:w="20" w:type="dxa"/>
              <w:bottom w:w="40" w:type="dxa"/>
              <w:right w:w="20" w:type="dxa"/>
            </w:tcMar>
            <w:vAlign w:val="bottom"/>
          </w:tcPr>
          <w:p w14:paraId="4090F37B"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37C"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37D"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37E"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388"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38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381"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38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383"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384"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385"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386"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387" w14:textId="77777777" w:rsidR="00833634" w:rsidRDefault="00E15D51">
            <w:pPr>
              <w:jc w:val="right"/>
              <w:textAlignment w:val="bottom"/>
            </w:pPr>
            <w:r>
              <w:rPr>
                <w:rFonts w:ascii="Arial" w:eastAsia="宋体" w:hAnsi="Arial" w:cs="Arial"/>
                <w:color w:val="000000"/>
                <w:sz w:val="20"/>
                <w:szCs w:val="20"/>
              </w:rPr>
              <w:t>2019</w:t>
            </w:r>
          </w:p>
        </w:tc>
      </w:tr>
      <w:tr w:rsidR="00833634" w14:paraId="4090F395"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389" w14:textId="77777777" w:rsidR="00833634" w:rsidRDefault="00E15D51">
            <w:pPr>
              <w:textAlignment w:val="bottom"/>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38A" w14:textId="77777777" w:rsidR="00833634" w:rsidRDefault="00E15D51">
            <w:pPr>
              <w:jc w:val="right"/>
              <w:textAlignment w:val="bottom"/>
            </w:pPr>
            <w:r>
              <w:rPr>
                <w:rFonts w:ascii="Arial" w:eastAsia="宋体" w:hAnsi="Arial" w:cs="Arial"/>
                <w:b/>
                <w:bCs/>
                <w:color w:val="000000"/>
                <w:sz w:val="20"/>
                <w:szCs w:val="20"/>
              </w:rPr>
              <w:t>$11,434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38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38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38D" w14:textId="77777777" w:rsidR="00833634" w:rsidRDefault="00E15D51">
            <w:pPr>
              <w:jc w:val="right"/>
              <w:textAlignment w:val="bottom"/>
            </w:pPr>
            <w:r>
              <w:rPr>
                <w:rFonts w:ascii="Arial" w:eastAsia="宋体" w:hAnsi="Arial" w:cs="Arial"/>
                <w:color w:val="000000"/>
                <w:sz w:val="20"/>
                <w:szCs w:val="20"/>
              </w:rPr>
              <w:t>$24,793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38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38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390" w14:textId="77777777" w:rsidR="00833634" w:rsidRDefault="00E15D51">
            <w:pPr>
              <w:jc w:val="right"/>
              <w:textAlignment w:val="bottom"/>
            </w:pPr>
            <w:r>
              <w:rPr>
                <w:rFonts w:ascii="Arial" w:eastAsia="宋体" w:hAnsi="Arial" w:cs="Arial"/>
                <w:b/>
                <w:bCs/>
                <w:color w:val="000000"/>
                <w:sz w:val="20"/>
                <w:szCs w:val="20"/>
              </w:rPr>
              <w:t>$3,596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39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39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393" w14:textId="77777777" w:rsidR="00833634" w:rsidRDefault="00E15D51">
            <w:pPr>
              <w:jc w:val="right"/>
              <w:textAlignment w:val="bottom"/>
            </w:pPr>
            <w:r>
              <w:rPr>
                <w:rFonts w:ascii="Arial" w:eastAsia="宋体" w:hAnsi="Arial" w:cs="Arial"/>
                <w:color w:val="000000"/>
                <w:sz w:val="20"/>
                <w:szCs w:val="20"/>
              </w:rPr>
              <w:t>$8,249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394" w14:textId="77777777" w:rsidR="00833634" w:rsidRDefault="00833634">
            <w:pPr>
              <w:jc w:val="right"/>
              <w:rPr>
                <w:rFonts w:ascii="宋体"/>
              </w:rPr>
            </w:pPr>
          </w:p>
        </w:tc>
      </w:tr>
      <w:tr w:rsidR="00833634" w14:paraId="4090F3A2" w14:textId="77777777">
        <w:tc>
          <w:tcPr>
            <w:tcW w:w="0" w:type="auto"/>
            <w:gridSpan w:val="3"/>
            <w:shd w:val="clear" w:color="auto" w:fill="FFFFFF"/>
            <w:tcMar>
              <w:top w:w="40" w:type="dxa"/>
              <w:left w:w="20" w:type="dxa"/>
              <w:bottom w:w="40" w:type="dxa"/>
              <w:right w:w="20" w:type="dxa"/>
            </w:tcMar>
            <w:vAlign w:val="bottom"/>
          </w:tcPr>
          <w:p w14:paraId="4090F396" w14:textId="77777777" w:rsidR="00833634" w:rsidRDefault="00E15D51">
            <w:pPr>
              <w:textAlignment w:val="bottom"/>
            </w:pPr>
            <w:r>
              <w:rPr>
                <w:rFonts w:ascii="Arial" w:eastAsia="宋体" w:hAnsi="Arial" w:cs="Arial"/>
                <w:color w:val="000000"/>
                <w:sz w:val="20"/>
                <w:szCs w:val="20"/>
              </w:rPr>
              <w:t>Defense, Space &amp; Security</w:t>
            </w:r>
          </w:p>
        </w:tc>
        <w:tc>
          <w:tcPr>
            <w:tcW w:w="0" w:type="auto"/>
            <w:gridSpan w:val="2"/>
            <w:shd w:val="clear" w:color="auto" w:fill="auto"/>
            <w:tcMar>
              <w:top w:w="40" w:type="dxa"/>
              <w:left w:w="20" w:type="dxa"/>
              <w:bottom w:w="40" w:type="dxa"/>
              <w:right w:w="0" w:type="dxa"/>
            </w:tcMar>
            <w:vAlign w:val="bottom"/>
          </w:tcPr>
          <w:p w14:paraId="4090F397" w14:textId="77777777" w:rsidR="00833634" w:rsidRDefault="00E15D51">
            <w:pPr>
              <w:jc w:val="right"/>
              <w:textAlignment w:val="bottom"/>
            </w:pPr>
            <w:r>
              <w:rPr>
                <w:rFonts w:ascii="Arial" w:eastAsia="宋体" w:hAnsi="Arial" w:cs="Arial"/>
                <w:b/>
                <w:bCs/>
                <w:color w:val="000000"/>
                <w:sz w:val="20"/>
                <w:szCs w:val="20"/>
              </w:rPr>
              <w:t>19,478</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39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39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9A" w14:textId="77777777" w:rsidR="00833634" w:rsidRDefault="00E15D51">
            <w:pPr>
              <w:jc w:val="right"/>
              <w:textAlignment w:val="bottom"/>
            </w:pPr>
            <w:r>
              <w:rPr>
                <w:rFonts w:ascii="Arial" w:eastAsia="宋体" w:hAnsi="Arial" w:cs="Arial"/>
                <w:color w:val="000000"/>
                <w:sz w:val="20"/>
                <w:szCs w:val="20"/>
              </w:rPr>
              <w:t>20,168 </w:t>
            </w:r>
          </w:p>
        </w:tc>
        <w:tc>
          <w:tcPr>
            <w:tcW w:w="0" w:type="auto"/>
            <w:shd w:val="clear" w:color="auto" w:fill="FFFFFF"/>
            <w:tcMar>
              <w:top w:w="40" w:type="dxa"/>
              <w:left w:w="0" w:type="dxa"/>
              <w:bottom w:w="40" w:type="dxa"/>
              <w:right w:w="20" w:type="dxa"/>
            </w:tcMar>
            <w:vAlign w:val="bottom"/>
          </w:tcPr>
          <w:p w14:paraId="4090F39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39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9D" w14:textId="77777777" w:rsidR="00833634" w:rsidRDefault="00E15D51">
            <w:pPr>
              <w:jc w:val="right"/>
              <w:textAlignment w:val="bottom"/>
            </w:pPr>
            <w:r>
              <w:rPr>
                <w:rFonts w:ascii="Arial" w:eastAsia="宋体" w:hAnsi="Arial" w:cs="Arial"/>
                <w:b/>
                <w:bCs/>
                <w:color w:val="000000"/>
                <w:sz w:val="20"/>
                <w:szCs w:val="20"/>
              </w:rPr>
              <w:t>6,848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39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39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A0" w14:textId="77777777" w:rsidR="00833634" w:rsidRDefault="00E15D51">
            <w:pPr>
              <w:jc w:val="right"/>
              <w:textAlignment w:val="bottom"/>
            </w:pPr>
            <w:r>
              <w:rPr>
                <w:rFonts w:ascii="Arial" w:eastAsia="宋体" w:hAnsi="Arial" w:cs="Arial"/>
                <w:color w:val="000000"/>
                <w:sz w:val="20"/>
                <w:szCs w:val="20"/>
              </w:rPr>
              <w:t>7,002 </w:t>
            </w:r>
          </w:p>
        </w:tc>
        <w:tc>
          <w:tcPr>
            <w:tcW w:w="0" w:type="auto"/>
            <w:shd w:val="clear" w:color="auto" w:fill="FFFFFF"/>
            <w:tcMar>
              <w:top w:w="40" w:type="dxa"/>
              <w:left w:w="0" w:type="dxa"/>
              <w:bottom w:w="40" w:type="dxa"/>
              <w:right w:w="20" w:type="dxa"/>
            </w:tcMar>
            <w:vAlign w:val="bottom"/>
          </w:tcPr>
          <w:p w14:paraId="4090F3A1" w14:textId="77777777" w:rsidR="00833634" w:rsidRDefault="00833634">
            <w:pPr>
              <w:jc w:val="right"/>
              <w:rPr>
                <w:rFonts w:ascii="宋体"/>
              </w:rPr>
            </w:pPr>
          </w:p>
        </w:tc>
      </w:tr>
      <w:tr w:rsidR="00833634" w14:paraId="4090F3AF" w14:textId="77777777">
        <w:tc>
          <w:tcPr>
            <w:tcW w:w="0" w:type="auto"/>
            <w:gridSpan w:val="3"/>
            <w:shd w:val="clear" w:color="auto" w:fill="CCEEFF"/>
            <w:tcMar>
              <w:top w:w="40" w:type="dxa"/>
              <w:left w:w="20" w:type="dxa"/>
              <w:bottom w:w="40" w:type="dxa"/>
              <w:right w:w="20" w:type="dxa"/>
            </w:tcMar>
            <w:vAlign w:val="bottom"/>
          </w:tcPr>
          <w:p w14:paraId="4090F3A3" w14:textId="77777777" w:rsidR="00833634" w:rsidRDefault="00E15D51">
            <w:pPr>
              <w:textAlignment w:val="bottom"/>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4090F3A4" w14:textId="77777777" w:rsidR="00833634" w:rsidRDefault="00E15D51">
            <w:pPr>
              <w:jc w:val="right"/>
              <w:textAlignment w:val="bottom"/>
            </w:pPr>
            <w:r>
              <w:rPr>
                <w:rFonts w:ascii="Arial" w:eastAsia="宋体" w:hAnsi="Arial" w:cs="Arial"/>
                <w:b/>
                <w:bCs/>
                <w:color w:val="000000"/>
                <w:sz w:val="20"/>
                <w:szCs w:val="20"/>
              </w:rPr>
              <w:t>11,810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3A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A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A7" w14:textId="77777777" w:rsidR="00833634" w:rsidRDefault="00E15D51">
            <w:pPr>
              <w:jc w:val="right"/>
              <w:textAlignment w:val="bottom"/>
            </w:pPr>
            <w:r>
              <w:rPr>
                <w:rFonts w:ascii="Arial" w:eastAsia="宋体" w:hAnsi="Arial" w:cs="Arial"/>
                <w:color w:val="000000"/>
                <w:sz w:val="20"/>
                <w:szCs w:val="20"/>
              </w:rPr>
              <w:t>13,820 </w:t>
            </w:r>
          </w:p>
        </w:tc>
        <w:tc>
          <w:tcPr>
            <w:tcW w:w="0" w:type="auto"/>
            <w:shd w:val="clear" w:color="auto" w:fill="CCEEFF"/>
            <w:tcMar>
              <w:top w:w="40" w:type="dxa"/>
              <w:left w:w="0" w:type="dxa"/>
              <w:bottom w:w="40" w:type="dxa"/>
              <w:right w:w="20" w:type="dxa"/>
            </w:tcMar>
            <w:vAlign w:val="bottom"/>
          </w:tcPr>
          <w:p w14:paraId="4090F3A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A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AA" w14:textId="77777777" w:rsidR="00833634" w:rsidRDefault="00E15D51">
            <w:pPr>
              <w:jc w:val="right"/>
              <w:textAlignment w:val="bottom"/>
            </w:pPr>
            <w:r>
              <w:rPr>
                <w:rFonts w:ascii="Arial" w:eastAsia="宋体" w:hAnsi="Arial" w:cs="Arial"/>
                <w:b/>
                <w:bCs/>
                <w:color w:val="000000"/>
                <w:sz w:val="20"/>
                <w:szCs w:val="20"/>
              </w:rPr>
              <w:t>3,694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3A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A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AD" w14:textId="77777777" w:rsidR="00833634" w:rsidRDefault="00E15D51">
            <w:pPr>
              <w:jc w:val="right"/>
              <w:textAlignment w:val="bottom"/>
            </w:pPr>
            <w:r>
              <w:rPr>
                <w:rFonts w:ascii="Arial" w:eastAsia="宋体" w:hAnsi="Arial" w:cs="Arial"/>
                <w:color w:val="000000"/>
                <w:sz w:val="20"/>
                <w:szCs w:val="20"/>
              </w:rPr>
              <w:t>4,658 </w:t>
            </w:r>
          </w:p>
        </w:tc>
        <w:tc>
          <w:tcPr>
            <w:tcW w:w="0" w:type="auto"/>
            <w:shd w:val="clear" w:color="auto" w:fill="CCEEFF"/>
            <w:tcMar>
              <w:top w:w="40" w:type="dxa"/>
              <w:left w:w="0" w:type="dxa"/>
              <w:bottom w:w="40" w:type="dxa"/>
              <w:right w:w="20" w:type="dxa"/>
            </w:tcMar>
            <w:vAlign w:val="bottom"/>
          </w:tcPr>
          <w:p w14:paraId="4090F3AE" w14:textId="77777777" w:rsidR="00833634" w:rsidRDefault="00833634">
            <w:pPr>
              <w:jc w:val="right"/>
              <w:rPr>
                <w:rFonts w:ascii="宋体"/>
              </w:rPr>
            </w:pPr>
          </w:p>
        </w:tc>
      </w:tr>
      <w:tr w:rsidR="00833634" w14:paraId="4090F3BC" w14:textId="77777777">
        <w:tc>
          <w:tcPr>
            <w:tcW w:w="0" w:type="auto"/>
            <w:gridSpan w:val="3"/>
            <w:shd w:val="clear" w:color="auto" w:fill="FFFFFF"/>
            <w:tcMar>
              <w:top w:w="40" w:type="dxa"/>
              <w:left w:w="20" w:type="dxa"/>
              <w:bottom w:w="40" w:type="dxa"/>
              <w:right w:w="20" w:type="dxa"/>
            </w:tcMar>
            <w:vAlign w:val="bottom"/>
          </w:tcPr>
          <w:p w14:paraId="4090F3B0" w14:textId="77777777" w:rsidR="00833634" w:rsidRDefault="00E15D51">
            <w:pPr>
              <w:textAlignment w:val="bottom"/>
            </w:pPr>
            <w:r>
              <w:rPr>
                <w:rFonts w:ascii="Arial" w:eastAsia="宋体" w:hAnsi="Arial" w:cs="Arial"/>
                <w:color w:val="000000"/>
                <w:sz w:val="20"/>
                <w:szCs w:val="20"/>
              </w:rPr>
              <w:t>Boeing Capital</w:t>
            </w:r>
          </w:p>
        </w:tc>
        <w:tc>
          <w:tcPr>
            <w:tcW w:w="0" w:type="auto"/>
            <w:gridSpan w:val="2"/>
            <w:shd w:val="clear" w:color="auto" w:fill="FFFFFF"/>
            <w:tcMar>
              <w:top w:w="40" w:type="dxa"/>
              <w:left w:w="20" w:type="dxa"/>
              <w:bottom w:w="40" w:type="dxa"/>
              <w:right w:w="0" w:type="dxa"/>
            </w:tcMar>
            <w:vAlign w:val="bottom"/>
          </w:tcPr>
          <w:p w14:paraId="4090F3B1" w14:textId="77777777" w:rsidR="00833634" w:rsidRDefault="00E15D51">
            <w:pPr>
              <w:jc w:val="right"/>
              <w:textAlignment w:val="bottom"/>
            </w:pPr>
            <w:r>
              <w:rPr>
                <w:rFonts w:ascii="Arial" w:eastAsia="宋体" w:hAnsi="Arial" w:cs="Arial"/>
                <w:b/>
                <w:bCs/>
                <w:color w:val="000000"/>
                <w:sz w:val="20"/>
                <w:szCs w:val="20"/>
              </w:rPr>
              <w:t>205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3B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3B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B4" w14:textId="77777777" w:rsidR="00833634" w:rsidRDefault="00E15D51">
            <w:pPr>
              <w:jc w:val="right"/>
              <w:textAlignment w:val="bottom"/>
            </w:pPr>
            <w:r>
              <w:rPr>
                <w:rFonts w:ascii="Arial" w:eastAsia="宋体" w:hAnsi="Arial" w:cs="Arial"/>
                <w:color w:val="000000"/>
                <w:sz w:val="20"/>
                <w:szCs w:val="20"/>
              </w:rPr>
              <w:t>207 </w:t>
            </w:r>
          </w:p>
        </w:tc>
        <w:tc>
          <w:tcPr>
            <w:tcW w:w="0" w:type="auto"/>
            <w:shd w:val="clear" w:color="auto" w:fill="FFFFFF"/>
            <w:tcMar>
              <w:top w:w="40" w:type="dxa"/>
              <w:left w:w="0" w:type="dxa"/>
              <w:bottom w:w="40" w:type="dxa"/>
              <w:right w:w="20" w:type="dxa"/>
            </w:tcMar>
            <w:vAlign w:val="bottom"/>
          </w:tcPr>
          <w:p w14:paraId="4090F3B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3B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B7" w14:textId="77777777" w:rsidR="00833634" w:rsidRDefault="00E15D51">
            <w:pPr>
              <w:jc w:val="right"/>
              <w:textAlignment w:val="bottom"/>
            </w:pPr>
            <w:r>
              <w:rPr>
                <w:rFonts w:ascii="Arial" w:eastAsia="宋体" w:hAnsi="Arial" w:cs="Arial"/>
                <w:b/>
                <w:bCs/>
                <w:color w:val="000000"/>
                <w:sz w:val="20"/>
                <w:szCs w:val="20"/>
              </w:rPr>
              <w:t>71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3B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3B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3BA" w14:textId="77777777" w:rsidR="00833634" w:rsidRDefault="00E15D51">
            <w:pPr>
              <w:jc w:val="right"/>
              <w:textAlignment w:val="bottom"/>
            </w:pPr>
            <w:r>
              <w:rPr>
                <w:rFonts w:ascii="Arial" w:eastAsia="宋体" w:hAnsi="Arial" w:cs="Arial"/>
                <w:color w:val="000000"/>
                <w:sz w:val="20"/>
                <w:szCs w:val="20"/>
              </w:rPr>
              <w:t>66 </w:t>
            </w:r>
          </w:p>
        </w:tc>
        <w:tc>
          <w:tcPr>
            <w:tcW w:w="0" w:type="auto"/>
            <w:shd w:val="clear" w:color="auto" w:fill="FFFFFF"/>
            <w:tcMar>
              <w:top w:w="40" w:type="dxa"/>
              <w:left w:w="0" w:type="dxa"/>
              <w:bottom w:w="40" w:type="dxa"/>
              <w:right w:w="20" w:type="dxa"/>
            </w:tcMar>
            <w:vAlign w:val="bottom"/>
          </w:tcPr>
          <w:p w14:paraId="4090F3BB" w14:textId="77777777" w:rsidR="00833634" w:rsidRDefault="00833634">
            <w:pPr>
              <w:jc w:val="right"/>
              <w:rPr>
                <w:rFonts w:ascii="宋体"/>
              </w:rPr>
            </w:pPr>
          </w:p>
        </w:tc>
      </w:tr>
      <w:tr w:rsidR="00833634" w14:paraId="4090F3C9" w14:textId="77777777">
        <w:tc>
          <w:tcPr>
            <w:tcW w:w="0" w:type="auto"/>
            <w:gridSpan w:val="3"/>
            <w:shd w:val="clear" w:color="auto" w:fill="CCEEFF"/>
            <w:tcMar>
              <w:top w:w="40" w:type="dxa"/>
              <w:left w:w="20" w:type="dxa"/>
              <w:bottom w:w="40" w:type="dxa"/>
              <w:right w:w="20" w:type="dxa"/>
            </w:tcMar>
            <w:vAlign w:val="bottom"/>
          </w:tcPr>
          <w:p w14:paraId="4090F3BD" w14:textId="77777777" w:rsidR="00833634" w:rsidRDefault="00E15D51">
            <w:pPr>
              <w:textAlignment w:val="bottom"/>
            </w:pPr>
            <w:r>
              <w:rPr>
                <w:rFonts w:ascii="Arial" w:eastAsia="宋体" w:hAnsi="Arial" w:cs="Arial"/>
                <w:color w:val="000000"/>
                <w:sz w:val="20"/>
                <w:szCs w:val="20"/>
              </w:rPr>
              <w:t>Unallocated items, eliminations and other</w:t>
            </w:r>
          </w:p>
        </w:tc>
        <w:tc>
          <w:tcPr>
            <w:tcW w:w="0" w:type="auto"/>
            <w:gridSpan w:val="2"/>
            <w:shd w:val="clear" w:color="auto" w:fill="CCEEFF"/>
            <w:tcMar>
              <w:top w:w="40" w:type="dxa"/>
              <w:left w:w="20" w:type="dxa"/>
              <w:bottom w:w="40" w:type="dxa"/>
              <w:right w:w="0" w:type="dxa"/>
            </w:tcMar>
            <w:vAlign w:val="bottom"/>
          </w:tcPr>
          <w:p w14:paraId="4090F3BE" w14:textId="77777777" w:rsidR="00833634" w:rsidRDefault="00E15D51">
            <w:pPr>
              <w:jc w:val="right"/>
              <w:textAlignment w:val="bottom"/>
            </w:pPr>
            <w:r>
              <w:rPr>
                <w:rFonts w:ascii="Arial" w:eastAsia="宋体" w:hAnsi="Arial" w:cs="Arial"/>
                <w:b/>
                <w:bCs/>
                <w:color w:val="000000"/>
                <w:sz w:val="20"/>
                <w:szCs w:val="20"/>
              </w:rPr>
              <w:t>(73)</w:t>
            </w:r>
          </w:p>
        </w:tc>
        <w:tc>
          <w:tcPr>
            <w:tcW w:w="0" w:type="auto"/>
            <w:shd w:val="clear" w:color="auto" w:fill="CCEEFF"/>
            <w:tcMar>
              <w:top w:w="40" w:type="dxa"/>
              <w:left w:w="0" w:type="dxa"/>
              <w:bottom w:w="40" w:type="dxa"/>
              <w:right w:w="20" w:type="dxa"/>
            </w:tcMar>
            <w:vAlign w:val="bottom"/>
          </w:tcPr>
          <w:p w14:paraId="4090F3B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C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C1" w14:textId="77777777" w:rsidR="00833634" w:rsidRDefault="00E15D51">
            <w:pPr>
              <w:jc w:val="right"/>
              <w:textAlignment w:val="bottom"/>
            </w:pPr>
            <w:r>
              <w:rPr>
                <w:rFonts w:ascii="Arial" w:eastAsia="宋体" w:hAnsi="Arial" w:cs="Arial"/>
                <w:color w:val="000000"/>
                <w:sz w:val="20"/>
                <w:szCs w:val="20"/>
              </w:rPr>
              <w:t>(340)</w:t>
            </w:r>
          </w:p>
        </w:tc>
        <w:tc>
          <w:tcPr>
            <w:tcW w:w="0" w:type="auto"/>
            <w:shd w:val="clear" w:color="auto" w:fill="CCEEFF"/>
            <w:tcMar>
              <w:top w:w="40" w:type="dxa"/>
              <w:left w:w="0" w:type="dxa"/>
              <w:bottom w:w="40" w:type="dxa"/>
              <w:right w:w="20" w:type="dxa"/>
            </w:tcMar>
            <w:vAlign w:val="bottom"/>
          </w:tcPr>
          <w:p w14:paraId="4090F3C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C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C4" w14:textId="77777777" w:rsidR="00833634" w:rsidRDefault="00E15D51">
            <w:pPr>
              <w:jc w:val="right"/>
              <w:textAlignment w:val="bottom"/>
            </w:pPr>
            <w:r>
              <w:rPr>
                <w:rFonts w:ascii="Arial" w:eastAsia="宋体" w:hAnsi="Arial" w:cs="Arial"/>
                <w:b/>
                <w:bCs/>
                <w:color w:val="000000"/>
                <w:sz w:val="20"/>
                <w:szCs w:val="20"/>
              </w:rPr>
              <w:t>(70)</w:t>
            </w:r>
          </w:p>
        </w:tc>
        <w:tc>
          <w:tcPr>
            <w:tcW w:w="0" w:type="auto"/>
            <w:shd w:val="clear" w:color="auto" w:fill="CCEEFF"/>
            <w:tcMar>
              <w:top w:w="40" w:type="dxa"/>
              <w:left w:w="0" w:type="dxa"/>
              <w:bottom w:w="40" w:type="dxa"/>
              <w:right w:w="20" w:type="dxa"/>
            </w:tcMar>
            <w:vAlign w:val="bottom"/>
          </w:tcPr>
          <w:p w14:paraId="4090F3C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3C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3C7" w14:textId="77777777" w:rsidR="00833634" w:rsidRDefault="00E15D51">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4090F3C8" w14:textId="77777777" w:rsidR="00833634" w:rsidRDefault="00833634">
            <w:pPr>
              <w:jc w:val="right"/>
              <w:rPr>
                <w:rFonts w:ascii="宋体"/>
              </w:rPr>
            </w:pPr>
          </w:p>
        </w:tc>
      </w:tr>
      <w:tr w:rsidR="00833634" w14:paraId="4090F3D6"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F3CA" w14:textId="77777777" w:rsidR="00833634" w:rsidRDefault="00E15D51">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3CB" w14:textId="77777777" w:rsidR="00833634" w:rsidRDefault="00E15D51">
            <w:pPr>
              <w:jc w:val="right"/>
              <w:textAlignment w:val="bottom"/>
            </w:pPr>
            <w:r>
              <w:rPr>
                <w:rFonts w:ascii="Arial" w:eastAsia="宋体" w:hAnsi="Arial" w:cs="Arial"/>
                <w:b/>
                <w:bCs/>
                <w:color w:val="000000"/>
                <w:sz w:val="20"/>
                <w:szCs w:val="20"/>
              </w:rPr>
              <w:t>$42,854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3CC"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3CD"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3CE" w14:textId="77777777" w:rsidR="00833634" w:rsidRDefault="00E15D51">
            <w:pPr>
              <w:jc w:val="right"/>
              <w:textAlignment w:val="bottom"/>
            </w:pPr>
            <w:r>
              <w:rPr>
                <w:rFonts w:ascii="Arial" w:eastAsia="宋体" w:hAnsi="Arial" w:cs="Arial"/>
                <w:color w:val="000000"/>
                <w:sz w:val="20"/>
                <w:szCs w:val="20"/>
              </w:rPr>
              <w:t>$58,648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3CF"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3D0"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3D1" w14:textId="77777777" w:rsidR="00833634" w:rsidRDefault="00E15D51">
            <w:pPr>
              <w:jc w:val="right"/>
              <w:textAlignment w:val="bottom"/>
            </w:pPr>
            <w:r>
              <w:rPr>
                <w:rFonts w:ascii="Arial" w:eastAsia="宋体" w:hAnsi="Arial" w:cs="Arial"/>
                <w:b/>
                <w:bCs/>
                <w:color w:val="000000"/>
                <w:sz w:val="20"/>
                <w:szCs w:val="20"/>
              </w:rPr>
              <w:t>$14,139</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3D2"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3D3"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3D4" w14:textId="77777777" w:rsidR="00833634" w:rsidRDefault="00E15D51">
            <w:pPr>
              <w:jc w:val="right"/>
              <w:textAlignment w:val="bottom"/>
            </w:pPr>
            <w:r>
              <w:rPr>
                <w:rFonts w:ascii="Arial" w:eastAsia="宋体" w:hAnsi="Arial" w:cs="Arial"/>
                <w:color w:val="000000"/>
                <w:sz w:val="20"/>
                <w:szCs w:val="20"/>
              </w:rPr>
              <w:t>$19,980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3D5" w14:textId="77777777" w:rsidR="00833634" w:rsidRDefault="00833634">
            <w:pPr>
              <w:jc w:val="right"/>
              <w:rPr>
                <w:rFonts w:ascii="宋体"/>
              </w:rPr>
            </w:pPr>
          </w:p>
        </w:tc>
      </w:tr>
    </w:tbl>
    <w:p w14:paraId="4090F3D7" w14:textId="77777777" w:rsidR="00833634" w:rsidRDefault="00E15D51">
      <w:pPr>
        <w:spacing w:after="180"/>
        <w:jc w:val="both"/>
      </w:pPr>
      <w:r>
        <w:rPr>
          <w:rFonts w:ascii="Arial" w:eastAsia="宋体" w:hAnsi="Arial" w:cs="Arial"/>
          <w:color w:val="000000"/>
          <w:sz w:val="20"/>
          <w:szCs w:val="20"/>
        </w:rPr>
        <w:t>Revenues for the nine months ended September 30, 2020 decreased by $15,794 million compared with the same period in 2019 primarily due to lower revenues in our commercial airplanes and commercial services busines</w:t>
      </w:r>
      <w:r>
        <w:rPr>
          <w:rFonts w:ascii="Arial" w:eastAsia="宋体" w:hAnsi="Arial" w:cs="Arial"/>
          <w:color w:val="000000"/>
          <w:sz w:val="20"/>
          <w:szCs w:val="20"/>
        </w:rPr>
        <w:t xml:space="preserve">ses. Revenues for each of our segments have been adversely impacted by COVID-19. BCA revenues decreased by $13,359 million due to lower deliveries driven by the impacts of the COVID-19 pandemic and the 737 MAX grounding, offset by lower charges related to </w:t>
      </w:r>
      <w:r>
        <w:rPr>
          <w:rFonts w:ascii="Arial" w:eastAsia="宋体" w:hAnsi="Arial" w:cs="Arial"/>
          <w:color w:val="000000"/>
          <w:sz w:val="20"/>
          <w:szCs w:val="20"/>
        </w:rPr>
        <w:t>estimated potential concessions and other considerations to 737 MAX customers. BDS revenues decreased by $690 million primarily due to the impact of higher unfavorable cumulative contract catch-up adjustments largely due to the KC-46A Tanker charges in the</w:t>
      </w:r>
      <w:r>
        <w:rPr>
          <w:rFonts w:ascii="Arial" w:eastAsia="宋体" w:hAnsi="Arial" w:cs="Arial"/>
          <w:color w:val="000000"/>
          <w:sz w:val="20"/>
          <w:szCs w:val="20"/>
        </w:rPr>
        <w:t xml:space="preserve"> first quarter of 2020. BGS revenues decreased by $2,010 million primarily due to lower commercial services revenue driven by impacts of the COVID-19 pandemic. The changes in Unallocated items, eliminations and other primarily reflect the timing of elimina</w:t>
      </w:r>
      <w:r>
        <w:rPr>
          <w:rFonts w:ascii="Arial" w:eastAsia="宋体" w:hAnsi="Arial" w:cs="Arial"/>
          <w:color w:val="000000"/>
          <w:sz w:val="20"/>
          <w:szCs w:val="20"/>
        </w:rPr>
        <w:t>tions for intercompany aircraft deliveries, as well as reserves related to cost accounting litigation recorded in 2019. We expect the impacts of the COVID-19 pandemic to continue to significantly impact revenues in future quarters until the commercial airl</w:t>
      </w:r>
      <w:r>
        <w:rPr>
          <w:rFonts w:ascii="Arial" w:eastAsia="宋体" w:hAnsi="Arial" w:cs="Arial"/>
          <w:color w:val="000000"/>
          <w:sz w:val="20"/>
          <w:szCs w:val="20"/>
        </w:rPr>
        <w:t>ine industry recovers.</w:t>
      </w:r>
    </w:p>
    <w:p w14:paraId="4090F3D8" w14:textId="77777777" w:rsidR="00833634" w:rsidRDefault="00E15D51">
      <w:pPr>
        <w:spacing w:after="180"/>
        <w:jc w:val="both"/>
      </w:pPr>
      <w:r>
        <w:rPr>
          <w:rFonts w:ascii="Arial" w:eastAsia="宋体" w:hAnsi="Arial" w:cs="Arial"/>
          <w:color w:val="000000"/>
          <w:sz w:val="20"/>
          <w:szCs w:val="20"/>
        </w:rPr>
        <w:t>Revenues for the three months ended September 30, 2020 decreased by $5,841 million compared with the same period in 2019. BCA revenues decreased by $4,653 million primarily due to lower wide-body deliveries driven by the impacts of C</w:t>
      </w:r>
      <w:r>
        <w:rPr>
          <w:rFonts w:ascii="Arial" w:eastAsia="宋体" w:hAnsi="Arial" w:cs="Arial"/>
          <w:color w:val="000000"/>
          <w:sz w:val="20"/>
          <w:szCs w:val="20"/>
        </w:rPr>
        <w:t>OVID-19 and 787 quality issues and associated rework. Revenues in both periods were adversely impacted by the 737 MAX grounding. BDS revenues decreased by $154 million, due to a KC-46A Tanker lot award in the third quarter of 2019, partially offset by high</w:t>
      </w:r>
      <w:r>
        <w:rPr>
          <w:rFonts w:ascii="Arial" w:eastAsia="宋体" w:hAnsi="Arial" w:cs="Arial"/>
          <w:color w:val="000000"/>
          <w:sz w:val="20"/>
          <w:szCs w:val="20"/>
        </w:rPr>
        <w:t>er fighter volume. BGS revenues decreased by $964 million due to lower commercial services revenue driven by impacts of the COVID-19 pandemic.</w:t>
      </w:r>
    </w:p>
    <w:p w14:paraId="4090F3D9" w14:textId="77777777" w:rsidR="00833634" w:rsidRDefault="00E15D51">
      <w:pPr>
        <w:spacing w:after="180"/>
        <w:jc w:val="center"/>
      </w:pPr>
      <w:r>
        <w:rPr>
          <w:rFonts w:ascii="Arial" w:eastAsia="宋体" w:hAnsi="Arial" w:cs="Arial"/>
          <w:color w:val="000000"/>
          <w:sz w:val="18"/>
          <w:szCs w:val="18"/>
        </w:rPr>
        <w:t>41</w:t>
      </w:r>
    </w:p>
    <w:p w14:paraId="4090F3DA" w14:textId="77777777" w:rsidR="00833634" w:rsidRDefault="00E15D51">
      <w:r>
        <w:pict w14:anchorId="4090FE49">
          <v:rect id="_x0000_i1067" style="width:415.3pt;height:1.5pt" o:hralign="center" o:hrstd="t" o:hr="t" fillcolor="#a0a0a0" stroked="f"/>
        </w:pict>
      </w:r>
    </w:p>
    <w:p w14:paraId="4090F3DB" w14:textId="77777777" w:rsidR="00833634" w:rsidRDefault="00E15D51">
      <w:pPr>
        <w:spacing w:after="180"/>
        <w:jc w:val="both"/>
      </w:pPr>
      <w:hyperlink r:id="rId144" w:anchor="i8d805bfb1e1c4815a1dcd5b6d1e0b117_10" w:history="1">
        <w:r>
          <w:rPr>
            <w:rStyle w:val="a5"/>
            <w:rFonts w:ascii="Arial" w:eastAsia="宋体" w:hAnsi="Arial" w:cs="Arial"/>
            <w:sz w:val="18"/>
            <w:szCs w:val="18"/>
          </w:rPr>
          <w:t>Table of Contents</w:t>
        </w:r>
      </w:hyperlink>
    </w:p>
    <w:p w14:paraId="4090F3DC" w14:textId="77777777" w:rsidR="00833634" w:rsidRDefault="00E15D51">
      <w:pPr>
        <w:spacing w:after="180"/>
        <w:jc w:val="both"/>
      </w:pPr>
      <w:r>
        <w:rPr>
          <w:rFonts w:ascii="Arial" w:eastAsia="宋体" w:hAnsi="Arial" w:cs="Arial"/>
          <w:b/>
          <w:bCs/>
          <w:color w:val="000000"/>
          <w:sz w:val="20"/>
          <w:szCs w:val="20"/>
        </w:rPr>
        <w:t>Loss/Earnings From Operations</w:t>
      </w:r>
    </w:p>
    <w:p w14:paraId="4090F3DD" w14:textId="77777777" w:rsidR="00833634" w:rsidRDefault="00E15D51">
      <w:pPr>
        <w:jc w:val="both"/>
      </w:pPr>
      <w:r>
        <w:rPr>
          <w:rFonts w:ascii="Arial" w:eastAsia="宋体" w:hAnsi="Arial" w:cs="Arial"/>
          <w:color w:val="000000"/>
          <w:sz w:val="20"/>
          <w:szCs w:val="20"/>
        </w:rPr>
        <w:t>The following table summarizes (Loss)/earnings from operations:</w:t>
      </w:r>
    </w:p>
    <w:tbl>
      <w:tblPr>
        <w:tblW w:w="4992" w:type="pct"/>
        <w:tblCellMar>
          <w:top w:w="15" w:type="dxa"/>
          <w:left w:w="15" w:type="dxa"/>
          <w:bottom w:w="15" w:type="dxa"/>
          <w:right w:w="15" w:type="dxa"/>
        </w:tblCellMar>
        <w:tblLook w:val="04A0" w:firstRow="1" w:lastRow="0" w:firstColumn="1" w:lastColumn="0" w:noHBand="0" w:noVBand="1"/>
      </w:tblPr>
      <w:tblGrid>
        <w:gridCol w:w="59"/>
        <w:gridCol w:w="4162"/>
        <w:gridCol w:w="39"/>
        <w:gridCol w:w="67"/>
        <w:gridCol w:w="837"/>
        <w:gridCol w:w="37"/>
        <w:gridCol w:w="37"/>
        <w:gridCol w:w="37"/>
        <w:gridCol w:w="37"/>
        <w:gridCol w:w="67"/>
        <w:gridCol w:w="826"/>
        <w:gridCol w:w="36"/>
        <w:gridCol w:w="36"/>
        <w:gridCol w:w="36"/>
        <w:gridCol w:w="36"/>
        <w:gridCol w:w="67"/>
        <w:gridCol w:w="827"/>
        <w:gridCol w:w="37"/>
        <w:gridCol w:w="37"/>
        <w:gridCol w:w="37"/>
        <w:gridCol w:w="36"/>
        <w:gridCol w:w="61"/>
        <w:gridCol w:w="836"/>
        <w:gridCol w:w="36"/>
      </w:tblGrid>
      <w:tr w:rsidR="00833634" w14:paraId="4090F3F6" w14:textId="77777777">
        <w:tc>
          <w:tcPr>
            <w:tcW w:w="50" w:type="pct"/>
            <w:shd w:val="clear" w:color="auto" w:fill="auto"/>
          </w:tcPr>
          <w:p w14:paraId="4090F3DE" w14:textId="77777777" w:rsidR="00833634" w:rsidRDefault="00833634">
            <w:pPr>
              <w:rPr>
                <w:rFonts w:ascii="宋体"/>
              </w:rPr>
            </w:pPr>
          </w:p>
        </w:tc>
        <w:tc>
          <w:tcPr>
            <w:tcW w:w="2513" w:type="pct"/>
            <w:shd w:val="clear" w:color="auto" w:fill="auto"/>
          </w:tcPr>
          <w:p w14:paraId="4090F3DF" w14:textId="77777777" w:rsidR="00833634" w:rsidRDefault="00833634">
            <w:pPr>
              <w:rPr>
                <w:rFonts w:ascii="宋体"/>
              </w:rPr>
            </w:pPr>
          </w:p>
        </w:tc>
        <w:tc>
          <w:tcPr>
            <w:tcW w:w="5" w:type="pct"/>
            <w:shd w:val="clear" w:color="auto" w:fill="auto"/>
          </w:tcPr>
          <w:p w14:paraId="4090F3E0" w14:textId="77777777" w:rsidR="00833634" w:rsidRDefault="00833634">
            <w:pPr>
              <w:rPr>
                <w:rFonts w:ascii="宋体"/>
              </w:rPr>
            </w:pPr>
          </w:p>
        </w:tc>
        <w:tc>
          <w:tcPr>
            <w:tcW w:w="50" w:type="pct"/>
            <w:shd w:val="clear" w:color="auto" w:fill="auto"/>
          </w:tcPr>
          <w:p w14:paraId="4090F3E1" w14:textId="77777777" w:rsidR="00833634" w:rsidRDefault="00833634">
            <w:pPr>
              <w:rPr>
                <w:rFonts w:ascii="宋体"/>
              </w:rPr>
            </w:pPr>
          </w:p>
        </w:tc>
        <w:tc>
          <w:tcPr>
            <w:tcW w:w="522" w:type="pct"/>
            <w:shd w:val="clear" w:color="auto" w:fill="auto"/>
          </w:tcPr>
          <w:p w14:paraId="4090F3E2" w14:textId="77777777" w:rsidR="00833634" w:rsidRDefault="00833634">
            <w:pPr>
              <w:rPr>
                <w:rFonts w:ascii="宋体"/>
              </w:rPr>
            </w:pPr>
          </w:p>
        </w:tc>
        <w:tc>
          <w:tcPr>
            <w:tcW w:w="5" w:type="pct"/>
            <w:shd w:val="clear" w:color="auto" w:fill="auto"/>
          </w:tcPr>
          <w:p w14:paraId="4090F3E3" w14:textId="77777777" w:rsidR="00833634" w:rsidRDefault="00833634">
            <w:pPr>
              <w:rPr>
                <w:rFonts w:ascii="宋体"/>
              </w:rPr>
            </w:pPr>
          </w:p>
        </w:tc>
        <w:tc>
          <w:tcPr>
            <w:tcW w:w="5" w:type="pct"/>
            <w:shd w:val="clear" w:color="auto" w:fill="auto"/>
          </w:tcPr>
          <w:p w14:paraId="4090F3E4" w14:textId="77777777" w:rsidR="00833634" w:rsidRDefault="00833634">
            <w:pPr>
              <w:rPr>
                <w:rFonts w:ascii="宋体"/>
              </w:rPr>
            </w:pPr>
          </w:p>
        </w:tc>
        <w:tc>
          <w:tcPr>
            <w:tcW w:w="30" w:type="pct"/>
            <w:shd w:val="clear" w:color="auto" w:fill="auto"/>
          </w:tcPr>
          <w:p w14:paraId="4090F3E5" w14:textId="77777777" w:rsidR="00833634" w:rsidRDefault="00833634">
            <w:pPr>
              <w:rPr>
                <w:rFonts w:ascii="宋体"/>
              </w:rPr>
            </w:pPr>
          </w:p>
        </w:tc>
        <w:tc>
          <w:tcPr>
            <w:tcW w:w="5" w:type="pct"/>
            <w:shd w:val="clear" w:color="auto" w:fill="auto"/>
          </w:tcPr>
          <w:p w14:paraId="4090F3E6" w14:textId="77777777" w:rsidR="00833634" w:rsidRDefault="00833634">
            <w:pPr>
              <w:rPr>
                <w:rFonts w:ascii="宋体"/>
              </w:rPr>
            </w:pPr>
          </w:p>
        </w:tc>
        <w:tc>
          <w:tcPr>
            <w:tcW w:w="50" w:type="pct"/>
            <w:shd w:val="clear" w:color="auto" w:fill="auto"/>
          </w:tcPr>
          <w:p w14:paraId="4090F3E7" w14:textId="77777777" w:rsidR="00833634" w:rsidRDefault="00833634">
            <w:pPr>
              <w:rPr>
                <w:rFonts w:ascii="宋体"/>
              </w:rPr>
            </w:pPr>
          </w:p>
        </w:tc>
        <w:tc>
          <w:tcPr>
            <w:tcW w:w="522" w:type="pct"/>
            <w:shd w:val="clear" w:color="auto" w:fill="auto"/>
          </w:tcPr>
          <w:p w14:paraId="4090F3E8" w14:textId="77777777" w:rsidR="00833634" w:rsidRDefault="00833634">
            <w:pPr>
              <w:rPr>
                <w:rFonts w:ascii="宋体"/>
              </w:rPr>
            </w:pPr>
          </w:p>
        </w:tc>
        <w:tc>
          <w:tcPr>
            <w:tcW w:w="5" w:type="pct"/>
            <w:shd w:val="clear" w:color="auto" w:fill="auto"/>
          </w:tcPr>
          <w:p w14:paraId="4090F3E9" w14:textId="77777777" w:rsidR="00833634" w:rsidRDefault="00833634">
            <w:pPr>
              <w:rPr>
                <w:rFonts w:ascii="宋体"/>
              </w:rPr>
            </w:pPr>
          </w:p>
        </w:tc>
        <w:tc>
          <w:tcPr>
            <w:tcW w:w="5" w:type="pct"/>
            <w:shd w:val="clear" w:color="auto" w:fill="auto"/>
          </w:tcPr>
          <w:p w14:paraId="4090F3EA" w14:textId="77777777" w:rsidR="00833634" w:rsidRDefault="00833634">
            <w:pPr>
              <w:rPr>
                <w:rFonts w:ascii="宋体"/>
              </w:rPr>
            </w:pPr>
          </w:p>
        </w:tc>
        <w:tc>
          <w:tcPr>
            <w:tcW w:w="30" w:type="pct"/>
            <w:shd w:val="clear" w:color="auto" w:fill="auto"/>
          </w:tcPr>
          <w:p w14:paraId="4090F3EB" w14:textId="77777777" w:rsidR="00833634" w:rsidRDefault="00833634">
            <w:pPr>
              <w:rPr>
                <w:rFonts w:ascii="宋体"/>
              </w:rPr>
            </w:pPr>
          </w:p>
        </w:tc>
        <w:tc>
          <w:tcPr>
            <w:tcW w:w="5" w:type="pct"/>
            <w:shd w:val="clear" w:color="auto" w:fill="auto"/>
          </w:tcPr>
          <w:p w14:paraId="4090F3EC" w14:textId="77777777" w:rsidR="00833634" w:rsidRDefault="00833634">
            <w:pPr>
              <w:rPr>
                <w:rFonts w:ascii="宋体"/>
              </w:rPr>
            </w:pPr>
          </w:p>
        </w:tc>
        <w:tc>
          <w:tcPr>
            <w:tcW w:w="50" w:type="pct"/>
            <w:shd w:val="clear" w:color="auto" w:fill="auto"/>
          </w:tcPr>
          <w:p w14:paraId="4090F3ED" w14:textId="77777777" w:rsidR="00833634" w:rsidRDefault="00833634">
            <w:pPr>
              <w:rPr>
                <w:rFonts w:ascii="宋体"/>
              </w:rPr>
            </w:pPr>
          </w:p>
        </w:tc>
        <w:tc>
          <w:tcPr>
            <w:tcW w:w="522" w:type="pct"/>
            <w:shd w:val="clear" w:color="auto" w:fill="auto"/>
          </w:tcPr>
          <w:p w14:paraId="4090F3EE" w14:textId="77777777" w:rsidR="00833634" w:rsidRDefault="00833634">
            <w:pPr>
              <w:rPr>
                <w:rFonts w:ascii="宋体"/>
              </w:rPr>
            </w:pPr>
          </w:p>
        </w:tc>
        <w:tc>
          <w:tcPr>
            <w:tcW w:w="5" w:type="pct"/>
            <w:shd w:val="clear" w:color="auto" w:fill="auto"/>
          </w:tcPr>
          <w:p w14:paraId="4090F3EF" w14:textId="77777777" w:rsidR="00833634" w:rsidRDefault="00833634">
            <w:pPr>
              <w:rPr>
                <w:rFonts w:ascii="宋体"/>
              </w:rPr>
            </w:pPr>
          </w:p>
        </w:tc>
        <w:tc>
          <w:tcPr>
            <w:tcW w:w="5" w:type="pct"/>
            <w:shd w:val="clear" w:color="auto" w:fill="auto"/>
          </w:tcPr>
          <w:p w14:paraId="4090F3F0" w14:textId="77777777" w:rsidR="00833634" w:rsidRDefault="00833634">
            <w:pPr>
              <w:rPr>
                <w:rFonts w:ascii="宋体"/>
              </w:rPr>
            </w:pPr>
          </w:p>
        </w:tc>
        <w:tc>
          <w:tcPr>
            <w:tcW w:w="30" w:type="pct"/>
            <w:shd w:val="clear" w:color="auto" w:fill="auto"/>
          </w:tcPr>
          <w:p w14:paraId="4090F3F1" w14:textId="77777777" w:rsidR="00833634" w:rsidRDefault="00833634">
            <w:pPr>
              <w:rPr>
                <w:rFonts w:ascii="宋体"/>
              </w:rPr>
            </w:pPr>
          </w:p>
        </w:tc>
        <w:tc>
          <w:tcPr>
            <w:tcW w:w="5" w:type="pct"/>
            <w:shd w:val="clear" w:color="auto" w:fill="auto"/>
          </w:tcPr>
          <w:p w14:paraId="4090F3F2" w14:textId="77777777" w:rsidR="00833634" w:rsidRDefault="00833634">
            <w:pPr>
              <w:rPr>
                <w:rFonts w:ascii="宋体"/>
              </w:rPr>
            </w:pPr>
          </w:p>
        </w:tc>
        <w:tc>
          <w:tcPr>
            <w:tcW w:w="50" w:type="pct"/>
            <w:shd w:val="clear" w:color="auto" w:fill="auto"/>
          </w:tcPr>
          <w:p w14:paraId="4090F3F3" w14:textId="77777777" w:rsidR="00833634" w:rsidRDefault="00833634">
            <w:pPr>
              <w:rPr>
                <w:rFonts w:ascii="宋体"/>
              </w:rPr>
            </w:pPr>
          </w:p>
        </w:tc>
        <w:tc>
          <w:tcPr>
            <w:tcW w:w="523" w:type="pct"/>
            <w:shd w:val="clear" w:color="auto" w:fill="auto"/>
          </w:tcPr>
          <w:p w14:paraId="4090F3F4" w14:textId="77777777" w:rsidR="00833634" w:rsidRDefault="00833634">
            <w:pPr>
              <w:rPr>
                <w:rFonts w:ascii="宋体"/>
              </w:rPr>
            </w:pPr>
          </w:p>
        </w:tc>
        <w:tc>
          <w:tcPr>
            <w:tcW w:w="5" w:type="pct"/>
            <w:shd w:val="clear" w:color="auto" w:fill="auto"/>
          </w:tcPr>
          <w:p w14:paraId="4090F3F5" w14:textId="77777777" w:rsidR="00833634" w:rsidRDefault="00833634">
            <w:pPr>
              <w:rPr>
                <w:rFonts w:ascii="宋体"/>
              </w:rPr>
            </w:pPr>
          </w:p>
        </w:tc>
      </w:tr>
      <w:tr w:rsidR="00833634" w14:paraId="4090F3FB" w14:textId="77777777">
        <w:tc>
          <w:tcPr>
            <w:tcW w:w="0" w:type="auto"/>
            <w:gridSpan w:val="3"/>
            <w:shd w:val="clear" w:color="auto" w:fill="auto"/>
            <w:tcMar>
              <w:top w:w="40" w:type="dxa"/>
              <w:left w:w="20" w:type="dxa"/>
              <w:bottom w:w="40" w:type="dxa"/>
              <w:right w:w="20" w:type="dxa"/>
            </w:tcMar>
            <w:vAlign w:val="bottom"/>
          </w:tcPr>
          <w:p w14:paraId="4090F3F7"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3F8"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3F9"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3FA"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404"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3F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3FD"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3F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3FF"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40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401"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40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403" w14:textId="77777777" w:rsidR="00833634" w:rsidRDefault="00E15D51">
            <w:pPr>
              <w:jc w:val="right"/>
              <w:textAlignment w:val="bottom"/>
            </w:pPr>
            <w:r>
              <w:rPr>
                <w:rFonts w:ascii="Arial" w:eastAsia="宋体" w:hAnsi="Arial" w:cs="Arial"/>
                <w:color w:val="000000"/>
                <w:sz w:val="20"/>
                <w:szCs w:val="20"/>
              </w:rPr>
              <w:t>2019</w:t>
            </w:r>
          </w:p>
        </w:tc>
      </w:tr>
      <w:tr w:rsidR="00833634" w14:paraId="4090F41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405" w14:textId="77777777" w:rsidR="00833634" w:rsidRDefault="00E15D51">
            <w:pPr>
              <w:textAlignment w:val="bottom"/>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06" w14:textId="77777777" w:rsidR="00833634" w:rsidRDefault="00E15D51">
            <w:pPr>
              <w:jc w:val="right"/>
              <w:textAlignment w:val="bottom"/>
            </w:pPr>
            <w:r>
              <w:rPr>
                <w:rFonts w:ascii="Arial" w:eastAsia="宋体" w:hAnsi="Arial" w:cs="Arial"/>
                <w:b/>
                <w:bCs/>
                <w:color w:val="000000"/>
                <w:sz w:val="20"/>
                <w:szCs w:val="20"/>
              </w:rPr>
              <w:t>($6,199)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0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0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09" w14:textId="77777777" w:rsidR="00833634" w:rsidRDefault="00E15D51">
            <w:pPr>
              <w:jc w:val="right"/>
              <w:textAlignment w:val="bottom"/>
            </w:pPr>
            <w:r>
              <w:rPr>
                <w:rFonts w:ascii="Arial" w:eastAsia="宋体" w:hAnsi="Arial" w:cs="Arial"/>
                <w:color w:val="000000"/>
                <w:sz w:val="20"/>
                <w:szCs w:val="20"/>
              </w:rPr>
              <w:t>($3,813)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0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0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0C" w14:textId="77777777" w:rsidR="00833634" w:rsidRDefault="00E15D51">
            <w:pPr>
              <w:jc w:val="right"/>
              <w:textAlignment w:val="bottom"/>
            </w:pPr>
            <w:r>
              <w:rPr>
                <w:rFonts w:ascii="Arial" w:eastAsia="宋体" w:hAnsi="Arial" w:cs="Arial"/>
                <w:b/>
                <w:bCs/>
                <w:color w:val="000000"/>
                <w:sz w:val="20"/>
                <w:szCs w:val="20"/>
              </w:rPr>
              <w:t>($1,369)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0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0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0F" w14:textId="77777777" w:rsidR="00833634" w:rsidRDefault="00E15D51">
            <w:pPr>
              <w:jc w:val="right"/>
              <w:textAlignment w:val="bottom"/>
            </w:pPr>
            <w:r>
              <w:rPr>
                <w:rFonts w:ascii="Arial" w:eastAsia="宋体" w:hAnsi="Arial" w:cs="Arial"/>
                <w:color w:val="000000"/>
                <w:sz w:val="20"/>
                <w:szCs w:val="20"/>
              </w:rPr>
              <w:t>($40)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10" w14:textId="77777777" w:rsidR="00833634" w:rsidRDefault="00833634">
            <w:pPr>
              <w:jc w:val="right"/>
              <w:rPr>
                <w:rFonts w:ascii="宋体"/>
              </w:rPr>
            </w:pPr>
          </w:p>
        </w:tc>
      </w:tr>
      <w:tr w:rsidR="00833634" w14:paraId="4090F41E" w14:textId="77777777">
        <w:tc>
          <w:tcPr>
            <w:tcW w:w="0" w:type="auto"/>
            <w:gridSpan w:val="3"/>
            <w:shd w:val="clear" w:color="auto" w:fill="FFFFFF"/>
            <w:tcMar>
              <w:top w:w="40" w:type="dxa"/>
              <w:left w:w="20" w:type="dxa"/>
              <w:bottom w:w="40" w:type="dxa"/>
              <w:right w:w="20" w:type="dxa"/>
            </w:tcMar>
            <w:vAlign w:val="bottom"/>
          </w:tcPr>
          <w:p w14:paraId="4090F412" w14:textId="77777777" w:rsidR="00833634" w:rsidRDefault="00E15D51">
            <w:pPr>
              <w:textAlignment w:val="bottom"/>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4090F413" w14:textId="77777777" w:rsidR="00833634" w:rsidRDefault="00E15D51">
            <w:pPr>
              <w:jc w:val="right"/>
              <w:textAlignment w:val="bottom"/>
            </w:pPr>
            <w:r>
              <w:rPr>
                <w:rFonts w:ascii="Arial" w:eastAsia="宋体" w:hAnsi="Arial" w:cs="Arial"/>
                <w:b/>
                <w:bCs/>
                <w:color w:val="000000"/>
                <w:sz w:val="20"/>
                <w:szCs w:val="20"/>
              </w:rPr>
              <w:t>1,037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41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1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16" w14:textId="77777777" w:rsidR="00833634" w:rsidRDefault="00E15D51">
            <w:pPr>
              <w:jc w:val="right"/>
              <w:textAlignment w:val="bottom"/>
            </w:pPr>
            <w:r>
              <w:rPr>
                <w:rFonts w:ascii="Arial" w:eastAsia="宋体" w:hAnsi="Arial" w:cs="Arial"/>
                <w:color w:val="000000"/>
                <w:sz w:val="20"/>
                <w:szCs w:val="20"/>
              </w:rPr>
              <w:t>2,581 </w:t>
            </w:r>
          </w:p>
        </w:tc>
        <w:tc>
          <w:tcPr>
            <w:tcW w:w="0" w:type="auto"/>
            <w:shd w:val="clear" w:color="auto" w:fill="FFFFFF"/>
            <w:tcMar>
              <w:top w:w="40" w:type="dxa"/>
              <w:left w:w="0" w:type="dxa"/>
              <w:bottom w:w="40" w:type="dxa"/>
              <w:right w:w="20" w:type="dxa"/>
            </w:tcMar>
            <w:vAlign w:val="bottom"/>
          </w:tcPr>
          <w:p w14:paraId="4090F41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1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19" w14:textId="77777777" w:rsidR="00833634" w:rsidRDefault="00E15D51">
            <w:pPr>
              <w:jc w:val="right"/>
              <w:textAlignment w:val="bottom"/>
            </w:pPr>
            <w:r>
              <w:rPr>
                <w:rFonts w:ascii="Arial" w:eastAsia="宋体" w:hAnsi="Arial" w:cs="Arial"/>
                <w:b/>
                <w:bCs/>
                <w:color w:val="000000"/>
                <w:sz w:val="20"/>
                <w:szCs w:val="20"/>
              </w:rPr>
              <w:t>628</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41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1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1C" w14:textId="77777777" w:rsidR="00833634" w:rsidRDefault="00E15D51">
            <w:pPr>
              <w:jc w:val="right"/>
              <w:textAlignment w:val="bottom"/>
            </w:pPr>
            <w:r>
              <w:rPr>
                <w:rFonts w:ascii="Arial" w:eastAsia="宋体" w:hAnsi="Arial" w:cs="Arial"/>
                <w:color w:val="000000"/>
                <w:sz w:val="20"/>
                <w:szCs w:val="20"/>
              </w:rPr>
              <w:t>754 </w:t>
            </w:r>
          </w:p>
        </w:tc>
        <w:tc>
          <w:tcPr>
            <w:tcW w:w="0" w:type="auto"/>
            <w:shd w:val="clear" w:color="auto" w:fill="FFFFFF"/>
            <w:tcMar>
              <w:top w:w="40" w:type="dxa"/>
              <w:left w:w="0" w:type="dxa"/>
              <w:bottom w:w="40" w:type="dxa"/>
              <w:right w:w="20" w:type="dxa"/>
            </w:tcMar>
            <w:vAlign w:val="bottom"/>
          </w:tcPr>
          <w:p w14:paraId="4090F41D" w14:textId="77777777" w:rsidR="00833634" w:rsidRDefault="00833634">
            <w:pPr>
              <w:jc w:val="right"/>
              <w:rPr>
                <w:rFonts w:ascii="宋体"/>
              </w:rPr>
            </w:pPr>
          </w:p>
        </w:tc>
      </w:tr>
      <w:tr w:rsidR="00833634" w14:paraId="4090F42B" w14:textId="77777777">
        <w:tc>
          <w:tcPr>
            <w:tcW w:w="0" w:type="auto"/>
            <w:gridSpan w:val="3"/>
            <w:shd w:val="clear" w:color="auto" w:fill="CCEEFF"/>
            <w:tcMar>
              <w:top w:w="40" w:type="dxa"/>
              <w:left w:w="20" w:type="dxa"/>
              <w:bottom w:w="40" w:type="dxa"/>
              <w:right w:w="20" w:type="dxa"/>
            </w:tcMar>
            <w:vAlign w:val="bottom"/>
          </w:tcPr>
          <w:p w14:paraId="4090F41F" w14:textId="77777777" w:rsidR="00833634" w:rsidRDefault="00E15D51">
            <w:pPr>
              <w:textAlignment w:val="bottom"/>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4090F420" w14:textId="77777777" w:rsidR="00833634" w:rsidRDefault="00E15D51">
            <w:pPr>
              <w:jc w:val="right"/>
              <w:textAlignment w:val="bottom"/>
            </w:pPr>
            <w:r>
              <w:rPr>
                <w:rFonts w:ascii="Arial" w:eastAsia="宋体" w:hAnsi="Arial" w:cs="Arial"/>
                <w:b/>
                <w:bCs/>
                <w:color w:val="000000"/>
                <w:sz w:val="20"/>
                <w:szCs w:val="20"/>
              </w:rPr>
              <w:t>307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42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2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23" w14:textId="77777777" w:rsidR="00833634" w:rsidRDefault="00E15D51">
            <w:pPr>
              <w:jc w:val="right"/>
              <w:textAlignment w:val="bottom"/>
            </w:pPr>
            <w:r>
              <w:rPr>
                <w:rFonts w:ascii="Arial" w:eastAsia="宋体" w:hAnsi="Arial" w:cs="Arial"/>
                <w:color w:val="000000"/>
                <w:sz w:val="20"/>
                <w:szCs w:val="20"/>
              </w:rPr>
              <w:t>2,013 </w:t>
            </w:r>
          </w:p>
        </w:tc>
        <w:tc>
          <w:tcPr>
            <w:tcW w:w="0" w:type="auto"/>
            <w:shd w:val="clear" w:color="auto" w:fill="CCEEFF"/>
            <w:tcMar>
              <w:top w:w="40" w:type="dxa"/>
              <w:left w:w="0" w:type="dxa"/>
              <w:bottom w:w="40" w:type="dxa"/>
              <w:right w:w="20" w:type="dxa"/>
            </w:tcMar>
            <w:vAlign w:val="bottom"/>
          </w:tcPr>
          <w:p w14:paraId="4090F42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2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26" w14:textId="77777777" w:rsidR="00833634" w:rsidRDefault="00E15D51">
            <w:pPr>
              <w:jc w:val="right"/>
              <w:textAlignment w:val="bottom"/>
            </w:pPr>
            <w:r>
              <w:rPr>
                <w:rFonts w:ascii="Arial" w:eastAsia="宋体" w:hAnsi="Arial" w:cs="Arial"/>
                <w:b/>
                <w:bCs/>
                <w:color w:val="000000"/>
                <w:sz w:val="20"/>
                <w:szCs w:val="20"/>
              </w:rPr>
              <w:t>271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42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2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29" w14:textId="77777777" w:rsidR="00833634" w:rsidRDefault="00E15D51">
            <w:pPr>
              <w:jc w:val="right"/>
              <w:textAlignment w:val="bottom"/>
            </w:pPr>
            <w:r>
              <w:rPr>
                <w:rFonts w:ascii="Arial" w:eastAsia="宋体" w:hAnsi="Arial" w:cs="Arial"/>
                <w:color w:val="000000"/>
                <w:sz w:val="20"/>
                <w:szCs w:val="20"/>
              </w:rPr>
              <w:t>673 </w:t>
            </w:r>
          </w:p>
        </w:tc>
        <w:tc>
          <w:tcPr>
            <w:tcW w:w="0" w:type="auto"/>
            <w:shd w:val="clear" w:color="auto" w:fill="CCEEFF"/>
            <w:tcMar>
              <w:top w:w="40" w:type="dxa"/>
              <w:left w:w="0" w:type="dxa"/>
              <w:bottom w:w="40" w:type="dxa"/>
              <w:right w:w="20" w:type="dxa"/>
            </w:tcMar>
            <w:vAlign w:val="bottom"/>
          </w:tcPr>
          <w:p w14:paraId="4090F42A" w14:textId="77777777" w:rsidR="00833634" w:rsidRDefault="00833634">
            <w:pPr>
              <w:jc w:val="right"/>
              <w:rPr>
                <w:rFonts w:ascii="宋体"/>
              </w:rPr>
            </w:pPr>
          </w:p>
        </w:tc>
      </w:tr>
      <w:tr w:rsidR="00833634" w14:paraId="4090F438" w14:textId="77777777">
        <w:tc>
          <w:tcPr>
            <w:tcW w:w="0" w:type="auto"/>
            <w:gridSpan w:val="3"/>
            <w:shd w:val="clear" w:color="auto" w:fill="FFFFFF"/>
            <w:tcMar>
              <w:top w:w="40" w:type="dxa"/>
              <w:left w:w="20" w:type="dxa"/>
              <w:bottom w:w="40" w:type="dxa"/>
              <w:right w:w="20" w:type="dxa"/>
            </w:tcMar>
            <w:vAlign w:val="bottom"/>
          </w:tcPr>
          <w:p w14:paraId="4090F42C" w14:textId="77777777" w:rsidR="00833634" w:rsidRDefault="00E15D51">
            <w:pPr>
              <w:textAlignment w:val="bottom"/>
            </w:pPr>
            <w:r>
              <w:rPr>
                <w:rFonts w:ascii="Arial" w:eastAsia="宋体" w:hAnsi="Arial" w:cs="Arial"/>
                <w:color w:val="000000"/>
                <w:sz w:val="20"/>
                <w:szCs w:val="20"/>
              </w:rPr>
              <w:t>Boeing Capital</w:t>
            </w:r>
          </w:p>
        </w:tc>
        <w:tc>
          <w:tcPr>
            <w:tcW w:w="0" w:type="auto"/>
            <w:gridSpan w:val="2"/>
            <w:shd w:val="clear" w:color="auto" w:fill="FFFFFF"/>
            <w:tcMar>
              <w:top w:w="40" w:type="dxa"/>
              <w:left w:w="20" w:type="dxa"/>
              <w:bottom w:w="40" w:type="dxa"/>
              <w:right w:w="0" w:type="dxa"/>
            </w:tcMar>
            <w:vAlign w:val="bottom"/>
          </w:tcPr>
          <w:p w14:paraId="4090F42D" w14:textId="77777777" w:rsidR="00833634" w:rsidRDefault="00E15D51">
            <w:pPr>
              <w:jc w:val="right"/>
              <w:textAlignment w:val="bottom"/>
            </w:pPr>
            <w:r>
              <w:rPr>
                <w:rFonts w:ascii="Arial" w:eastAsia="宋体" w:hAnsi="Arial" w:cs="Arial"/>
                <w:b/>
                <w:bCs/>
                <w:color w:val="000000"/>
                <w:sz w:val="20"/>
                <w:szCs w:val="20"/>
              </w:rPr>
              <w:t>47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42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2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30" w14:textId="77777777" w:rsidR="00833634" w:rsidRDefault="00E15D51">
            <w:pPr>
              <w:jc w:val="right"/>
              <w:textAlignment w:val="bottom"/>
            </w:pPr>
            <w:r>
              <w:rPr>
                <w:rFonts w:ascii="Arial" w:eastAsia="宋体" w:hAnsi="Arial" w:cs="Arial"/>
                <w:color w:val="000000"/>
                <w:sz w:val="20"/>
                <w:szCs w:val="20"/>
              </w:rPr>
              <w:t>86 </w:t>
            </w:r>
          </w:p>
        </w:tc>
        <w:tc>
          <w:tcPr>
            <w:tcW w:w="0" w:type="auto"/>
            <w:shd w:val="clear" w:color="auto" w:fill="FFFFFF"/>
            <w:tcMar>
              <w:top w:w="40" w:type="dxa"/>
              <w:left w:w="0" w:type="dxa"/>
              <w:bottom w:w="40" w:type="dxa"/>
              <w:right w:w="20" w:type="dxa"/>
            </w:tcMar>
            <w:vAlign w:val="bottom"/>
          </w:tcPr>
          <w:p w14:paraId="4090F43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3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33" w14:textId="77777777" w:rsidR="00833634" w:rsidRDefault="00E15D51">
            <w:pPr>
              <w:jc w:val="right"/>
              <w:textAlignment w:val="bottom"/>
            </w:pPr>
            <w:r>
              <w:rPr>
                <w:rFonts w:ascii="Arial" w:eastAsia="宋体" w:hAnsi="Arial" w:cs="Arial"/>
                <w:b/>
                <w:bCs/>
                <w:color w:val="000000"/>
                <w:sz w:val="20"/>
                <w:szCs w:val="20"/>
              </w:rPr>
              <w:t>30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43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3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36" w14:textId="77777777" w:rsidR="00833634" w:rsidRDefault="00E15D51">
            <w:pPr>
              <w:jc w:val="right"/>
              <w:textAlignment w:val="bottom"/>
            </w:pPr>
            <w:r>
              <w:rPr>
                <w:rFonts w:ascii="Arial" w:eastAsia="宋体" w:hAnsi="Arial" w:cs="Arial"/>
                <w:color w:val="000000"/>
                <w:sz w:val="20"/>
                <w:szCs w:val="20"/>
              </w:rPr>
              <w:t>29 </w:t>
            </w:r>
          </w:p>
        </w:tc>
        <w:tc>
          <w:tcPr>
            <w:tcW w:w="0" w:type="auto"/>
            <w:shd w:val="clear" w:color="auto" w:fill="FFFFFF"/>
            <w:tcMar>
              <w:top w:w="40" w:type="dxa"/>
              <w:left w:w="0" w:type="dxa"/>
              <w:bottom w:w="40" w:type="dxa"/>
              <w:right w:w="20" w:type="dxa"/>
            </w:tcMar>
            <w:vAlign w:val="bottom"/>
          </w:tcPr>
          <w:p w14:paraId="4090F437" w14:textId="77777777" w:rsidR="00833634" w:rsidRDefault="00833634">
            <w:pPr>
              <w:jc w:val="right"/>
              <w:rPr>
                <w:rFonts w:ascii="宋体"/>
              </w:rPr>
            </w:pPr>
          </w:p>
        </w:tc>
      </w:tr>
      <w:tr w:rsidR="00833634" w14:paraId="4090F445"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439" w14:textId="77777777" w:rsidR="00833634" w:rsidRDefault="00E15D51">
            <w:pPr>
              <w:textAlignment w:val="bottom"/>
            </w:pPr>
            <w:r>
              <w:rPr>
                <w:rFonts w:ascii="Arial" w:eastAsia="宋体" w:hAnsi="Arial" w:cs="Arial"/>
                <w:color w:val="000000"/>
                <w:sz w:val="20"/>
                <w:szCs w:val="20"/>
              </w:rPr>
              <w:t>Segment operating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3A" w14:textId="77777777" w:rsidR="00833634" w:rsidRDefault="00E15D51">
            <w:pPr>
              <w:jc w:val="right"/>
              <w:textAlignment w:val="bottom"/>
            </w:pPr>
            <w:r>
              <w:rPr>
                <w:rFonts w:ascii="Arial" w:eastAsia="宋体" w:hAnsi="Arial" w:cs="Arial"/>
                <w:b/>
                <w:bCs/>
                <w:color w:val="000000"/>
                <w:sz w:val="20"/>
                <w:szCs w:val="20"/>
              </w:rPr>
              <w:t>(4,808)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3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3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3D" w14:textId="77777777" w:rsidR="00833634" w:rsidRDefault="00E15D51">
            <w:pPr>
              <w:jc w:val="right"/>
              <w:textAlignment w:val="bottom"/>
            </w:pPr>
            <w:r>
              <w:rPr>
                <w:rFonts w:ascii="Arial" w:eastAsia="宋体" w:hAnsi="Arial" w:cs="Arial"/>
                <w:color w:val="000000"/>
                <w:sz w:val="20"/>
                <w:szCs w:val="20"/>
              </w:rPr>
              <w:t>867 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3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3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40" w14:textId="77777777" w:rsidR="00833634" w:rsidRDefault="00E15D51">
            <w:pPr>
              <w:jc w:val="right"/>
              <w:textAlignment w:val="bottom"/>
            </w:pPr>
            <w:r>
              <w:rPr>
                <w:rFonts w:ascii="Arial" w:eastAsia="宋体" w:hAnsi="Arial" w:cs="Arial"/>
                <w:b/>
                <w:bCs/>
                <w:color w:val="000000"/>
                <w:sz w:val="20"/>
                <w:szCs w:val="20"/>
              </w:rPr>
              <w:t>(440)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4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4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43" w14:textId="77777777" w:rsidR="00833634" w:rsidRDefault="00E15D51">
            <w:pPr>
              <w:jc w:val="right"/>
              <w:textAlignment w:val="bottom"/>
            </w:pPr>
            <w:r>
              <w:rPr>
                <w:rFonts w:ascii="Arial" w:eastAsia="宋体" w:hAnsi="Arial" w:cs="Arial"/>
                <w:color w:val="000000"/>
                <w:sz w:val="20"/>
                <w:szCs w:val="20"/>
              </w:rPr>
              <w:t>1,416 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44" w14:textId="77777777" w:rsidR="00833634" w:rsidRDefault="00833634">
            <w:pPr>
              <w:jc w:val="right"/>
              <w:rPr>
                <w:rFonts w:ascii="宋体"/>
              </w:rPr>
            </w:pPr>
          </w:p>
        </w:tc>
      </w:tr>
      <w:tr w:rsidR="00833634" w14:paraId="4090F452" w14:textId="77777777">
        <w:tc>
          <w:tcPr>
            <w:tcW w:w="0" w:type="auto"/>
            <w:gridSpan w:val="3"/>
            <w:shd w:val="clear" w:color="auto" w:fill="FFFFFF"/>
            <w:tcMar>
              <w:top w:w="40" w:type="dxa"/>
              <w:left w:w="20" w:type="dxa"/>
              <w:bottom w:w="40" w:type="dxa"/>
              <w:right w:w="20" w:type="dxa"/>
            </w:tcMar>
            <w:vAlign w:val="bottom"/>
          </w:tcPr>
          <w:p w14:paraId="4090F446" w14:textId="77777777" w:rsidR="00833634" w:rsidRDefault="00E15D51">
            <w:pPr>
              <w:textAlignment w:val="bottom"/>
            </w:pPr>
            <w:r>
              <w:rPr>
                <w:rFonts w:ascii="Arial" w:eastAsia="宋体" w:hAnsi="Arial" w:cs="Arial"/>
                <w:color w:val="000000"/>
                <w:sz w:val="20"/>
                <w:szCs w:val="20"/>
              </w:rPr>
              <w:t>Pension FAS/CAS service cost adjustment</w:t>
            </w:r>
          </w:p>
        </w:tc>
        <w:tc>
          <w:tcPr>
            <w:tcW w:w="0" w:type="auto"/>
            <w:gridSpan w:val="2"/>
            <w:shd w:val="clear" w:color="auto" w:fill="FFFFFF"/>
            <w:tcMar>
              <w:top w:w="40" w:type="dxa"/>
              <w:left w:w="20" w:type="dxa"/>
              <w:bottom w:w="40" w:type="dxa"/>
              <w:right w:w="0" w:type="dxa"/>
            </w:tcMar>
            <w:vAlign w:val="bottom"/>
          </w:tcPr>
          <w:p w14:paraId="4090F447" w14:textId="77777777" w:rsidR="00833634" w:rsidRDefault="00E15D51">
            <w:pPr>
              <w:jc w:val="right"/>
              <w:textAlignment w:val="bottom"/>
            </w:pPr>
            <w:r>
              <w:rPr>
                <w:rFonts w:ascii="Arial" w:eastAsia="宋体" w:hAnsi="Arial" w:cs="Arial"/>
                <w:b/>
                <w:bCs/>
                <w:color w:val="000000"/>
                <w:sz w:val="20"/>
                <w:szCs w:val="20"/>
              </w:rPr>
              <w:t>773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44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4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4A" w14:textId="77777777" w:rsidR="00833634" w:rsidRDefault="00E15D51">
            <w:pPr>
              <w:jc w:val="right"/>
              <w:textAlignment w:val="bottom"/>
            </w:pPr>
            <w:r>
              <w:rPr>
                <w:rFonts w:ascii="Arial" w:eastAsia="宋体" w:hAnsi="Arial" w:cs="Arial"/>
                <w:color w:val="000000"/>
                <w:sz w:val="20"/>
                <w:szCs w:val="20"/>
              </w:rPr>
              <w:t>823 </w:t>
            </w:r>
          </w:p>
        </w:tc>
        <w:tc>
          <w:tcPr>
            <w:tcW w:w="0" w:type="auto"/>
            <w:shd w:val="clear" w:color="auto" w:fill="FFFFFF"/>
            <w:tcMar>
              <w:top w:w="40" w:type="dxa"/>
              <w:left w:w="0" w:type="dxa"/>
              <w:bottom w:w="40" w:type="dxa"/>
              <w:right w:w="20" w:type="dxa"/>
            </w:tcMar>
            <w:vAlign w:val="bottom"/>
          </w:tcPr>
          <w:p w14:paraId="4090F44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4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4D" w14:textId="77777777" w:rsidR="00833634" w:rsidRDefault="00E15D51">
            <w:pPr>
              <w:jc w:val="right"/>
              <w:textAlignment w:val="bottom"/>
            </w:pPr>
            <w:r>
              <w:rPr>
                <w:rFonts w:ascii="Arial" w:eastAsia="宋体" w:hAnsi="Arial" w:cs="Arial"/>
                <w:b/>
                <w:bCs/>
                <w:color w:val="000000"/>
                <w:sz w:val="20"/>
                <w:szCs w:val="20"/>
              </w:rPr>
              <w:t>260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44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4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50" w14:textId="77777777" w:rsidR="00833634" w:rsidRDefault="00E15D51">
            <w:pPr>
              <w:jc w:val="right"/>
              <w:textAlignment w:val="bottom"/>
            </w:pPr>
            <w:r>
              <w:rPr>
                <w:rFonts w:ascii="Arial" w:eastAsia="宋体" w:hAnsi="Arial" w:cs="Arial"/>
                <w:color w:val="000000"/>
                <w:sz w:val="20"/>
                <w:szCs w:val="20"/>
              </w:rPr>
              <w:t>274 </w:t>
            </w:r>
          </w:p>
        </w:tc>
        <w:tc>
          <w:tcPr>
            <w:tcW w:w="0" w:type="auto"/>
            <w:shd w:val="clear" w:color="auto" w:fill="FFFFFF"/>
            <w:tcMar>
              <w:top w:w="40" w:type="dxa"/>
              <w:left w:w="0" w:type="dxa"/>
              <w:bottom w:w="40" w:type="dxa"/>
              <w:right w:w="20" w:type="dxa"/>
            </w:tcMar>
            <w:vAlign w:val="bottom"/>
          </w:tcPr>
          <w:p w14:paraId="4090F451" w14:textId="77777777" w:rsidR="00833634" w:rsidRDefault="00833634">
            <w:pPr>
              <w:jc w:val="right"/>
              <w:rPr>
                <w:rFonts w:ascii="宋体"/>
              </w:rPr>
            </w:pPr>
          </w:p>
        </w:tc>
      </w:tr>
      <w:tr w:rsidR="00833634" w14:paraId="4090F45F" w14:textId="77777777">
        <w:tc>
          <w:tcPr>
            <w:tcW w:w="0" w:type="auto"/>
            <w:gridSpan w:val="3"/>
            <w:shd w:val="clear" w:color="auto" w:fill="CCEEFF"/>
            <w:tcMar>
              <w:top w:w="40" w:type="dxa"/>
              <w:left w:w="20" w:type="dxa"/>
              <w:bottom w:w="40" w:type="dxa"/>
              <w:right w:w="20" w:type="dxa"/>
            </w:tcMar>
            <w:vAlign w:val="bottom"/>
          </w:tcPr>
          <w:p w14:paraId="4090F453" w14:textId="77777777" w:rsidR="00833634" w:rsidRDefault="00E15D51">
            <w:pPr>
              <w:textAlignment w:val="bottom"/>
            </w:pPr>
            <w:r>
              <w:rPr>
                <w:rFonts w:ascii="Arial" w:eastAsia="宋体" w:hAnsi="Arial" w:cs="Arial"/>
                <w:color w:val="000000"/>
                <w:sz w:val="20"/>
                <w:szCs w:val="20"/>
              </w:rPr>
              <w:t>Postretirement FAS/CAS service cost adjustment</w:t>
            </w:r>
          </w:p>
        </w:tc>
        <w:tc>
          <w:tcPr>
            <w:tcW w:w="0" w:type="auto"/>
            <w:gridSpan w:val="2"/>
            <w:shd w:val="clear" w:color="auto" w:fill="CCEEFF"/>
            <w:tcMar>
              <w:top w:w="40" w:type="dxa"/>
              <w:left w:w="20" w:type="dxa"/>
              <w:bottom w:w="40" w:type="dxa"/>
              <w:right w:w="0" w:type="dxa"/>
            </w:tcMar>
            <w:vAlign w:val="bottom"/>
          </w:tcPr>
          <w:p w14:paraId="4090F454" w14:textId="77777777" w:rsidR="00833634" w:rsidRDefault="00E15D51">
            <w:pPr>
              <w:jc w:val="right"/>
              <w:textAlignment w:val="bottom"/>
            </w:pPr>
            <w:r>
              <w:rPr>
                <w:rFonts w:ascii="Arial" w:eastAsia="宋体" w:hAnsi="Arial" w:cs="Arial"/>
                <w:b/>
                <w:bCs/>
                <w:color w:val="000000"/>
                <w:sz w:val="20"/>
                <w:szCs w:val="20"/>
              </w:rPr>
              <w:t>282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45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5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57" w14:textId="77777777" w:rsidR="00833634" w:rsidRDefault="00E15D51">
            <w:pPr>
              <w:jc w:val="right"/>
              <w:textAlignment w:val="bottom"/>
            </w:pPr>
            <w:r>
              <w:rPr>
                <w:rFonts w:ascii="Arial" w:eastAsia="宋体" w:hAnsi="Arial" w:cs="Arial"/>
                <w:color w:val="000000"/>
                <w:sz w:val="20"/>
                <w:szCs w:val="20"/>
              </w:rPr>
              <w:t>270 </w:t>
            </w:r>
          </w:p>
        </w:tc>
        <w:tc>
          <w:tcPr>
            <w:tcW w:w="0" w:type="auto"/>
            <w:shd w:val="clear" w:color="auto" w:fill="CCEEFF"/>
            <w:tcMar>
              <w:top w:w="40" w:type="dxa"/>
              <w:left w:w="0" w:type="dxa"/>
              <w:bottom w:w="40" w:type="dxa"/>
              <w:right w:w="20" w:type="dxa"/>
            </w:tcMar>
            <w:vAlign w:val="bottom"/>
          </w:tcPr>
          <w:p w14:paraId="4090F45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5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5A" w14:textId="77777777" w:rsidR="00833634" w:rsidRDefault="00E15D51">
            <w:pPr>
              <w:jc w:val="right"/>
              <w:textAlignment w:val="bottom"/>
            </w:pPr>
            <w:r>
              <w:rPr>
                <w:rFonts w:ascii="Arial" w:eastAsia="宋体" w:hAnsi="Arial" w:cs="Arial"/>
                <w:b/>
                <w:bCs/>
                <w:color w:val="000000"/>
                <w:sz w:val="20"/>
                <w:szCs w:val="20"/>
              </w:rPr>
              <w:t>93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45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5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5D" w14:textId="77777777" w:rsidR="00833634" w:rsidRDefault="00E15D51">
            <w:pPr>
              <w:jc w:val="right"/>
              <w:textAlignment w:val="bottom"/>
            </w:pPr>
            <w:r>
              <w:rPr>
                <w:rFonts w:ascii="Arial" w:eastAsia="宋体" w:hAnsi="Arial" w:cs="Arial"/>
                <w:color w:val="000000"/>
                <w:sz w:val="20"/>
                <w:szCs w:val="20"/>
              </w:rPr>
              <w:t>90 </w:t>
            </w:r>
          </w:p>
        </w:tc>
        <w:tc>
          <w:tcPr>
            <w:tcW w:w="0" w:type="auto"/>
            <w:shd w:val="clear" w:color="auto" w:fill="CCEEFF"/>
            <w:tcMar>
              <w:top w:w="40" w:type="dxa"/>
              <w:left w:w="0" w:type="dxa"/>
              <w:bottom w:w="40" w:type="dxa"/>
              <w:right w:w="20" w:type="dxa"/>
            </w:tcMar>
            <w:vAlign w:val="bottom"/>
          </w:tcPr>
          <w:p w14:paraId="4090F45E" w14:textId="77777777" w:rsidR="00833634" w:rsidRDefault="00833634">
            <w:pPr>
              <w:jc w:val="right"/>
              <w:rPr>
                <w:rFonts w:ascii="宋体"/>
              </w:rPr>
            </w:pPr>
          </w:p>
        </w:tc>
      </w:tr>
      <w:tr w:rsidR="00833634" w14:paraId="4090F46C" w14:textId="77777777">
        <w:tc>
          <w:tcPr>
            <w:tcW w:w="0" w:type="auto"/>
            <w:gridSpan w:val="3"/>
            <w:shd w:val="clear" w:color="auto" w:fill="FFFFFF"/>
            <w:tcMar>
              <w:top w:w="40" w:type="dxa"/>
              <w:left w:w="20" w:type="dxa"/>
              <w:bottom w:w="40" w:type="dxa"/>
              <w:right w:w="20" w:type="dxa"/>
            </w:tcMar>
            <w:vAlign w:val="bottom"/>
          </w:tcPr>
          <w:p w14:paraId="4090F460" w14:textId="77777777" w:rsidR="00833634" w:rsidRDefault="00E15D51">
            <w:pPr>
              <w:textAlignment w:val="bottom"/>
            </w:pPr>
            <w:r>
              <w:rPr>
                <w:rFonts w:ascii="Arial" w:eastAsia="宋体" w:hAnsi="Arial" w:cs="Arial"/>
                <w:color w:val="000000"/>
                <w:sz w:val="20"/>
                <w:szCs w:val="20"/>
              </w:rPr>
              <w:t>Unallocated items, eliminations and other</w:t>
            </w:r>
          </w:p>
        </w:tc>
        <w:tc>
          <w:tcPr>
            <w:tcW w:w="0" w:type="auto"/>
            <w:gridSpan w:val="2"/>
            <w:shd w:val="clear" w:color="auto" w:fill="FFFFFF"/>
            <w:tcMar>
              <w:top w:w="40" w:type="dxa"/>
              <w:left w:w="20" w:type="dxa"/>
              <w:bottom w:w="40" w:type="dxa"/>
              <w:right w:w="0" w:type="dxa"/>
            </w:tcMar>
            <w:vAlign w:val="bottom"/>
          </w:tcPr>
          <w:p w14:paraId="4090F461" w14:textId="77777777" w:rsidR="00833634" w:rsidRDefault="00E15D51">
            <w:pPr>
              <w:jc w:val="right"/>
              <w:textAlignment w:val="bottom"/>
            </w:pPr>
            <w:r>
              <w:rPr>
                <w:rFonts w:ascii="Arial" w:eastAsia="宋体" w:hAnsi="Arial" w:cs="Arial"/>
                <w:b/>
                <w:bCs/>
                <w:color w:val="000000"/>
                <w:sz w:val="20"/>
                <w:szCs w:val="20"/>
              </w:rPr>
              <w:t>(965)</w:t>
            </w:r>
          </w:p>
        </w:tc>
        <w:tc>
          <w:tcPr>
            <w:tcW w:w="0" w:type="auto"/>
            <w:shd w:val="clear" w:color="auto" w:fill="FFFFFF"/>
            <w:tcMar>
              <w:top w:w="40" w:type="dxa"/>
              <w:left w:w="0" w:type="dxa"/>
              <w:bottom w:w="40" w:type="dxa"/>
              <w:right w:w="20" w:type="dxa"/>
            </w:tcMar>
            <w:vAlign w:val="bottom"/>
          </w:tcPr>
          <w:p w14:paraId="4090F46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6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64" w14:textId="77777777" w:rsidR="00833634" w:rsidRDefault="00E15D51">
            <w:pPr>
              <w:jc w:val="right"/>
              <w:textAlignment w:val="bottom"/>
            </w:pPr>
            <w:r>
              <w:rPr>
                <w:rFonts w:ascii="Arial" w:eastAsia="宋体" w:hAnsi="Arial" w:cs="Arial"/>
                <w:color w:val="000000"/>
                <w:sz w:val="20"/>
                <w:szCs w:val="20"/>
              </w:rPr>
              <w:t>(1,731)</w:t>
            </w:r>
          </w:p>
        </w:tc>
        <w:tc>
          <w:tcPr>
            <w:tcW w:w="0" w:type="auto"/>
            <w:shd w:val="clear" w:color="auto" w:fill="FFFFFF"/>
            <w:tcMar>
              <w:top w:w="40" w:type="dxa"/>
              <w:left w:w="0" w:type="dxa"/>
              <w:bottom w:w="40" w:type="dxa"/>
              <w:right w:w="20" w:type="dxa"/>
            </w:tcMar>
            <w:vAlign w:val="bottom"/>
          </w:tcPr>
          <w:p w14:paraId="4090F46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6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67" w14:textId="77777777" w:rsidR="00833634" w:rsidRDefault="00E15D51">
            <w:pPr>
              <w:jc w:val="right"/>
              <w:textAlignment w:val="bottom"/>
            </w:pPr>
            <w:r>
              <w:rPr>
                <w:rFonts w:ascii="Arial" w:eastAsia="宋体" w:hAnsi="Arial" w:cs="Arial"/>
                <w:b/>
                <w:bCs/>
                <w:color w:val="000000"/>
                <w:sz w:val="20"/>
                <w:szCs w:val="20"/>
              </w:rPr>
              <w:t>(314)</w:t>
            </w:r>
          </w:p>
        </w:tc>
        <w:tc>
          <w:tcPr>
            <w:tcW w:w="0" w:type="auto"/>
            <w:shd w:val="clear" w:color="auto" w:fill="FFFFFF"/>
            <w:tcMar>
              <w:top w:w="40" w:type="dxa"/>
              <w:left w:w="0" w:type="dxa"/>
              <w:bottom w:w="40" w:type="dxa"/>
              <w:right w:w="20" w:type="dxa"/>
            </w:tcMar>
            <w:vAlign w:val="bottom"/>
          </w:tcPr>
          <w:p w14:paraId="4090F46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6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6A" w14:textId="77777777" w:rsidR="00833634" w:rsidRDefault="00E15D51">
            <w:pPr>
              <w:jc w:val="right"/>
              <w:textAlignment w:val="bottom"/>
            </w:pPr>
            <w:r>
              <w:rPr>
                <w:rFonts w:ascii="Arial" w:eastAsia="宋体" w:hAnsi="Arial" w:cs="Arial"/>
                <w:color w:val="000000"/>
                <w:sz w:val="20"/>
                <w:szCs w:val="20"/>
              </w:rPr>
              <w:t>(521)</w:t>
            </w:r>
          </w:p>
        </w:tc>
        <w:tc>
          <w:tcPr>
            <w:tcW w:w="0" w:type="auto"/>
            <w:shd w:val="clear" w:color="auto" w:fill="FFFFFF"/>
            <w:tcMar>
              <w:top w:w="40" w:type="dxa"/>
              <w:left w:w="0" w:type="dxa"/>
              <w:bottom w:w="40" w:type="dxa"/>
              <w:right w:w="20" w:type="dxa"/>
            </w:tcMar>
            <w:vAlign w:val="bottom"/>
          </w:tcPr>
          <w:p w14:paraId="4090F46B" w14:textId="77777777" w:rsidR="00833634" w:rsidRDefault="00833634">
            <w:pPr>
              <w:jc w:val="right"/>
              <w:rPr>
                <w:rFonts w:ascii="宋体"/>
              </w:rPr>
            </w:pPr>
          </w:p>
        </w:tc>
      </w:tr>
      <w:tr w:rsidR="00833634" w14:paraId="4090F479"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46D" w14:textId="77777777" w:rsidR="00833634" w:rsidRDefault="00E15D51">
            <w:pPr>
              <w:textAlignment w:val="bottom"/>
            </w:pPr>
            <w:r>
              <w:rPr>
                <w:rFonts w:ascii="Arial" w:eastAsia="宋体" w:hAnsi="Arial" w:cs="Arial"/>
                <w:color w:val="000000"/>
                <w:sz w:val="20"/>
                <w:szCs w:val="20"/>
              </w:rPr>
              <w:t>(Loss)/earnings from operations (GAAP)</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6E" w14:textId="77777777" w:rsidR="00833634" w:rsidRDefault="00E15D51">
            <w:pPr>
              <w:jc w:val="right"/>
              <w:textAlignment w:val="bottom"/>
            </w:pPr>
            <w:r>
              <w:rPr>
                <w:rFonts w:ascii="Arial" w:eastAsia="宋体" w:hAnsi="Arial" w:cs="Arial"/>
                <w:b/>
                <w:bCs/>
                <w:color w:val="000000"/>
                <w:sz w:val="20"/>
                <w:szCs w:val="20"/>
              </w:rPr>
              <w:t>($4,718)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6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7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71" w14:textId="77777777" w:rsidR="00833634" w:rsidRDefault="00E15D51">
            <w:pPr>
              <w:jc w:val="right"/>
              <w:textAlignment w:val="bottom"/>
            </w:pPr>
            <w:r>
              <w:rPr>
                <w:rFonts w:ascii="Arial" w:eastAsia="宋体" w:hAnsi="Arial" w:cs="Arial"/>
                <w:color w:val="000000"/>
                <w:sz w:val="20"/>
                <w:szCs w:val="20"/>
              </w:rPr>
              <w:t>$229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7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7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74" w14:textId="77777777" w:rsidR="00833634" w:rsidRDefault="00E15D51">
            <w:pPr>
              <w:jc w:val="right"/>
              <w:textAlignment w:val="bottom"/>
            </w:pPr>
            <w:r>
              <w:rPr>
                <w:rFonts w:ascii="Arial" w:eastAsia="宋体" w:hAnsi="Arial" w:cs="Arial"/>
                <w:b/>
                <w:bCs/>
                <w:color w:val="000000"/>
                <w:sz w:val="20"/>
                <w:szCs w:val="20"/>
              </w:rPr>
              <w:t>($401)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7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7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77" w14:textId="77777777" w:rsidR="00833634" w:rsidRDefault="00E15D51">
            <w:pPr>
              <w:jc w:val="right"/>
              <w:textAlignment w:val="bottom"/>
            </w:pPr>
            <w:r>
              <w:rPr>
                <w:rFonts w:ascii="Arial" w:eastAsia="宋体" w:hAnsi="Arial" w:cs="Arial"/>
                <w:color w:val="000000"/>
                <w:sz w:val="20"/>
                <w:szCs w:val="20"/>
              </w:rPr>
              <w:t>$1,259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78" w14:textId="77777777" w:rsidR="00833634" w:rsidRDefault="00833634">
            <w:pPr>
              <w:jc w:val="right"/>
              <w:rPr>
                <w:rFonts w:ascii="宋体"/>
              </w:rPr>
            </w:pPr>
          </w:p>
        </w:tc>
      </w:tr>
      <w:tr w:rsidR="00833634" w14:paraId="4090F486" w14:textId="77777777">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4090F47A" w14:textId="77777777" w:rsidR="00833634" w:rsidRDefault="00E15D51">
            <w:pPr>
              <w:textAlignment w:val="bottom"/>
            </w:pPr>
            <w:r>
              <w:rPr>
                <w:rFonts w:ascii="Arial" w:eastAsia="宋体" w:hAnsi="Arial" w:cs="Arial"/>
                <w:color w:val="000000"/>
                <w:sz w:val="20"/>
                <w:szCs w:val="20"/>
              </w:rPr>
              <w:t xml:space="preserve">FAS/CAS service cost adjustment * </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090F47B" w14:textId="77777777" w:rsidR="00833634" w:rsidRDefault="00E15D51">
            <w:pPr>
              <w:jc w:val="right"/>
              <w:textAlignment w:val="bottom"/>
            </w:pPr>
            <w:r>
              <w:rPr>
                <w:rFonts w:ascii="Arial" w:eastAsia="宋体" w:hAnsi="Arial" w:cs="Arial"/>
                <w:b/>
                <w:bCs/>
                <w:color w:val="000000"/>
                <w:sz w:val="20"/>
                <w:szCs w:val="20"/>
              </w:rPr>
              <w:t>(1,055)</w:t>
            </w:r>
          </w:p>
        </w:tc>
        <w:tc>
          <w:tcPr>
            <w:tcW w:w="0" w:type="auto"/>
            <w:tcBorders>
              <w:top w:val="double" w:sz="6" w:space="0" w:color="000000"/>
            </w:tcBorders>
            <w:shd w:val="clear" w:color="auto" w:fill="FFFFFF"/>
            <w:tcMar>
              <w:top w:w="40" w:type="dxa"/>
              <w:left w:w="0" w:type="dxa"/>
              <w:bottom w:w="40" w:type="dxa"/>
              <w:right w:w="20" w:type="dxa"/>
            </w:tcMar>
            <w:vAlign w:val="bottom"/>
          </w:tcPr>
          <w:p w14:paraId="4090F47C" w14:textId="77777777" w:rsidR="00833634" w:rsidRDefault="00833634">
            <w:pPr>
              <w:jc w:val="right"/>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47D" w14:textId="77777777" w:rsidR="00833634" w:rsidRDefault="0083363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090F47E" w14:textId="77777777" w:rsidR="00833634" w:rsidRDefault="00E15D51">
            <w:pPr>
              <w:jc w:val="right"/>
              <w:textAlignment w:val="bottom"/>
            </w:pPr>
            <w:r>
              <w:rPr>
                <w:rFonts w:ascii="Arial" w:eastAsia="宋体" w:hAnsi="Arial" w:cs="Arial"/>
                <w:color w:val="000000"/>
                <w:sz w:val="20"/>
                <w:szCs w:val="20"/>
              </w:rPr>
              <w:t>(1,093)</w:t>
            </w:r>
          </w:p>
        </w:tc>
        <w:tc>
          <w:tcPr>
            <w:tcW w:w="0" w:type="auto"/>
            <w:tcBorders>
              <w:top w:val="double" w:sz="6" w:space="0" w:color="000000"/>
            </w:tcBorders>
            <w:shd w:val="clear" w:color="auto" w:fill="FFFFFF"/>
            <w:tcMar>
              <w:top w:w="40" w:type="dxa"/>
              <w:left w:w="0" w:type="dxa"/>
              <w:bottom w:w="40" w:type="dxa"/>
              <w:right w:w="20" w:type="dxa"/>
            </w:tcMar>
            <w:vAlign w:val="bottom"/>
          </w:tcPr>
          <w:p w14:paraId="4090F47F" w14:textId="77777777" w:rsidR="00833634" w:rsidRDefault="00833634">
            <w:pPr>
              <w:jc w:val="right"/>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480" w14:textId="77777777" w:rsidR="00833634" w:rsidRDefault="0083363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090F481" w14:textId="77777777" w:rsidR="00833634" w:rsidRDefault="00E15D51">
            <w:pPr>
              <w:jc w:val="right"/>
              <w:textAlignment w:val="bottom"/>
            </w:pPr>
            <w:r>
              <w:rPr>
                <w:rFonts w:ascii="Arial" w:eastAsia="宋体" w:hAnsi="Arial" w:cs="Arial"/>
                <w:b/>
                <w:bCs/>
                <w:color w:val="000000"/>
                <w:sz w:val="20"/>
                <w:szCs w:val="20"/>
              </w:rPr>
              <w:t>(353)</w:t>
            </w:r>
          </w:p>
        </w:tc>
        <w:tc>
          <w:tcPr>
            <w:tcW w:w="0" w:type="auto"/>
            <w:tcBorders>
              <w:top w:val="double" w:sz="6" w:space="0" w:color="000000"/>
            </w:tcBorders>
            <w:shd w:val="clear" w:color="auto" w:fill="FFFFFF"/>
            <w:tcMar>
              <w:top w:w="40" w:type="dxa"/>
              <w:left w:w="0" w:type="dxa"/>
              <w:bottom w:w="40" w:type="dxa"/>
              <w:right w:w="20" w:type="dxa"/>
            </w:tcMar>
            <w:vAlign w:val="bottom"/>
          </w:tcPr>
          <w:p w14:paraId="4090F482" w14:textId="77777777" w:rsidR="00833634" w:rsidRDefault="00833634">
            <w:pPr>
              <w:jc w:val="right"/>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483" w14:textId="77777777" w:rsidR="00833634" w:rsidRDefault="00833634">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4090F484" w14:textId="77777777" w:rsidR="00833634" w:rsidRDefault="00E15D51">
            <w:pPr>
              <w:jc w:val="right"/>
              <w:textAlignment w:val="bottom"/>
            </w:pPr>
            <w:r>
              <w:rPr>
                <w:rFonts w:ascii="Arial" w:eastAsia="宋体" w:hAnsi="Arial" w:cs="Arial"/>
                <w:color w:val="000000"/>
                <w:sz w:val="20"/>
                <w:szCs w:val="20"/>
              </w:rPr>
              <w:t>(364)</w:t>
            </w:r>
          </w:p>
        </w:tc>
        <w:tc>
          <w:tcPr>
            <w:tcW w:w="0" w:type="auto"/>
            <w:tcBorders>
              <w:top w:val="double" w:sz="6" w:space="0" w:color="000000"/>
            </w:tcBorders>
            <w:shd w:val="clear" w:color="auto" w:fill="FFFFFF"/>
            <w:tcMar>
              <w:top w:w="40" w:type="dxa"/>
              <w:left w:w="0" w:type="dxa"/>
              <w:bottom w:w="40" w:type="dxa"/>
              <w:right w:w="20" w:type="dxa"/>
            </w:tcMar>
            <w:vAlign w:val="bottom"/>
          </w:tcPr>
          <w:p w14:paraId="4090F485" w14:textId="77777777" w:rsidR="00833634" w:rsidRDefault="00833634">
            <w:pPr>
              <w:jc w:val="right"/>
              <w:rPr>
                <w:rFonts w:ascii="宋体"/>
              </w:rPr>
            </w:pPr>
          </w:p>
        </w:tc>
      </w:tr>
      <w:tr w:rsidR="00833634" w14:paraId="4090F493"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F487" w14:textId="77777777" w:rsidR="00833634" w:rsidRDefault="00E15D51">
            <w:pPr>
              <w:textAlignment w:val="bottom"/>
            </w:pPr>
            <w:r>
              <w:rPr>
                <w:rFonts w:ascii="Arial" w:eastAsia="宋体" w:hAnsi="Arial" w:cs="Arial"/>
                <w:color w:val="000000"/>
                <w:sz w:val="20"/>
                <w:szCs w:val="20"/>
              </w:rPr>
              <w:t>Core operating (loss)/earnings (Non-GAAP) **</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488" w14:textId="77777777" w:rsidR="00833634" w:rsidRDefault="00E15D51">
            <w:pPr>
              <w:jc w:val="right"/>
              <w:textAlignment w:val="bottom"/>
            </w:pPr>
            <w:r>
              <w:rPr>
                <w:rFonts w:ascii="Arial" w:eastAsia="宋体" w:hAnsi="Arial" w:cs="Arial"/>
                <w:b/>
                <w:bCs/>
                <w:color w:val="000000"/>
                <w:sz w:val="20"/>
                <w:szCs w:val="20"/>
              </w:rPr>
              <w:t>($5,773)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489"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48A"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48B" w14:textId="77777777" w:rsidR="00833634" w:rsidRDefault="00E15D51">
            <w:pPr>
              <w:jc w:val="right"/>
              <w:textAlignment w:val="bottom"/>
            </w:pPr>
            <w:r>
              <w:rPr>
                <w:rFonts w:ascii="Arial" w:eastAsia="宋体" w:hAnsi="Arial" w:cs="Arial"/>
                <w:color w:val="000000"/>
                <w:sz w:val="20"/>
                <w:szCs w:val="20"/>
              </w:rPr>
              <w:t>($864)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48C"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48D"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48E" w14:textId="77777777" w:rsidR="00833634" w:rsidRDefault="00E15D51">
            <w:pPr>
              <w:jc w:val="right"/>
              <w:textAlignment w:val="bottom"/>
            </w:pPr>
            <w:r>
              <w:rPr>
                <w:rFonts w:ascii="Arial" w:eastAsia="宋体" w:hAnsi="Arial" w:cs="Arial"/>
                <w:b/>
                <w:bCs/>
                <w:color w:val="000000"/>
                <w:sz w:val="20"/>
                <w:szCs w:val="20"/>
              </w:rPr>
              <w:t>($754)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48F"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490"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491" w14:textId="77777777" w:rsidR="00833634" w:rsidRDefault="00E15D51">
            <w:pPr>
              <w:jc w:val="right"/>
              <w:textAlignment w:val="bottom"/>
            </w:pPr>
            <w:r>
              <w:rPr>
                <w:rFonts w:ascii="Arial" w:eastAsia="宋体" w:hAnsi="Arial" w:cs="Arial"/>
                <w:color w:val="000000"/>
                <w:sz w:val="20"/>
                <w:szCs w:val="20"/>
              </w:rPr>
              <w:t>$895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492" w14:textId="77777777" w:rsidR="00833634" w:rsidRDefault="00833634">
            <w:pPr>
              <w:jc w:val="right"/>
              <w:rPr>
                <w:rFonts w:ascii="宋体"/>
              </w:rPr>
            </w:pPr>
          </w:p>
        </w:tc>
      </w:tr>
    </w:tbl>
    <w:p w14:paraId="4090F494" w14:textId="77777777" w:rsidR="00833634" w:rsidRDefault="00E15D51">
      <w:pPr>
        <w:spacing w:after="60"/>
        <w:ind w:hanging="360"/>
        <w:jc w:val="both"/>
      </w:pPr>
      <w:r>
        <w:rPr>
          <w:rFonts w:ascii="Arial" w:eastAsia="宋体" w:hAnsi="Arial" w:cs="Arial"/>
          <w:color w:val="000000"/>
          <w:sz w:val="20"/>
          <w:szCs w:val="20"/>
        </w:rPr>
        <w:t xml:space="preserve">*    The FAS/CAS service cost adjustment represents the difference between the FAS pension and postretirement service costs calculated under GAAP and costs allocated to the business segments. </w:t>
      </w:r>
    </w:p>
    <w:p w14:paraId="4090F495" w14:textId="77777777" w:rsidR="00833634" w:rsidRDefault="00E15D51">
      <w:pPr>
        <w:spacing w:after="180"/>
        <w:ind w:hanging="360"/>
        <w:jc w:val="both"/>
      </w:pPr>
      <w:r>
        <w:rPr>
          <w:rFonts w:ascii="Arial" w:eastAsia="宋体" w:hAnsi="Arial" w:cs="Arial"/>
          <w:color w:val="000000"/>
          <w:sz w:val="20"/>
          <w:szCs w:val="20"/>
        </w:rPr>
        <w:t>**    Core operatin</w:t>
      </w:r>
      <w:r>
        <w:rPr>
          <w:rFonts w:ascii="Arial" w:eastAsia="宋体" w:hAnsi="Arial" w:cs="Arial"/>
          <w:color w:val="000000"/>
          <w:sz w:val="20"/>
          <w:szCs w:val="20"/>
        </w:rPr>
        <w:t>g loss is a Non-GAAP measure that excludes the FAS/CAS service cost adjustment. See page 58.</w:t>
      </w:r>
    </w:p>
    <w:p w14:paraId="4090F496" w14:textId="77777777" w:rsidR="00833634" w:rsidRDefault="00E15D51">
      <w:pPr>
        <w:spacing w:after="180"/>
        <w:jc w:val="both"/>
      </w:pPr>
      <w:r>
        <w:rPr>
          <w:rFonts w:ascii="Arial" w:eastAsia="宋体" w:hAnsi="Arial" w:cs="Arial"/>
          <w:color w:val="000000"/>
          <w:sz w:val="20"/>
          <w:szCs w:val="20"/>
        </w:rPr>
        <w:t>Loss from operations for the nine months ended September 30, 2020 was $4,718 million, compared with earnings from operations of $229 million during the same period</w:t>
      </w:r>
      <w:r>
        <w:rPr>
          <w:rFonts w:ascii="Arial" w:eastAsia="宋体" w:hAnsi="Arial" w:cs="Arial"/>
          <w:color w:val="000000"/>
          <w:sz w:val="20"/>
          <w:szCs w:val="20"/>
        </w:rPr>
        <w:t xml:space="preserve"> in 2019. BCA loss from operations of $6,199 million for the nine months ended September 30, 2020 primarily reflects the continued absence of MAX deliveries, lower wide-body deliveries and lower program margins resulting from the COVID-19 pandemic, abnorma</w:t>
      </w:r>
      <w:r>
        <w:rPr>
          <w:rFonts w:ascii="Arial" w:eastAsia="宋体" w:hAnsi="Arial" w:cs="Arial"/>
          <w:color w:val="000000"/>
          <w:sz w:val="20"/>
          <w:szCs w:val="20"/>
        </w:rPr>
        <w:t>l production costs, 737NG frame fitting component repair costs, severance costs and 737 MAX customer considerations. BCA loss from operations of $3,813 million for the nine months ended September 30, 2019 primarily reflects the absence of 737 MAX deliverie</w:t>
      </w:r>
      <w:r>
        <w:rPr>
          <w:rFonts w:ascii="Arial" w:eastAsia="宋体" w:hAnsi="Arial" w:cs="Arial"/>
          <w:color w:val="000000"/>
          <w:sz w:val="20"/>
          <w:szCs w:val="20"/>
        </w:rPr>
        <w:t>s and charges of $5,610 million for estimated 737 MAX customer considerations. BDS earnings decreased by $1,544 million, primarily due to charges of $1,045 million on KC-46A Tanker and $168 million on VC-25B. The lower earnings were also driven by lower ga</w:t>
      </w:r>
      <w:r>
        <w:rPr>
          <w:rFonts w:ascii="Arial" w:eastAsia="宋体" w:hAnsi="Arial" w:cs="Arial"/>
          <w:color w:val="000000"/>
          <w:sz w:val="20"/>
          <w:szCs w:val="20"/>
        </w:rPr>
        <w:t>ins on property sales compared to the same period in 2019 and lower equity earnings for our ULA joint venture. BGS earnings from operations decreased by $1,706 million primarily due to lower revenues, asset impairments in the second quarter of 2020 and sev</w:t>
      </w:r>
      <w:r>
        <w:rPr>
          <w:rFonts w:ascii="Arial" w:eastAsia="宋体" w:hAnsi="Arial" w:cs="Arial"/>
          <w:color w:val="000000"/>
          <w:sz w:val="20"/>
          <w:szCs w:val="20"/>
        </w:rPr>
        <w:t>erance costs as a result of the COVID-19 market environment. We expect the impacts of the COVID-19 pandemic to continue to reduce earnings in future quarters until the commercial airline industry recovers.</w:t>
      </w:r>
    </w:p>
    <w:p w14:paraId="4090F497" w14:textId="77777777" w:rsidR="00833634" w:rsidRDefault="00E15D51">
      <w:pPr>
        <w:spacing w:after="180"/>
        <w:jc w:val="both"/>
      </w:pPr>
      <w:r>
        <w:rPr>
          <w:rFonts w:ascii="Arial" w:eastAsia="宋体" w:hAnsi="Arial" w:cs="Arial"/>
          <w:color w:val="000000"/>
          <w:sz w:val="20"/>
          <w:szCs w:val="20"/>
        </w:rPr>
        <w:t>Loss from operations for the three months ended Se</w:t>
      </w:r>
      <w:r>
        <w:rPr>
          <w:rFonts w:ascii="Arial" w:eastAsia="宋体" w:hAnsi="Arial" w:cs="Arial"/>
          <w:color w:val="000000"/>
          <w:sz w:val="20"/>
          <w:szCs w:val="20"/>
        </w:rPr>
        <w:t xml:space="preserve">ptember 30, 2020 was $401 million, compared with earnings from operations of $1,259 million during the same period in 2019, primarily due to higher losses at BCA and lower earnings at BGS. BCA loss from operations increased $1,329 million primarily due to </w:t>
      </w:r>
      <w:r>
        <w:rPr>
          <w:rFonts w:ascii="Arial" w:eastAsia="宋体" w:hAnsi="Arial" w:cs="Arial"/>
          <w:color w:val="000000"/>
          <w:sz w:val="20"/>
          <w:szCs w:val="20"/>
        </w:rPr>
        <w:t>lower wide-body margins and deliveries resulting from the COVID-19 pandemic, abnormal production costs, and severance costs. BDS earnings decreased $126 million primarily due to unfavorable cumulative contract catch-up adjustments. BGS earnings decreased $</w:t>
      </w:r>
      <w:r>
        <w:rPr>
          <w:rFonts w:ascii="Arial" w:eastAsia="宋体" w:hAnsi="Arial" w:cs="Arial"/>
          <w:color w:val="000000"/>
          <w:sz w:val="20"/>
          <w:szCs w:val="20"/>
        </w:rPr>
        <w:t>402 million primarily due to lower revenues and severance costs.</w:t>
      </w:r>
    </w:p>
    <w:p w14:paraId="4090F498" w14:textId="77777777" w:rsidR="00833634" w:rsidRDefault="00E15D51">
      <w:pPr>
        <w:spacing w:after="180"/>
        <w:jc w:val="both"/>
      </w:pPr>
      <w:r>
        <w:rPr>
          <w:rFonts w:ascii="Arial" w:eastAsia="宋体" w:hAnsi="Arial" w:cs="Arial"/>
          <w:color w:val="000000"/>
          <w:sz w:val="20"/>
          <w:szCs w:val="20"/>
        </w:rPr>
        <w:t>Core operating loss for the nine months ended September 30, 2020 increased by $4,909 million compared with the same period in 2019. Core operating loss for the three months ended September 30</w:t>
      </w:r>
      <w:r>
        <w:rPr>
          <w:rFonts w:ascii="Arial" w:eastAsia="宋体" w:hAnsi="Arial" w:cs="Arial"/>
          <w:color w:val="000000"/>
          <w:sz w:val="20"/>
          <w:szCs w:val="20"/>
        </w:rPr>
        <w:t xml:space="preserve">, 2020 was $754 million, compared with core operating earnings of $895 million during the same period in 2019. </w:t>
      </w:r>
    </w:p>
    <w:p w14:paraId="4090F499" w14:textId="77777777" w:rsidR="00833634" w:rsidRDefault="00E15D51">
      <w:pPr>
        <w:spacing w:after="180"/>
        <w:jc w:val="center"/>
      </w:pPr>
      <w:r>
        <w:rPr>
          <w:rFonts w:ascii="Arial" w:eastAsia="宋体" w:hAnsi="Arial" w:cs="Arial"/>
          <w:color w:val="000000"/>
          <w:sz w:val="18"/>
          <w:szCs w:val="18"/>
        </w:rPr>
        <w:t>42</w:t>
      </w:r>
    </w:p>
    <w:p w14:paraId="4090F49A" w14:textId="77777777" w:rsidR="00833634" w:rsidRDefault="00E15D51">
      <w:r>
        <w:pict w14:anchorId="4090FE4A">
          <v:rect id="_x0000_i1068" style="width:415.3pt;height:1.5pt" o:hralign="center" o:hrstd="t" o:hr="t" fillcolor="#a0a0a0" stroked="f"/>
        </w:pict>
      </w:r>
    </w:p>
    <w:p w14:paraId="4090F49B" w14:textId="77777777" w:rsidR="00833634" w:rsidRDefault="00E15D51">
      <w:pPr>
        <w:spacing w:after="180"/>
        <w:jc w:val="both"/>
      </w:pPr>
      <w:hyperlink r:id="rId145" w:anchor="i8d805bfb1e1c4815a1dcd5b6d1e0b117_10" w:history="1">
        <w:r>
          <w:rPr>
            <w:rStyle w:val="a5"/>
            <w:rFonts w:ascii="Arial" w:eastAsia="宋体" w:hAnsi="Arial" w:cs="Arial"/>
            <w:sz w:val="18"/>
            <w:szCs w:val="18"/>
          </w:rPr>
          <w:t>Table of Contents</w:t>
        </w:r>
      </w:hyperlink>
    </w:p>
    <w:p w14:paraId="4090F49C" w14:textId="77777777" w:rsidR="00833634" w:rsidRDefault="00E15D51">
      <w:pPr>
        <w:spacing w:after="180"/>
        <w:jc w:val="both"/>
      </w:pPr>
      <w:r>
        <w:rPr>
          <w:rFonts w:ascii="Arial" w:eastAsia="宋体" w:hAnsi="Arial" w:cs="Arial"/>
          <w:b/>
          <w:bCs/>
          <w:color w:val="000000"/>
          <w:sz w:val="20"/>
          <w:szCs w:val="20"/>
        </w:rPr>
        <w:t>Unallocated Items, Eliminations and Other</w:t>
      </w:r>
    </w:p>
    <w:p w14:paraId="4090F49D" w14:textId="77777777" w:rsidR="00833634" w:rsidRDefault="00E15D51">
      <w:pPr>
        <w:jc w:val="both"/>
      </w:pPr>
      <w:r>
        <w:rPr>
          <w:rFonts w:ascii="Arial" w:eastAsia="宋体" w:hAnsi="Arial" w:cs="Arial"/>
          <w:color w:val="000000"/>
          <w:sz w:val="20"/>
          <w:szCs w:val="20"/>
        </w:rPr>
        <w:t>The most significant items included in Unallocated items, eliminations and other are shown in the following table:</w:t>
      </w:r>
    </w:p>
    <w:tbl>
      <w:tblPr>
        <w:tblW w:w="4992" w:type="pct"/>
        <w:tblCellMar>
          <w:top w:w="15" w:type="dxa"/>
          <w:left w:w="15" w:type="dxa"/>
          <w:bottom w:w="15" w:type="dxa"/>
          <w:right w:w="15" w:type="dxa"/>
        </w:tblCellMar>
        <w:tblLook w:val="04A0" w:firstRow="1" w:lastRow="0" w:firstColumn="1" w:lastColumn="0" w:noHBand="0" w:noVBand="1"/>
      </w:tblPr>
      <w:tblGrid>
        <w:gridCol w:w="59"/>
        <w:gridCol w:w="4376"/>
        <w:gridCol w:w="38"/>
        <w:gridCol w:w="59"/>
        <w:gridCol w:w="792"/>
        <w:gridCol w:w="37"/>
        <w:gridCol w:w="37"/>
        <w:gridCol w:w="37"/>
        <w:gridCol w:w="37"/>
        <w:gridCol w:w="71"/>
        <w:gridCol w:w="769"/>
        <w:gridCol w:w="36"/>
        <w:gridCol w:w="36"/>
        <w:gridCol w:w="36"/>
        <w:gridCol w:w="36"/>
        <w:gridCol w:w="56"/>
        <w:gridCol w:w="785"/>
        <w:gridCol w:w="37"/>
        <w:gridCol w:w="37"/>
        <w:gridCol w:w="37"/>
        <w:gridCol w:w="36"/>
        <w:gridCol w:w="56"/>
        <w:gridCol w:w="787"/>
        <w:gridCol w:w="36"/>
      </w:tblGrid>
      <w:tr w:rsidR="00833634" w14:paraId="4090F4B6" w14:textId="77777777">
        <w:tc>
          <w:tcPr>
            <w:tcW w:w="50" w:type="pct"/>
            <w:shd w:val="clear" w:color="auto" w:fill="auto"/>
          </w:tcPr>
          <w:p w14:paraId="4090F49E" w14:textId="77777777" w:rsidR="00833634" w:rsidRDefault="00833634">
            <w:pPr>
              <w:rPr>
                <w:rFonts w:ascii="宋体"/>
              </w:rPr>
            </w:pPr>
          </w:p>
        </w:tc>
        <w:tc>
          <w:tcPr>
            <w:tcW w:w="2641" w:type="pct"/>
            <w:shd w:val="clear" w:color="auto" w:fill="auto"/>
          </w:tcPr>
          <w:p w14:paraId="4090F49F" w14:textId="77777777" w:rsidR="00833634" w:rsidRDefault="00833634">
            <w:pPr>
              <w:rPr>
                <w:rFonts w:ascii="宋体"/>
              </w:rPr>
            </w:pPr>
          </w:p>
        </w:tc>
        <w:tc>
          <w:tcPr>
            <w:tcW w:w="5" w:type="pct"/>
            <w:shd w:val="clear" w:color="auto" w:fill="auto"/>
          </w:tcPr>
          <w:p w14:paraId="4090F4A0" w14:textId="77777777" w:rsidR="00833634" w:rsidRDefault="00833634">
            <w:pPr>
              <w:rPr>
                <w:rFonts w:ascii="宋体"/>
              </w:rPr>
            </w:pPr>
          </w:p>
        </w:tc>
        <w:tc>
          <w:tcPr>
            <w:tcW w:w="50" w:type="pct"/>
            <w:shd w:val="clear" w:color="auto" w:fill="auto"/>
          </w:tcPr>
          <w:p w14:paraId="4090F4A1" w14:textId="77777777" w:rsidR="00833634" w:rsidRDefault="00833634">
            <w:pPr>
              <w:rPr>
                <w:rFonts w:ascii="宋体"/>
              </w:rPr>
            </w:pPr>
          </w:p>
        </w:tc>
        <w:tc>
          <w:tcPr>
            <w:tcW w:w="490" w:type="pct"/>
            <w:shd w:val="clear" w:color="auto" w:fill="auto"/>
          </w:tcPr>
          <w:p w14:paraId="4090F4A2" w14:textId="77777777" w:rsidR="00833634" w:rsidRDefault="00833634">
            <w:pPr>
              <w:rPr>
                <w:rFonts w:ascii="宋体"/>
              </w:rPr>
            </w:pPr>
          </w:p>
        </w:tc>
        <w:tc>
          <w:tcPr>
            <w:tcW w:w="5" w:type="pct"/>
            <w:shd w:val="clear" w:color="auto" w:fill="auto"/>
          </w:tcPr>
          <w:p w14:paraId="4090F4A3" w14:textId="77777777" w:rsidR="00833634" w:rsidRDefault="00833634">
            <w:pPr>
              <w:rPr>
                <w:rFonts w:ascii="宋体"/>
              </w:rPr>
            </w:pPr>
          </w:p>
        </w:tc>
        <w:tc>
          <w:tcPr>
            <w:tcW w:w="5" w:type="pct"/>
            <w:shd w:val="clear" w:color="auto" w:fill="auto"/>
          </w:tcPr>
          <w:p w14:paraId="4090F4A4" w14:textId="77777777" w:rsidR="00833634" w:rsidRDefault="00833634">
            <w:pPr>
              <w:rPr>
                <w:rFonts w:ascii="宋体"/>
              </w:rPr>
            </w:pPr>
          </w:p>
        </w:tc>
        <w:tc>
          <w:tcPr>
            <w:tcW w:w="30" w:type="pct"/>
            <w:shd w:val="clear" w:color="auto" w:fill="auto"/>
          </w:tcPr>
          <w:p w14:paraId="4090F4A5" w14:textId="77777777" w:rsidR="00833634" w:rsidRDefault="00833634">
            <w:pPr>
              <w:rPr>
                <w:rFonts w:ascii="宋体"/>
              </w:rPr>
            </w:pPr>
          </w:p>
        </w:tc>
        <w:tc>
          <w:tcPr>
            <w:tcW w:w="5" w:type="pct"/>
            <w:shd w:val="clear" w:color="auto" w:fill="auto"/>
          </w:tcPr>
          <w:p w14:paraId="4090F4A6" w14:textId="77777777" w:rsidR="00833634" w:rsidRDefault="00833634">
            <w:pPr>
              <w:rPr>
                <w:rFonts w:ascii="宋体"/>
              </w:rPr>
            </w:pPr>
          </w:p>
        </w:tc>
        <w:tc>
          <w:tcPr>
            <w:tcW w:w="50" w:type="pct"/>
            <w:shd w:val="clear" w:color="auto" w:fill="auto"/>
          </w:tcPr>
          <w:p w14:paraId="4090F4A7" w14:textId="77777777" w:rsidR="00833634" w:rsidRDefault="00833634">
            <w:pPr>
              <w:rPr>
                <w:rFonts w:ascii="宋体"/>
              </w:rPr>
            </w:pPr>
          </w:p>
        </w:tc>
        <w:tc>
          <w:tcPr>
            <w:tcW w:w="490" w:type="pct"/>
            <w:shd w:val="clear" w:color="auto" w:fill="auto"/>
          </w:tcPr>
          <w:p w14:paraId="4090F4A8" w14:textId="77777777" w:rsidR="00833634" w:rsidRDefault="00833634">
            <w:pPr>
              <w:rPr>
                <w:rFonts w:ascii="宋体"/>
              </w:rPr>
            </w:pPr>
          </w:p>
        </w:tc>
        <w:tc>
          <w:tcPr>
            <w:tcW w:w="5" w:type="pct"/>
            <w:shd w:val="clear" w:color="auto" w:fill="auto"/>
          </w:tcPr>
          <w:p w14:paraId="4090F4A9" w14:textId="77777777" w:rsidR="00833634" w:rsidRDefault="00833634">
            <w:pPr>
              <w:rPr>
                <w:rFonts w:ascii="宋体"/>
              </w:rPr>
            </w:pPr>
          </w:p>
        </w:tc>
        <w:tc>
          <w:tcPr>
            <w:tcW w:w="5" w:type="pct"/>
            <w:shd w:val="clear" w:color="auto" w:fill="auto"/>
          </w:tcPr>
          <w:p w14:paraId="4090F4AA" w14:textId="77777777" w:rsidR="00833634" w:rsidRDefault="00833634">
            <w:pPr>
              <w:rPr>
                <w:rFonts w:ascii="宋体"/>
              </w:rPr>
            </w:pPr>
          </w:p>
        </w:tc>
        <w:tc>
          <w:tcPr>
            <w:tcW w:w="30" w:type="pct"/>
            <w:shd w:val="clear" w:color="auto" w:fill="auto"/>
          </w:tcPr>
          <w:p w14:paraId="4090F4AB" w14:textId="77777777" w:rsidR="00833634" w:rsidRDefault="00833634">
            <w:pPr>
              <w:rPr>
                <w:rFonts w:ascii="宋体"/>
              </w:rPr>
            </w:pPr>
          </w:p>
        </w:tc>
        <w:tc>
          <w:tcPr>
            <w:tcW w:w="5" w:type="pct"/>
            <w:shd w:val="clear" w:color="auto" w:fill="auto"/>
          </w:tcPr>
          <w:p w14:paraId="4090F4AC" w14:textId="77777777" w:rsidR="00833634" w:rsidRDefault="00833634">
            <w:pPr>
              <w:rPr>
                <w:rFonts w:ascii="宋体"/>
              </w:rPr>
            </w:pPr>
          </w:p>
        </w:tc>
        <w:tc>
          <w:tcPr>
            <w:tcW w:w="50" w:type="pct"/>
            <w:shd w:val="clear" w:color="auto" w:fill="auto"/>
          </w:tcPr>
          <w:p w14:paraId="4090F4AD" w14:textId="77777777" w:rsidR="00833634" w:rsidRDefault="00833634">
            <w:pPr>
              <w:rPr>
                <w:rFonts w:ascii="宋体"/>
              </w:rPr>
            </w:pPr>
          </w:p>
        </w:tc>
        <w:tc>
          <w:tcPr>
            <w:tcW w:w="490" w:type="pct"/>
            <w:shd w:val="clear" w:color="auto" w:fill="auto"/>
          </w:tcPr>
          <w:p w14:paraId="4090F4AE" w14:textId="77777777" w:rsidR="00833634" w:rsidRDefault="00833634">
            <w:pPr>
              <w:rPr>
                <w:rFonts w:ascii="宋体"/>
              </w:rPr>
            </w:pPr>
          </w:p>
        </w:tc>
        <w:tc>
          <w:tcPr>
            <w:tcW w:w="5" w:type="pct"/>
            <w:shd w:val="clear" w:color="auto" w:fill="auto"/>
          </w:tcPr>
          <w:p w14:paraId="4090F4AF" w14:textId="77777777" w:rsidR="00833634" w:rsidRDefault="00833634">
            <w:pPr>
              <w:rPr>
                <w:rFonts w:ascii="宋体"/>
              </w:rPr>
            </w:pPr>
          </w:p>
        </w:tc>
        <w:tc>
          <w:tcPr>
            <w:tcW w:w="5" w:type="pct"/>
            <w:shd w:val="clear" w:color="auto" w:fill="auto"/>
          </w:tcPr>
          <w:p w14:paraId="4090F4B0" w14:textId="77777777" w:rsidR="00833634" w:rsidRDefault="00833634">
            <w:pPr>
              <w:rPr>
                <w:rFonts w:ascii="宋体"/>
              </w:rPr>
            </w:pPr>
          </w:p>
        </w:tc>
        <w:tc>
          <w:tcPr>
            <w:tcW w:w="30" w:type="pct"/>
            <w:shd w:val="clear" w:color="auto" w:fill="auto"/>
          </w:tcPr>
          <w:p w14:paraId="4090F4B1" w14:textId="77777777" w:rsidR="00833634" w:rsidRDefault="00833634">
            <w:pPr>
              <w:rPr>
                <w:rFonts w:ascii="宋体"/>
              </w:rPr>
            </w:pPr>
          </w:p>
        </w:tc>
        <w:tc>
          <w:tcPr>
            <w:tcW w:w="5" w:type="pct"/>
            <w:shd w:val="clear" w:color="auto" w:fill="auto"/>
          </w:tcPr>
          <w:p w14:paraId="4090F4B2" w14:textId="77777777" w:rsidR="00833634" w:rsidRDefault="00833634">
            <w:pPr>
              <w:rPr>
                <w:rFonts w:ascii="宋体"/>
              </w:rPr>
            </w:pPr>
          </w:p>
        </w:tc>
        <w:tc>
          <w:tcPr>
            <w:tcW w:w="50" w:type="pct"/>
            <w:shd w:val="clear" w:color="auto" w:fill="auto"/>
          </w:tcPr>
          <w:p w14:paraId="4090F4B3" w14:textId="77777777" w:rsidR="00833634" w:rsidRDefault="00833634">
            <w:pPr>
              <w:rPr>
                <w:rFonts w:ascii="宋体"/>
              </w:rPr>
            </w:pPr>
          </w:p>
        </w:tc>
        <w:tc>
          <w:tcPr>
            <w:tcW w:w="491" w:type="pct"/>
            <w:shd w:val="clear" w:color="auto" w:fill="auto"/>
          </w:tcPr>
          <w:p w14:paraId="4090F4B4" w14:textId="77777777" w:rsidR="00833634" w:rsidRDefault="00833634">
            <w:pPr>
              <w:rPr>
                <w:rFonts w:ascii="宋体"/>
              </w:rPr>
            </w:pPr>
          </w:p>
        </w:tc>
        <w:tc>
          <w:tcPr>
            <w:tcW w:w="5" w:type="pct"/>
            <w:shd w:val="clear" w:color="auto" w:fill="auto"/>
          </w:tcPr>
          <w:p w14:paraId="4090F4B5" w14:textId="77777777" w:rsidR="00833634" w:rsidRDefault="00833634">
            <w:pPr>
              <w:rPr>
                <w:rFonts w:ascii="宋体"/>
              </w:rPr>
            </w:pPr>
          </w:p>
        </w:tc>
      </w:tr>
      <w:tr w:rsidR="00833634" w14:paraId="4090F4BB" w14:textId="77777777">
        <w:tc>
          <w:tcPr>
            <w:tcW w:w="0" w:type="auto"/>
            <w:gridSpan w:val="3"/>
            <w:shd w:val="clear" w:color="auto" w:fill="auto"/>
            <w:tcMar>
              <w:top w:w="40" w:type="dxa"/>
              <w:left w:w="20" w:type="dxa"/>
              <w:bottom w:w="40" w:type="dxa"/>
              <w:right w:w="20" w:type="dxa"/>
            </w:tcMar>
            <w:vAlign w:val="bottom"/>
          </w:tcPr>
          <w:p w14:paraId="4090F4B7"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4B8"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4B9"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4BA"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4C4"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4B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4BD"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4B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4BF"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4C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4C1"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4C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4C3" w14:textId="77777777" w:rsidR="00833634" w:rsidRDefault="00E15D51">
            <w:pPr>
              <w:jc w:val="right"/>
              <w:textAlignment w:val="bottom"/>
            </w:pPr>
            <w:r>
              <w:rPr>
                <w:rFonts w:ascii="Arial" w:eastAsia="宋体" w:hAnsi="Arial" w:cs="Arial"/>
                <w:color w:val="000000"/>
                <w:sz w:val="20"/>
                <w:szCs w:val="20"/>
              </w:rPr>
              <w:t>2019</w:t>
            </w:r>
          </w:p>
        </w:tc>
      </w:tr>
      <w:tr w:rsidR="00833634" w14:paraId="4090F4D1"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4C5" w14:textId="77777777" w:rsidR="00833634" w:rsidRDefault="00E15D51">
            <w:pPr>
              <w:textAlignment w:val="bottom"/>
            </w:pPr>
            <w:r>
              <w:rPr>
                <w:rFonts w:ascii="Arial" w:eastAsia="宋体" w:hAnsi="Arial" w:cs="Arial"/>
                <w:color w:val="000000"/>
                <w:sz w:val="20"/>
                <w:szCs w:val="20"/>
              </w:rPr>
              <w:t>Share-based plans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C6" w14:textId="77777777" w:rsidR="00833634" w:rsidRDefault="00E15D51">
            <w:pPr>
              <w:jc w:val="right"/>
              <w:textAlignment w:val="bottom"/>
            </w:pPr>
            <w:r>
              <w:rPr>
                <w:rFonts w:ascii="Arial" w:eastAsia="宋体" w:hAnsi="Arial" w:cs="Arial"/>
                <w:b/>
                <w:bCs/>
                <w:color w:val="000000"/>
                <w:sz w:val="20"/>
                <w:szCs w:val="20"/>
              </w:rPr>
              <w:t>($80)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C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C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C9" w14:textId="77777777" w:rsidR="00833634" w:rsidRDefault="00E15D51">
            <w:pPr>
              <w:jc w:val="right"/>
              <w:textAlignment w:val="bottom"/>
            </w:pPr>
            <w:r>
              <w:rPr>
                <w:rFonts w:ascii="Arial" w:eastAsia="宋体" w:hAnsi="Arial" w:cs="Arial"/>
                <w:color w:val="000000"/>
                <w:sz w:val="20"/>
                <w:szCs w:val="20"/>
              </w:rPr>
              <w:t>($57)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C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C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CC" w14:textId="77777777" w:rsidR="00833634" w:rsidRDefault="00E15D51">
            <w:pPr>
              <w:jc w:val="right"/>
              <w:textAlignment w:val="bottom"/>
            </w:pPr>
            <w:r>
              <w:rPr>
                <w:rFonts w:ascii="Arial" w:eastAsia="宋体" w:hAnsi="Arial" w:cs="Arial"/>
                <w:b/>
                <w:bCs/>
                <w:color w:val="000000"/>
                <w:sz w:val="20"/>
                <w:szCs w:val="20"/>
              </w:rPr>
              <w:t>($37)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C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4C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4CF" w14:textId="77777777" w:rsidR="00833634" w:rsidRDefault="00E15D51">
            <w:pPr>
              <w:jc w:val="right"/>
              <w:textAlignment w:val="bottom"/>
            </w:pPr>
            <w:r>
              <w:rPr>
                <w:rFonts w:ascii="Arial" w:eastAsia="宋体" w:hAnsi="Arial" w:cs="Arial"/>
                <w:color w:val="000000"/>
                <w:sz w:val="20"/>
                <w:szCs w:val="20"/>
              </w:rPr>
              <w:t>($21)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4D0" w14:textId="77777777" w:rsidR="00833634" w:rsidRDefault="00833634">
            <w:pPr>
              <w:jc w:val="right"/>
              <w:rPr>
                <w:rFonts w:ascii="宋体"/>
              </w:rPr>
            </w:pPr>
          </w:p>
        </w:tc>
      </w:tr>
      <w:tr w:rsidR="00833634" w14:paraId="4090F4DE" w14:textId="77777777">
        <w:tc>
          <w:tcPr>
            <w:tcW w:w="0" w:type="auto"/>
            <w:gridSpan w:val="3"/>
            <w:shd w:val="clear" w:color="auto" w:fill="FFFFFF"/>
            <w:tcMar>
              <w:top w:w="40" w:type="dxa"/>
              <w:left w:w="20" w:type="dxa"/>
              <w:bottom w:w="40" w:type="dxa"/>
              <w:right w:w="20" w:type="dxa"/>
            </w:tcMar>
            <w:vAlign w:val="bottom"/>
          </w:tcPr>
          <w:p w14:paraId="4090F4D2" w14:textId="77777777" w:rsidR="00833634" w:rsidRDefault="00E15D51">
            <w:pPr>
              <w:textAlignment w:val="bottom"/>
            </w:pPr>
            <w:r>
              <w:rPr>
                <w:rFonts w:ascii="Arial" w:eastAsia="宋体" w:hAnsi="Arial" w:cs="Arial"/>
                <w:color w:val="000000"/>
                <w:sz w:val="20"/>
                <w:szCs w:val="20"/>
              </w:rPr>
              <w:t>Deferred compensation</w:t>
            </w:r>
          </w:p>
        </w:tc>
        <w:tc>
          <w:tcPr>
            <w:tcW w:w="0" w:type="auto"/>
            <w:gridSpan w:val="2"/>
            <w:shd w:val="clear" w:color="auto" w:fill="FFFFFF"/>
            <w:tcMar>
              <w:top w:w="40" w:type="dxa"/>
              <w:left w:w="20" w:type="dxa"/>
              <w:bottom w:w="40" w:type="dxa"/>
              <w:right w:w="0" w:type="dxa"/>
            </w:tcMar>
            <w:vAlign w:val="bottom"/>
          </w:tcPr>
          <w:p w14:paraId="4090F4D3" w14:textId="77777777" w:rsidR="00833634" w:rsidRDefault="00E15D51">
            <w:pPr>
              <w:jc w:val="right"/>
              <w:textAlignment w:val="bottom"/>
            </w:pPr>
            <w:r>
              <w:rPr>
                <w:rFonts w:ascii="Arial" w:eastAsia="宋体" w:hAnsi="Arial" w:cs="Arial"/>
                <w:b/>
                <w:bCs/>
                <w:color w:val="000000"/>
                <w:sz w:val="20"/>
                <w:szCs w:val="20"/>
              </w:rPr>
              <w:t>34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4D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D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D6" w14:textId="77777777" w:rsidR="00833634" w:rsidRDefault="00E15D51">
            <w:pPr>
              <w:jc w:val="right"/>
              <w:textAlignment w:val="bottom"/>
            </w:pPr>
            <w:r>
              <w:rPr>
                <w:rFonts w:ascii="Arial" w:eastAsia="宋体" w:hAnsi="Arial" w:cs="Arial"/>
                <w:color w:val="000000"/>
                <w:sz w:val="20"/>
                <w:szCs w:val="20"/>
              </w:rPr>
              <w:t>(154)</w:t>
            </w:r>
          </w:p>
        </w:tc>
        <w:tc>
          <w:tcPr>
            <w:tcW w:w="0" w:type="auto"/>
            <w:shd w:val="clear" w:color="auto" w:fill="FFFFFF"/>
            <w:tcMar>
              <w:top w:w="40" w:type="dxa"/>
              <w:left w:w="0" w:type="dxa"/>
              <w:bottom w:w="40" w:type="dxa"/>
              <w:right w:w="20" w:type="dxa"/>
            </w:tcMar>
            <w:vAlign w:val="bottom"/>
          </w:tcPr>
          <w:p w14:paraId="4090F4D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D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D9" w14:textId="77777777" w:rsidR="00833634" w:rsidRDefault="00E15D51">
            <w:pPr>
              <w:jc w:val="right"/>
              <w:textAlignment w:val="bottom"/>
            </w:pPr>
            <w:r>
              <w:rPr>
                <w:rFonts w:ascii="Arial" w:eastAsia="宋体" w:hAnsi="Arial" w:cs="Arial"/>
                <w:b/>
                <w:bCs/>
                <w:color w:val="000000"/>
                <w:sz w:val="20"/>
                <w:szCs w:val="20"/>
              </w:rPr>
              <w:t>(39)</w:t>
            </w:r>
          </w:p>
        </w:tc>
        <w:tc>
          <w:tcPr>
            <w:tcW w:w="0" w:type="auto"/>
            <w:shd w:val="clear" w:color="auto" w:fill="FFFFFF"/>
            <w:tcMar>
              <w:top w:w="40" w:type="dxa"/>
              <w:left w:w="0" w:type="dxa"/>
              <w:bottom w:w="40" w:type="dxa"/>
              <w:right w:w="20" w:type="dxa"/>
            </w:tcMar>
            <w:vAlign w:val="bottom"/>
          </w:tcPr>
          <w:p w14:paraId="4090F4D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D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DC" w14:textId="77777777" w:rsidR="00833634" w:rsidRDefault="00E15D51">
            <w:pPr>
              <w:jc w:val="right"/>
              <w:textAlignment w:val="bottom"/>
            </w:pPr>
            <w:r>
              <w:rPr>
                <w:rFonts w:ascii="Arial" w:eastAsia="宋体" w:hAnsi="Arial" w:cs="Arial"/>
                <w:color w:val="000000"/>
                <w:sz w:val="20"/>
                <w:szCs w:val="20"/>
              </w:rPr>
              <w:t>(25)</w:t>
            </w:r>
          </w:p>
        </w:tc>
        <w:tc>
          <w:tcPr>
            <w:tcW w:w="0" w:type="auto"/>
            <w:shd w:val="clear" w:color="auto" w:fill="FFFFFF"/>
            <w:tcMar>
              <w:top w:w="40" w:type="dxa"/>
              <w:left w:w="0" w:type="dxa"/>
              <w:bottom w:w="40" w:type="dxa"/>
              <w:right w:w="20" w:type="dxa"/>
            </w:tcMar>
            <w:vAlign w:val="bottom"/>
          </w:tcPr>
          <w:p w14:paraId="4090F4DD" w14:textId="77777777" w:rsidR="00833634" w:rsidRDefault="00833634">
            <w:pPr>
              <w:jc w:val="right"/>
              <w:rPr>
                <w:rFonts w:ascii="宋体"/>
              </w:rPr>
            </w:pPr>
          </w:p>
        </w:tc>
      </w:tr>
      <w:tr w:rsidR="00833634" w14:paraId="4090F4EB" w14:textId="77777777">
        <w:tc>
          <w:tcPr>
            <w:tcW w:w="0" w:type="auto"/>
            <w:gridSpan w:val="3"/>
            <w:shd w:val="clear" w:color="auto" w:fill="CCEEFF"/>
            <w:tcMar>
              <w:top w:w="40" w:type="dxa"/>
              <w:left w:w="20" w:type="dxa"/>
              <w:bottom w:w="40" w:type="dxa"/>
              <w:right w:w="20" w:type="dxa"/>
            </w:tcMar>
            <w:vAlign w:val="bottom"/>
          </w:tcPr>
          <w:p w14:paraId="4090F4DF" w14:textId="77777777" w:rsidR="00833634" w:rsidRDefault="00E15D51">
            <w:pPr>
              <w:textAlignment w:val="bottom"/>
            </w:pPr>
            <w:r>
              <w:rPr>
                <w:rFonts w:ascii="Arial" w:eastAsia="宋体" w:hAnsi="Arial" w:cs="Arial"/>
                <w:color w:val="000000"/>
                <w:sz w:val="20"/>
                <w:szCs w:val="20"/>
              </w:rPr>
              <w:t>Amortization of previously capitalized interest</w:t>
            </w:r>
          </w:p>
        </w:tc>
        <w:tc>
          <w:tcPr>
            <w:tcW w:w="0" w:type="auto"/>
            <w:gridSpan w:val="2"/>
            <w:shd w:val="clear" w:color="auto" w:fill="CCEEFF"/>
            <w:tcMar>
              <w:top w:w="40" w:type="dxa"/>
              <w:left w:w="20" w:type="dxa"/>
              <w:bottom w:w="40" w:type="dxa"/>
              <w:right w:w="0" w:type="dxa"/>
            </w:tcMar>
            <w:vAlign w:val="bottom"/>
          </w:tcPr>
          <w:p w14:paraId="4090F4E0" w14:textId="77777777" w:rsidR="00833634" w:rsidRDefault="00E15D51">
            <w:pPr>
              <w:jc w:val="right"/>
              <w:textAlignment w:val="bottom"/>
            </w:pPr>
            <w:r>
              <w:rPr>
                <w:rFonts w:ascii="Arial" w:eastAsia="宋体" w:hAnsi="Arial" w:cs="Arial"/>
                <w:b/>
                <w:bCs/>
                <w:color w:val="000000"/>
                <w:sz w:val="20"/>
                <w:szCs w:val="20"/>
              </w:rPr>
              <w:t>(69)</w:t>
            </w:r>
          </w:p>
        </w:tc>
        <w:tc>
          <w:tcPr>
            <w:tcW w:w="0" w:type="auto"/>
            <w:shd w:val="clear" w:color="auto" w:fill="CCEEFF"/>
            <w:tcMar>
              <w:top w:w="40" w:type="dxa"/>
              <w:left w:w="0" w:type="dxa"/>
              <w:bottom w:w="40" w:type="dxa"/>
              <w:right w:w="20" w:type="dxa"/>
            </w:tcMar>
            <w:vAlign w:val="bottom"/>
          </w:tcPr>
          <w:p w14:paraId="4090F4E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E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E3" w14:textId="77777777" w:rsidR="00833634" w:rsidRDefault="00E15D51">
            <w:pPr>
              <w:jc w:val="right"/>
              <w:textAlignment w:val="bottom"/>
            </w:pPr>
            <w:r>
              <w:rPr>
                <w:rFonts w:ascii="Arial" w:eastAsia="宋体" w:hAnsi="Arial" w:cs="Arial"/>
                <w:color w:val="000000"/>
                <w:sz w:val="20"/>
                <w:szCs w:val="20"/>
              </w:rPr>
              <w:t>(68)</w:t>
            </w:r>
          </w:p>
        </w:tc>
        <w:tc>
          <w:tcPr>
            <w:tcW w:w="0" w:type="auto"/>
            <w:shd w:val="clear" w:color="auto" w:fill="CCEEFF"/>
            <w:tcMar>
              <w:top w:w="40" w:type="dxa"/>
              <w:left w:w="0" w:type="dxa"/>
              <w:bottom w:w="40" w:type="dxa"/>
              <w:right w:w="20" w:type="dxa"/>
            </w:tcMar>
            <w:vAlign w:val="bottom"/>
          </w:tcPr>
          <w:p w14:paraId="4090F4E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E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E6" w14:textId="77777777" w:rsidR="00833634" w:rsidRDefault="00E15D51">
            <w:pPr>
              <w:jc w:val="right"/>
              <w:textAlignment w:val="bottom"/>
            </w:pPr>
            <w:r>
              <w:rPr>
                <w:rFonts w:ascii="Arial" w:eastAsia="宋体" w:hAnsi="Arial" w:cs="Arial"/>
                <w:b/>
                <w:bCs/>
                <w:color w:val="000000"/>
                <w:sz w:val="20"/>
                <w:szCs w:val="20"/>
              </w:rPr>
              <w:t>(19)</w:t>
            </w:r>
          </w:p>
        </w:tc>
        <w:tc>
          <w:tcPr>
            <w:tcW w:w="0" w:type="auto"/>
            <w:shd w:val="clear" w:color="auto" w:fill="CCEEFF"/>
            <w:tcMar>
              <w:top w:w="40" w:type="dxa"/>
              <w:left w:w="0" w:type="dxa"/>
              <w:bottom w:w="40" w:type="dxa"/>
              <w:right w:w="20" w:type="dxa"/>
            </w:tcMar>
            <w:vAlign w:val="bottom"/>
          </w:tcPr>
          <w:p w14:paraId="4090F4E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E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E9" w14:textId="77777777" w:rsidR="00833634" w:rsidRDefault="00E15D51">
            <w:pPr>
              <w:jc w:val="right"/>
              <w:textAlignment w:val="bottom"/>
            </w:pPr>
            <w:r>
              <w:rPr>
                <w:rFonts w:ascii="Arial" w:eastAsia="宋体" w:hAnsi="Arial" w:cs="Arial"/>
                <w:color w:val="000000"/>
                <w:sz w:val="20"/>
                <w:szCs w:val="20"/>
              </w:rPr>
              <w:t>(23)</w:t>
            </w:r>
          </w:p>
        </w:tc>
        <w:tc>
          <w:tcPr>
            <w:tcW w:w="0" w:type="auto"/>
            <w:shd w:val="clear" w:color="auto" w:fill="CCEEFF"/>
            <w:tcMar>
              <w:top w:w="40" w:type="dxa"/>
              <w:left w:w="0" w:type="dxa"/>
              <w:bottom w:w="40" w:type="dxa"/>
              <w:right w:w="20" w:type="dxa"/>
            </w:tcMar>
            <w:vAlign w:val="bottom"/>
          </w:tcPr>
          <w:p w14:paraId="4090F4EA" w14:textId="77777777" w:rsidR="00833634" w:rsidRDefault="00833634">
            <w:pPr>
              <w:jc w:val="right"/>
              <w:rPr>
                <w:rFonts w:ascii="宋体"/>
              </w:rPr>
            </w:pPr>
          </w:p>
        </w:tc>
      </w:tr>
      <w:tr w:rsidR="00833634" w14:paraId="4090F4F8" w14:textId="77777777">
        <w:tc>
          <w:tcPr>
            <w:tcW w:w="0" w:type="auto"/>
            <w:gridSpan w:val="3"/>
            <w:shd w:val="clear" w:color="auto" w:fill="FFFFFF"/>
            <w:tcMar>
              <w:top w:w="40" w:type="dxa"/>
              <w:left w:w="20" w:type="dxa"/>
              <w:bottom w:w="40" w:type="dxa"/>
              <w:right w:w="20" w:type="dxa"/>
            </w:tcMar>
            <w:vAlign w:val="bottom"/>
          </w:tcPr>
          <w:p w14:paraId="4090F4EC" w14:textId="77777777" w:rsidR="00833634" w:rsidRDefault="00E15D51">
            <w:pPr>
              <w:textAlignment w:val="bottom"/>
            </w:pPr>
            <w:r>
              <w:rPr>
                <w:rFonts w:ascii="Arial" w:eastAsia="宋体" w:hAnsi="Arial" w:cs="Arial"/>
                <w:color w:val="000000"/>
                <w:sz w:val="20"/>
                <w:szCs w:val="20"/>
              </w:rPr>
              <w:t>Research and development expense, net</w:t>
            </w:r>
          </w:p>
        </w:tc>
        <w:tc>
          <w:tcPr>
            <w:tcW w:w="0" w:type="auto"/>
            <w:gridSpan w:val="2"/>
            <w:shd w:val="clear" w:color="auto" w:fill="FFFFFF"/>
            <w:tcMar>
              <w:top w:w="40" w:type="dxa"/>
              <w:left w:w="20" w:type="dxa"/>
              <w:bottom w:w="40" w:type="dxa"/>
              <w:right w:w="0" w:type="dxa"/>
            </w:tcMar>
            <w:vAlign w:val="bottom"/>
          </w:tcPr>
          <w:p w14:paraId="4090F4ED" w14:textId="77777777" w:rsidR="00833634" w:rsidRDefault="00E15D51">
            <w:pPr>
              <w:jc w:val="right"/>
              <w:textAlignment w:val="bottom"/>
            </w:pPr>
            <w:r>
              <w:rPr>
                <w:rFonts w:ascii="Arial" w:eastAsia="宋体" w:hAnsi="Arial" w:cs="Arial"/>
                <w:b/>
                <w:bCs/>
                <w:color w:val="000000"/>
                <w:sz w:val="20"/>
                <w:szCs w:val="20"/>
              </w:rPr>
              <w:t>(160)</w:t>
            </w:r>
          </w:p>
        </w:tc>
        <w:tc>
          <w:tcPr>
            <w:tcW w:w="0" w:type="auto"/>
            <w:shd w:val="clear" w:color="auto" w:fill="FFFFFF"/>
            <w:tcMar>
              <w:top w:w="40" w:type="dxa"/>
              <w:left w:w="0" w:type="dxa"/>
              <w:bottom w:w="40" w:type="dxa"/>
              <w:right w:w="20" w:type="dxa"/>
            </w:tcMar>
            <w:vAlign w:val="bottom"/>
          </w:tcPr>
          <w:p w14:paraId="4090F4E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E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F0" w14:textId="77777777" w:rsidR="00833634" w:rsidRDefault="00E15D51">
            <w:pPr>
              <w:jc w:val="right"/>
              <w:textAlignment w:val="bottom"/>
            </w:pPr>
            <w:r>
              <w:rPr>
                <w:rFonts w:ascii="Arial" w:eastAsia="宋体" w:hAnsi="Arial" w:cs="Arial"/>
                <w:color w:val="000000"/>
                <w:sz w:val="20"/>
                <w:szCs w:val="20"/>
              </w:rPr>
              <w:t>(283)</w:t>
            </w:r>
          </w:p>
        </w:tc>
        <w:tc>
          <w:tcPr>
            <w:tcW w:w="0" w:type="auto"/>
            <w:shd w:val="clear" w:color="auto" w:fill="FFFFFF"/>
            <w:tcMar>
              <w:top w:w="40" w:type="dxa"/>
              <w:left w:w="0" w:type="dxa"/>
              <w:bottom w:w="40" w:type="dxa"/>
              <w:right w:w="20" w:type="dxa"/>
            </w:tcMar>
            <w:vAlign w:val="bottom"/>
          </w:tcPr>
          <w:p w14:paraId="4090F4F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F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F3" w14:textId="77777777" w:rsidR="00833634" w:rsidRDefault="00E15D51">
            <w:pPr>
              <w:jc w:val="right"/>
              <w:textAlignment w:val="bottom"/>
            </w:pPr>
            <w:r>
              <w:rPr>
                <w:rFonts w:ascii="Arial" w:eastAsia="宋体" w:hAnsi="Arial" w:cs="Arial"/>
                <w:b/>
                <w:bCs/>
                <w:color w:val="000000"/>
                <w:sz w:val="20"/>
                <w:szCs w:val="20"/>
              </w:rPr>
              <w:t>(44)</w:t>
            </w:r>
          </w:p>
        </w:tc>
        <w:tc>
          <w:tcPr>
            <w:tcW w:w="0" w:type="auto"/>
            <w:shd w:val="clear" w:color="auto" w:fill="FFFFFF"/>
            <w:tcMar>
              <w:top w:w="40" w:type="dxa"/>
              <w:left w:w="0" w:type="dxa"/>
              <w:bottom w:w="40" w:type="dxa"/>
              <w:right w:w="20" w:type="dxa"/>
            </w:tcMar>
            <w:vAlign w:val="bottom"/>
          </w:tcPr>
          <w:p w14:paraId="4090F4F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4F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4F6" w14:textId="77777777" w:rsidR="00833634" w:rsidRDefault="00E15D51">
            <w:pPr>
              <w:jc w:val="right"/>
              <w:textAlignment w:val="bottom"/>
            </w:pPr>
            <w:r>
              <w:rPr>
                <w:rFonts w:ascii="Arial" w:eastAsia="宋体" w:hAnsi="Arial" w:cs="Arial"/>
                <w:color w:val="000000"/>
                <w:sz w:val="20"/>
                <w:szCs w:val="20"/>
              </w:rPr>
              <w:t>(100)</w:t>
            </w:r>
          </w:p>
        </w:tc>
        <w:tc>
          <w:tcPr>
            <w:tcW w:w="0" w:type="auto"/>
            <w:shd w:val="clear" w:color="auto" w:fill="FFFFFF"/>
            <w:tcMar>
              <w:top w:w="40" w:type="dxa"/>
              <w:left w:w="0" w:type="dxa"/>
              <w:bottom w:w="40" w:type="dxa"/>
              <w:right w:w="20" w:type="dxa"/>
            </w:tcMar>
            <w:vAlign w:val="bottom"/>
          </w:tcPr>
          <w:p w14:paraId="4090F4F7" w14:textId="77777777" w:rsidR="00833634" w:rsidRDefault="00833634">
            <w:pPr>
              <w:jc w:val="right"/>
              <w:rPr>
                <w:rFonts w:ascii="宋体"/>
              </w:rPr>
            </w:pPr>
          </w:p>
        </w:tc>
      </w:tr>
      <w:tr w:rsidR="00833634" w14:paraId="4090F502" w14:textId="77777777">
        <w:tc>
          <w:tcPr>
            <w:tcW w:w="0" w:type="auto"/>
            <w:gridSpan w:val="3"/>
            <w:shd w:val="clear" w:color="auto" w:fill="CCEEFF"/>
            <w:tcMar>
              <w:top w:w="40" w:type="dxa"/>
              <w:left w:w="20" w:type="dxa"/>
              <w:bottom w:w="40" w:type="dxa"/>
              <w:right w:w="20" w:type="dxa"/>
            </w:tcMar>
            <w:vAlign w:val="bottom"/>
          </w:tcPr>
          <w:p w14:paraId="4090F4F9" w14:textId="77777777" w:rsidR="00833634" w:rsidRDefault="00E15D51">
            <w:pPr>
              <w:textAlignment w:val="bottom"/>
            </w:pPr>
            <w:r>
              <w:rPr>
                <w:rFonts w:ascii="Arial" w:eastAsia="宋体" w:hAnsi="Arial" w:cs="Arial"/>
                <w:color w:val="000000"/>
                <w:sz w:val="20"/>
                <w:szCs w:val="20"/>
              </w:rPr>
              <w:t>Customer financing impairment</w:t>
            </w:r>
          </w:p>
        </w:tc>
        <w:tc>
          <w:tcPr>
            <w:tcW w:w="0" w:type="auto"/>
            <w:gridSpan w:val="3"/>
            <w:shd w:val="clear" w:color="auto" w:fill="CCEEFF"/>
            <w:tcMar>
              <w:top w:w="0" w:type="dxa"/>
              <w:left w:w="20" w:type="dxa"/>
              <w:bottom w:w="0" w:type="dxa"/>
              <w:right w:w="20" w:type="dxa"/>
            </w:tcMar>
          </w:tcPr>
          <w:p w14:paraId="4090F4FA"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4F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4FC" w14:textId="77777777" w:rsidR="00833634" w:rsidRDefault="00E15D51">
            <w:pPr>
              <w:jc w:val="right"/>
              <w:textAlignment w:val="bottom"/>
            </w:pPr>
            <w:r>
              <w:rPr>
                <w:rFonts w:ascii="Arial" w:eastAsia="宋体" w:hAnsi="Arial" w:cs="Arial"/>
                <w:color w:val="000000"/>
                <w:sz w:val="20"/>
                <w:szCs w:val="20"/>
              </w:rPr>
              <w:t>(250)</w:t>
            </w:r>
          </w:p>
        </w:tc>
        <w:tc>
          <w:tcPr>
            <w:tcW w:w="0" w:type="auto"/>
            <w:shd w:val="clear" w:color="auto" w:fill="CCEEFF"/>
            <w:tcMar>
              <w:top w:w="40" w:type="dxa"/>
              <w:left w:w="0" w:type="dxa"/>
              <w:bottom w:w="40" w:type="dxa"/>
              <w:right w:w="20" w:type="dxa"/>
            </w:tcMar>
            <w:vAlign w:val="bottom"/>
          </w:tcPr>
          <w:p w14:paraId="4090F4F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4FE"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4FF"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500"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501" w14:textId="77777777" w:rsidR="00833634" w:rsidRDefault="00833634">
            <w:pPr>
              <w:rPr>
                <w:rFonts w:ascii="宋体"/>
              </w:rPr>
            </w:pPr>
          </w:p>
        </w:tc>
      </w:tr>
      <w:tr w:rsidR="00833634" w14:paraId="4090F50C" w14:textId="77777777">
        <w:tc>
          <w:tcPr>
            <w:tcW w:w="0" w:type="auto"/>
            <w:gridSpan w:val="3"/>
            <w:shd w:val="clear" w:color="auto" w:fill="FFFFFF"/>
            <w:tcMar>
              <w:top w:w="40" w:type="dxa"/>
              <w:left w:w="20" w:type="dxa"/>
              <w:bottom w:w="40" w:type="dxa"/>
              <w:right w:w="20" w:type="dxa"/>
            </w:tcMar>
            <w:vAlign w:val="bottom"/>
          </w:tcPr>
          <w:p w14:paraId="4090F503" w14:textId="77777777" w:rsidR="00833634" w:rsidRDefault="00E15D51">
            <w:pPr>
              <w:textAlignment w:val="bottom"/>
            </w:pPr>
            <w:r>
              <w:rPr>
                <w:rFonts w:ascii="Arial" w:eastAsia="宋体" w:hAnsi="Arial" w:cs="Arial"/>
                <w:color w:val="000000"/>
                <w:sz w:val="20"/>
                <w:szCs w:val="20"/>
              </w:rPr>
              <w:t xml:space="preserve">Litigation </w:t>
            </w:r>
          </w:p>
        </w:tc>
        <w:tc>
          <w:tcPr>
            <w:tcW w:w="0" w:type="auto"/>
            <w:gridSpan w:val="3"/>
            <w:shd w:val="clear" w:color="auto" w:fill="FFFFFF"/>
            <w:tcMar>
              <w:top w:w="0" w:type="dxa"/>
              <w:left w:w="20" w:type="dxa"/>
              <w:bottom w:w="0" w:type="dxa"/>
              <w:right w:w="20" w:type="dxa"/>
            </w:tcMar>
          </w:tcPr>
          <w:p w14:paraId="4090F504"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50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506" w14:textId="77777777" w:rsidR="00833634" w:rsidRDefault="00E15D51">
            <w:pPr>
              <w:jc w:val="right"/>
              <w:textAlignment w:val="bottom"/>
            </w:pPr>
            <w:r>
              <w:rPr>
                <w:rFonts w:ascii="Arial" w:eastAsia="宋体" w:hAnsi="Arial" w:cs="Arial"/>
                <w:color w:val="000000"/>
                <w:sz w:val="20"/>
                <w:szCs w:val="20"/>
              </w:rPr>
              <w:t>(109)</w:t>
            </w:r>
          </w:p>
        </w:tc>
        <w:tc>
          <w:tcPr>
            <w:tcW w:w="0" w:type="auto"/>
            <w:shd w:val="clear" w:color="auto" w:fill="FFFFFF"/>
            <w:tcMar>
              <w:top w:w="40" w:type="dxa"/>
              <w:left w:w="0" w:type="dxa"/>
              <w:bottom w:w="40" w:type="dxa"/>
              <w:right w:w="20" w:type="dxa"/>
            </w:tcMar>
            <w:vAlign w:val="bottom"/>
          </w:tcPr>
          <w:p w14:paraId="4090F50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508"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509"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50A"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50B" w14:textId="77777777" w:rsidR="00833634" w:rsidRDefault="00833634">
            <w:pPr>
              <w:rPr>
                <w:rFonts w:ascii="宋体"/>
              </w:rPr>
            </w:pPr>
          </w:p>
        </w:tc>
      </w:tr>
      <w:tr w:rsidR="00833634" w14:paraId="4090F519" w14:textId="77777777">
        <w:tc>
          <w:tcPr>
            <w:tcW w:w="0" w:type="auto"/>
            <w:gridSpan w:val="3"/>
            <w:shd w:val="clear" w:color="auto" w:fill="CCEEFF"/>
            <w:tcMar>
              <w:top w:w="40" w:type="dxa"/>
              <w:left w:w="20" w:type="dxa"/>
              <w:bottom w:w="40" w:type="dxa"/>
              <w:right w:w="20" w:type="dxa"/>
            </w:tcMar>
            <w:vAlign w:val="bottom"/>
          </w:tcPr>
          <w:p w14:paraId="4090F50D" w14:textId="77777777" w:rsidR="00833634" w:rsidRDefault="00E15D51">
            <w:pPr>
              <w:textAlignment w:val="bottom"/>
            </w:pPr>
            <w:r>
              <w:rPr>
                <w:rFonts w:ascii="Arial" w:eastAsia="宋体" w:hAnsi="Arial" w:cs="Arial"/>
                <w:color w:val="000000"/>
                <w:sz w:val="20"/>
                <w:szCs w:val="20"/>
              </w:rPr>
              <w:t>Eliminations and other unallocated items</w:t>
            </w:r>
          </w:p>
        </w:tc>
        <w:tc>
          <w:tcPr>
            <w:tcW w:w="0" w:type="auto"/>
            <w:gridSpan w:val="2"/>
            <w:shd w:val="clear" w:color="auto" w:fill="CCEEFF"/>
            <w:tcMar>
              <w:top w:w="40" w:type="dxa"/>
              <w:left w:w="20" w:type="dxa"/>
              <w:bottom w:w="40" w:type="dxa"/>
              <w:right w:w="0" w:type="dxa"/>
            </w:tcMar>
            <w:vAlign w:val="bottom"/>
          </w:tcPr>
          <w:p w14:paraId="4090F50E" w14:textId="77777777" w:rsidR="00833634" w:rsidRDefault="00E15D51">
            <w:pPr>
              <w:jc w:val="right"/>
              <w:textAlignment w:val="bottom"/>
            </w:pPr>
            <w:r>
              <w:rPr>
                <w:rFonts w:ascii="Arial" w:eastAsia="宋体" w:hAnsi="Arial" w:cs="Arial"/>
                <w:b/>
                <w:bCs/>
                <w:color w:val="000000"/>
                <w:sz w:val="20"/>
                <w:szCs w:val="20"/>
              </w:rPr>
              <w:t>(690)</w:t>
            </w:r>
          </w:p>
        </w:tc>
        <w:tc>
          <w:tcPr>
            <w:tcW w:w="0" w:type="auto"/>
            <w:shd w:val="clear" w:color="auto" w:fill="CCEEFF"/>
            <w:tcMar>
              <w:top w:w="40" w:type="dxa"/>
              <w:left w:w="0" w:type="dxa"/>
              <w:bottom w:w="40" w:type="dxa"/>
              <w:right w:w="20" w:type="dxa"/>
            </w:tcMar>
            <w:vAlign w:val="bottom"/>
          </w:tcPr>
          <w:p w14:paraId="4090F50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1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11" w14:textId="77777777" w:rsidR="00833634" w:rsidRDefault="00E15D51">
            <w:pPr>
              <w:jc w:val="right"/>
              <w:textAlignment w:val="bottom"/>
            </w:pPr>
            <w:r>
              <w:rPr>
                <w:rFonts w:ascii="Arial" w:eastAsia="宋体" w:hAnsi="Arial" w:cs="Arial"/>
                <w:color w:val="000000"/>
                <w:sz w:val="20"/>
                <w:szCs w:val="20"/>
              </w:rPr>
              <w:t>(810)</w:t>
            </w:r>
          </w:p>
        </w:tc>
        <w:tc>
          <w:tcPr>
            <w:tcW w:w="0" w:type="auto"/>
            <w:shd w:val="clear" w:color="auto" w:fill="CCEEFF"/>
            <w:tcMar>
              <w:top w:w="40" w:type="dxa"/>
              <w:left w:w="0" w:type="dxa"/>
              <w:bottom w:w="40" w:type="dxa"/>
              <w:right w:w="20" w:type="dxa"/>
            </w:tcMar>
            <w:vAlign w:val="bottom"/>
          </w:tcPr>
          <w:p w14:paraId="4090F51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1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14" w14:textId="77777777" w:rsidR="00833634" w:rsidRDefault="00E15D51">
            <w:pPr>
              <w:jc w:val="right"/>
              <w:textAlignment w:val="bottom"/>
            </w:pPr>
            <w:r>
              <w:rPr>
                <w:rFonts w:ascii="Arial" w:eastAsia="宋体" w:hAnsi="Arial" w:cs="Arial"/>
                <w:b/>
                <w:bCs/>
                <w:color w:val="000000"/>
                <w:sz w:val="20"/>
                <w:szCs w:val="20"/>
              </w:rPr>
              <w:t>(175)</w:t>
            </w:r>
          </w:p>
        </w:tc>
        <w:tc>
          <w:tcPr>
            <w:tcW w:w="0" w:type="auto"/>
            <w:shd w:val="clear" w:color="auto" w:fill="CCEEFF"/>
            <w:tcMar>
              <w:top w:w="40" w:type="dxa"/>
              <w:left w:w="0" w:type="dxa"/>
              <w:bottom w:w="40" w:type="dxa"/>
              <w:right w:w="20" w:type="dxa"/>
            </w:tcMar>
            <w:vAlign w:val="bottom"/>
          </w:tcPr>
          <w:p w14:paraId="4090F51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1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17" w14:textId="77777777" w:rsidR="00833634" w:rsidRDefault="00E15D51">
            <w:pPr>
              <w:jc w:val="right"/>
              <w:textAlignment w:val="bottom"/>
            </w:pPr>
            <w:r>
              <w:rPr>
                <w:rFonts w:ascii="Arial" w:eastAsia="宋体" w:hAnsi="Arial" w:cs="Arial"/>
                <w:color w:val="000000"/>
                <w:sz w:val="20"/>
                <w:szCs w:val="20"/>
              </w:rPr>
              <w:t>(352)</w:t>
            </w:r>
          </w:p>
        </w:tc>
        <w:tc>
          <w:tcPr>
            <w:tcW w:w="0" w:type="auto"/>
            <w:shd w:val="clear" w:color="auto" w:fill="CCEEFF"/>
            <w:tcMar>
              <w:top w:w="40" w:type="dxa"/>
              <w:left w:w="0" w:type="dxa"/>
              <w:bottom w:w="40" w:type="dxa"/>
              <w:right w:w="20" w:type="dxa"/>
            </w:tcMar>
            <w:vAlign w:val="bottom"/>
          </w:tcPr>
          <w:p w14:paraId="4090F518" w14:textId="77777777" w:rsidR="00833634" w:rsidRDefault="00833634">
            <w:pPr>
              <w:jc w:val="right"/>
              <w:rPr>
                <w:rFonts w:ascii="宋体"/>
              </w:rPr>
            </w:pPr>
          </w:p>
        </w:tc>
      </w:tr>
      <w:tr w:rsidR="00833634" w14:paraId="4090F526"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F51A" w14:textId="77777777" w:rsidR="00833634" w:rsidRDefault="00E15D51">
            <w:pPr>
              <w:textAlignment w:val="bottom"/>
            </w:pPr>
            <w:r>
              <w:rPr>
                <w:rFonts w:ascii="Arial" w:eastAsia="宋体" w:hAnsi="Arial" w:cs="Arial"/>
                <w:color w:val="000000"/>
                <w:sz w:val="20"/>
                <w:szCs w:val="20"/>
              </w:rPr>
              <w:t xml:space="preserve">Unallocated items, eliminations and other </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51B" w14:textId="77777777" w:rsidR="00833634" w:rsidRDefault="00E15D51">
            <w:pPr>
              <w:jc w:val="right"/>
              <w:textAlignment w:val="bottom"/>
            </w:pPr>
            <w:r>
              <w:rPr>
                <w:rFonts w:ascii="Arial" w:eastAsia="宋体" w:hAnsi="Arial" w:cs="Arial"/>
                <w:b/>
                <w:bCs/>
                <w:color w:val="000000"/>
                <w:sz w:val="20"/>
                <w:szCs w:val="20"/>
              </w:rPr>
              <w:t>($965)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51C"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51D"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51E" w14:textId="77777777" w:rsidR="00833634" w:rsidRDefault="00E15D51">
            <w:pPr>
              <w:jc w:val="right"/>
              <w:textAlignment w:val="bottom"/>
            </w:pPr>
            <w:r>
              <w:rPr>
                <w:rFonts w:ascii="Arial" w:eastAsia="宋体" w:hAnsi="Arial" w:cs="Arial"/>
                <w:color w:val="000000"/>
                <w:sz w:val="20"/>
                <w:szCs w:val="20"/>
              </w:rPr>
              <w:t>($1,731)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51F"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520"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521" w14:textId="77777777" w:rsidR="00833634" w:rsidRDefault="00E15D51">
            <w:pPr>
              <w:jc w:val="right"/>
              <w:textAlignment w:val="bottom"/>
            </w:pPr>
            <w:r>
              <w:rPr>
                <w:rFonts w:ascii="Arial" w:eastAsia="宋体" w:hAnsi="Arial" w:cs="Arial"/>
                <w:b/>
                <w:bCs/>
                <w:color w:val="000000"/>
                <w:sz w:val="20"/>
                <w:szCs w:val="20"/>
              </w:rPr>
              <w:t>($314)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522"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523"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524" w14:textId="77777777" w:rsidR="00833634" w:rsidRDefault="00E15D51">
            <w:pPr>
              <w:jc w:val="right"/>
              <w:textAlignment w:val="bottom"/>
            </w:pPr>
            <w:r>
              <w:rPr>
                <w:rFonts w:ascii="Arial" w:eastAsia="宋体" w:hAnsi="Arial" w:cs="Arial"/>
                <w:color w:val="000000"/>
                <w:sz w:val="20"/>
                <w:szCs w:val="20"/>
              </w:rPr>
              <w:t>($521)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525" w14:textId="77777777" w:rsidR="00833634" w:rsidRDefault="00833634">
            <w:pPr>
              <w:jc w:val="right"/>
              <w:rPr>
                <w:rFonts w:ascii="宋体"/>
              </w:rPr>
            </w:pPr>
          </w:p>
        </w:tc>
      </w:tr>
    </w:tbl>
    <w:p w14:paraId="4090F527" w14:textId="77777777" w:rsidR="00833634" w:rsidRDefault="00E15D51">
      <w:pPr>
        <w:spacing w:before="180" w:after="180"/>
        <w:jc w:val="both"/>
      </w:pPr>
      <w:r>
        <w:rPr>
          <w:rFonts w:ascii="Arial" w:eastAsia="宋体" w:hAnsi="Arial" w:cs="Arial"/>
          <w:color w:val="000000"/>
          <w:sz w:val="20"/>
          <w:szCs w:val="20"/>
        </w:rPr>
        <w:t>Deferred compensation expense decreased by $188 million and increased by $14 million for the nine and three months ended September 30, 2020 compared with the same periods in 2019 primarily driven by changes in ou</w:t>
      </w:r>
      <w:r>
        <w:rPr>
          <w:rFonts w:ascii="Arial" w:eastAsia="宋体" w:hAnsi="Arial" w:cs="Arial"/>
          <w:color w:val="000000"/>
          <w:sz w:val="20"/>
          <w:szCs w:val="20"/>
        </w:rPr>
        <w:t>r stock price and broad market conditions.</w:t>
      </w:r>
    </w:p>
    <w:p w14:paraId="4090F528" w14:textId="77777777" w:rsidR="00833634" w:rsidRDefault="00E15D51">
      <w:pPr>
        <w:spacing w:before="180" w:after="180"/>
        <w:jc w:val="both"/>
      </w:pPr>
      <w:r>
        <w:rPr>
          <w:rFonts w:ascii="Arial" w:eastAsia="宋体" w:hAnsi="Arial" w:cs="Arial"/>
          <w:color w:val="000000"/>
          <w:sz w:val="20"/>
          <w:szCs w:val="20"/>
        </w:rPr>
        <w:t>Research and development expense decreased by $123 million and $56 million for the nine and three months ended September 30, 2020 compared with the same periods in 2019 primarily due to decreased spending by Boein</w:t>
      </w:r>
      <w:r>
        <w:rPr>
          <w:rFonts w:ascii="Arial" w:eastAsia="宋体" w:hAnsi="Arial" w:cs="Arial"/>
          <w:color w:val="000000"/>
          <w:sz w:val="20"/>
          <w:szCs w:val="20"/>
        </w:rPr>
        <w:t>g NeXt on product development.</w:t>
      </w:r>
    </w:p>
    <w:p w14:paraId="4090F529" w14:textId="77777777" w:rsidR="00833634" w:rsidRDefault="00E15D51">
      <w:pPr>
        <w:spacing w:before="180" w:after="180"/>
        <w:jc w:val="both"/>
      </w:pPr>
      <w:r>
        <w:rPr>
          <w:rFonts w:ascii="Arial" w:eastAsia="宋体" w:hAnsi="Arial" w:cs="Arial"/>
          <w:color w:val="000000"/>
          <w:sz w:val="20"/>
          <w:szCs w:val="20"/>
        </w:rPr>
        <w:t xml:space="preserve">During the first quarter of 2019, we recorded a $250 million charge related to the impairment of lease incentives with one customer that experienced liquidity issues. </w:t>
      </w:r>
    </w:p>
    <w:p w14:paraId="4090F52A" w14:textId="77777777" w:rsidR="00833634" w:rsidRDefault="00E15D51">
      <w:pPr>
        <w:spacing w:before="180" w:after="180"/>
        <w:jc w:val="both"/>
      </w:pPr>
      <w:r>
        <w:rPr>
          <w:rFonts w:ascii="Arial" w:eastAsia="宋体" w:hAnsi="Arial" w:cs="Arial"/>
          <w:color w:val="000000"/>
          <w:sz w:val="20"/>
          <w:szCs w:val="20"/>
        </w:rPr>
        <w:t>During the second quarter of 2019, we recorded a charge o</w:t>
      </w:r>
      <w:r>
        <w:rPr>
          <w:rFonts w:ascii="Arial" w:eastAsia="宋体" w:hAnsi="Arial" w:cs="Arial"/>
          <w:color w:val="000000"/>
          <w:sz w:val="20"/>
          <w:szCs w:val="20"/>
        </w:rPr>
        <w:t>f $109 million related to ongoing litigation associated with recoverable costs on U.S. government contracts.</w:t>
      </w:r>
    </w:p>
    <w:p w14:paraId="4090F52B" w14:textId="77777777" w:rsidR="00833634" w:rsidRDefault="00E15D51">
      <w:pPr>
        <w:spacing w:before="180" w:after="180"/>
        <w:jc w:val="both"/>
      </w:pPr>
      <w:r>
        <w:rPr>
          <w:rFonts w:ascii="Arial" w:eastAsia="宋体" w:hAnsi="Arial" w:cs="Arial"/>
          <w:color w:val="000000"/>
          <w:sz w:val="20"/>
          <w:szCs w:val="20"/>
        </w:rPr>
        <w:t>Net periodic pension benefit costs included in (Loss)/earnings from operations were as follows:</w:t>
      </w:r>
    </w:p>
    <w:tbl>
      <w:tblPr>
        <w:tblW w:w="4992" w:type="pct"/>
        <w:tblCellMar>
          <w:top w:w="15" w:type="dxa"/>
          <w:left w:w="15" w:type="dxa"/>
          <w:bottom w:w="15" w:type="dxa"/>
          <w:right w:w="15" w:type="dxa"/>
        </w:tblCellMar>
        <w:tblLook w:val="04A0" w:firstRow="1" w:lastRow="0" w:firstColumn="1" w:lastColumn="0" w:noHBand="0" w:noVBand="1"/>
      </w:tblPr>
      <w:tblGrid>
        <w:gridCol w:w="59"/>
        <w:gridCol w:w="4376"/>
        <w:gridCol w:w="39"/>
        <w:gridCol w:w="59"/>
        <w:gridCol w:w="792"/>
        <w:gridCol w:w="37"/>
        <w:gridCol w:w="37"/>
        <w:gridCol w:w="37"/>
        <w:gridCol w:w="37"/>
        <w:gridCol w:w="71"/>
        <w:gridCol w:w="769"/>
        <w:gridCol w:w="36"/>
        <w:gridCol w:w="36"/>
        <w:gridCol w:w="36"/>
        <w:gridCol w:w="36"/>
        <w:gridCol w:w="56"/>
        <w:gridCol w:w="785"/>
        <w:gridCol w:w="37"/>
        <w:gridCol w:w="37"/>
        <w:gridCol w:w="37"/>
        <w:gridCol w:w="36"/>
        <w:gridCol w:w="56"/>
        <w:gridCol w:w="786"/>
        <w:gridCol w:w="36"/>
      </w:tblGrid>
      <w:tr w:rsidR="00833634" w14:paraId="4090F544" w14:textId="77777777">
        <w:tc>
          <w:tcPr>
            <w:tcW w:w="50" w:type="pct"/>
            <w:shd w:val="clear" w:color="auto" w:fill="auto"/>
          </w:tcPr>
          <w:p w14:paraId="4090F52C" w14:textId="77777777" w:rsidR="00833634" w:rsidRDefault="00833634">
            <w:pPr>
              <w:rPr>
                <w:rFonts w:ascii="宋体"/>
              </w:rPr>
            </w:pPr>
          </w:p>
        </w:tc>
        <w:tc>
          <w:tcPr>
            <w:tcW w:w="2641" w:type="pct"/>
            <w:shd w:val="clear" w:color="auto" w:fill="auto"/>
          </w:tcPr>
          <w:p w14:paraId="4090F52D" w14:textId="77777777" w:rsidR="00833634" w:rsidRDefault="00833634">
            <w:pPr>
              <w:rPr>
                <w:rFonts w:ascii="宋体"/>
              </w:rPr>
            </w:pPr>
          </w:p>
        </w:tc>
        <w:tc>
          <w:tcPr>
            <w:tcW w:w="5" w:type="pct"/>
            <w:shd w:val="clear" w:color="auto" w:fill="auto"/>
          </w:tcPr>
          <w:p w14:paraId="4090F52E" w14:textId="77777777" w:rsidR="00833634" w:rsidRDefault="00833634">
            <w:pPr>
              <w:rPr>
                <w:rFonts w:ascii="宋体"/>
              </w:rPr>
            </w:pPr>
          </w:p>
        </w:tc>
        <w:tc>
          <w:tcPr>
            <w:tcW w:w="50" w:type="pct"/>
            <w:shd w:val="clear" w:color="auto" w:fill="auto"/>
          </w:tcPr>
          <w:p w14:paraId="4090F52F" w14:textId="77777777" w:rsidR="00833634" w:rsidRDefault="00833634">
            <w:pPr>
              <w:rPr>
                <w:rFonts w:ascii="宋体"/>
              </w:rPr>
            </w:pPr>
          </w:p>
        </w:tc>
        <w:tc>
          <w:tcPr>
            <w:tcW w:w="490" w:type="pct"/>
            <w:shd w:val="clear" w:color="auto" w:fill="auto"/>
          </w:tcPr>
          <w:p w14:paraId="4090F530" w14:textId="77777777" w:rsidR="00833634" w:rsidRDefault="00833634">
            <w:pPr>
              <w:rPr>
                <w:rFonts w:ascii="宋体"/>
              </w:rPr>
            </w:pPr>
          </w:p>
        </w:tc>
        <w:tc>
          <w:tcPr>
            <w:tcW w:w="5" w:type="pct"/>
            <w:shd w:val="clear" w:color="auto" w:fill="auto"/>
          </w:tcPr>
          <w:p w14:paraId="4090F531" w14:textId="77777777" w:rsidR="00833634" w:rsidRDefault="00833634">
            <w:pPr>
              <w:rPr>
                <w:rFonts w:ascii="宋体"/>
              </w:rPr>
            </w:pPr>
          </w:p>
        </w:tc>
        <w:tc>
          <w:tcPr>
            <w:tcW w:w="5" w:type="pct"/>
            <w:shd w:val="clear" w:color="auto" w:fill="auto"/>
          </w:tcPr>
          <w:p w14:paraId="4090F532" w14:textId="77777777" w:rsidR="00833634" w:rsidRDefault="00833634">
            <w:pPr>
              <w:rPr>
                <w:rFonts w:ascii="宋体"/>
              </w:rPr>
            </w:pPr>
          </w:p>
        </w:tc>
        <w:tc>
          <w:tcPr>
            <w:tcW w:w="30" w:type="pct"/>
            <w:shd w:val="clear" w:color="auto" w:fill="auto"/>
          </w:tcPr>
          <w:p w14:paraId="4090F533" w14:textId="77777777" w:rsidR="00833634" w:rsidRDefault="00833634">
            <w:pPr>
              <w:rPr>
                <w:rFonts w:ascii="宋体"/>
              </w:rPr>
            </w:pPr>
          </w:p>
        </w:tc>
        <w:tc>
          <w:tcPr>
            <w:tcW w:w="5" w:type="pct"/>
            <w:shd w:val="clear" w:color="auto" w:fill="auto"/>
          </w:tcPr>
          <w:p w14:paraId="4090F534" w14:textId="77777777" w:rsidR="00833634" w:rsidRDefault="00833634">
            <w:pPr>
              <w:rPr>
                <w:rFonts w:ascii="宋体"/>
              </w:rPr>
            </w:pPr>
          </w:p>
        </w:tc>
        <w:tc>
          <w:tcPr>
            <w:tcW w:w="50" w:type="pct"/>
            <w:shd w:val="clear" w:color="auto" w:fill="auto"/>
          </w:tcPr>
          <w:p w14:paraId="4090F535" w14:textId="77777777" w:rsidR="00833634" w:rsidRDefault="00833634">
            <w:pPr>
              <w:rPr>
                <w:rFonts w:ascii="宋体"/>
              </w:rPr>
            </w:pPr>
          </w:p>
        </w:tc>
        <w:tc>
          <w:tcPr>
            <w:tcW w:w="490" w:type="pct"/>
            <w:shd w:val="clear" w:color="auto" w:fill="auto"/>
          </w:tcPr>
          <w:p w14:paraId="4090F536" w14:textId="77777777" w:rsidR="00833634" w:rsidRDefault="00833634">
            <w:pPr>
              <w:rPr>
                <w:rFonts w:ascii="宋体"/>
              </w:rPr>
            </w:pPr>
          </w:p>
        </w:tc>
        <w:tc>
          <w:tcPr>
            <w:tcW w:w="5" w:type="pct"/>
            <w:shd w:val="clear" w:color="auto" w:fill="auto"/>
          </w:tcPr>
          <w:p w14:paraId="4090F537" w14:textId="77777777" w:rsidR="00833634" w:rsidRDefault="00833634">
            <w:pPr>
              <w:rPr>
                <w:rFonts w:ascii="宋体"/>
              </w:rPr>
            </w:pPr>
          </w:p>
        </w:tc>
        <w:tc>
          <w:tcPr>
            <w:tcW w:w="5" w:type="pct"/>
            <w:shd w:val="clear" w:color="auto" w:fill="auto"/>
          </w:tcPr>
          <w:p w14:paraId="4090F538" w14:textId="77777777" w:rsidR="00833634" w:rsidRDefault="00833634">
            <w:pPr>
              <w:rPr>
                <w:rFonts w:ascii="宋体"/>
              </w:rPr>
            </w:pPr>
          </w:p>
        </w:tc>
        <w:tc>
          <w:tcPr>
            <w:tcW w:w="30" w:type="pct"/>
            <w:shd w:val="clear" w:color="auto" w:fill="auto"/>
          </w:tcPr>
          <w:p w14:paraId="4090F539" w14:textId="77777777" w:rsidR="00833634" w:rsidRDefault="00833634">
            <w:pPr>
              <w:rPr>
                <w:rFonts w:ascii="宋体"/>
              </w:rPr>
            </w:pPr>
          </w:p>
        </w:tc>
        <w:tc>
          <w:tcPr>
            <w:tcW w:w="5" w:type="pct"/>
            <w:shd w:val="clear" w:color="auto" w:fill="auto"/>
          </w:tcPr>
          <w:p w14:paraId="4090F53A" w14:textId="77777777" w:rsidR="00833634" w:rsidRDefault="00833634">
            <w:pPr>
              <w:rPr>
                <w:rFonts w:ascii="宋体"/>
              </w:rPr>
            </w:pPr>
          </w:p>
        </w:tc>
        <w:tc>
          <w:tcPr>
            <w:tcW w:w="50" w:type="pct"/>
            <w:shd w:val="clear" w:color="auto" w:fill="auto"/>
          </w:tcPr>
          <w:p w14:paraId="4090F53B" w14:textId="77777777" w:rsidR="00833634" w:rsidRDefault="00833634">
            <w:pPr>
              <w:rPr>
                <w:rFonts w:ascii="宋体"/>
              </w:rPr>
            </w:pPr>
          </w:p>
        </w:tc>
        <w:tc>
          <w:tcPr>
            <w:tcW w:w="490" w:type="pct"/>
            <w:shd w:val="clear" w:color="auto" w:fill="auto"/>
          </w:tcPr>
          <w:p w14:paraId="4090F53C" w14:textId="77777777" w:rsidR="00833634" w:rsidRDefault="00833634">
            <w:pPr>
              <w:rPr>
                <w:rFonts w:ascii="宋体"/>
              </w:rPr>
            </w:pPr>
          </w:p>
        </w:tc>
        <w:tc>
          <w:tcPr>
            <w:tcW w:w="5" w:type="pct"/>
            <w:shd w:val="clear" w:color="auto" w:fill="auto"/>
          </w:tcPr>
          <w:p w14:paraId="4090F53D" w14:textId="77777777" w:rsidR="00833634" w:rsidRDefault="00833634">
            <w:pPr>
              <w:rPr>
                <w:rFonts w:ascii="宋体"/>
              </w:rPr>
            </w:pPr>
          </w:p>
        </w:tc>
        <w:tc>
          <w:tcPr>
            <w:tcW w:w="5" w:type="pct"/>
            <w:shd w:val="clear" w:color="auto" w:fill="auto"/>
          </w:tcPr>
          <w:p w14:paraId="4090F53E" w14:textId="77777777" w:rsidR="00833634" w:rsidRDefault="00833634">
            <w:pPr>
              <w:rPr>
                <w:rFonts w:ascii="宋体"/>
              </w:rPr>
            </w:pPr>
          </w:p>
        </w:tc>
        <w:tc>
          <w:tcPr>
            <w:tcW w:w="30" w:type="pct"/>
            <w:shd w:val="clear" w:color="auto" w:fill="auto"/>
          </w:tcPr>
          <w:p w14:paraId="4090F53F" w14:textId="77777777" w:rsidR="00833634" w:rsidRDefault="00833634">
            <w:pPr>
              <w:rPr>
                <w:rFonts w:ascii="宋体"/>
              </w:rPr>
            </w:pPr>
          </w:p>
        </w:tc>
        <w:tc>
          <w:tcPr>
            <w:tcW w:w="5" w:type="pct"/>
            <w:shd w:val="clear" w:color="auto" w:fill="auto"/>
          </w:tcPr>
          <w:p w14:paraId="4090F540" w14:textId="77777777" w:rsidR="00833634" w:rsidRDefault="00833634">
            <w:pPr>
              <w:rPr>
                <w:rFonts w:ascii="宋体"/>
              </w:rPr>
            </w:pPr>
          </w:p>
        </w:tc>
        <w:tc>
          <w:tcPr>
            <w:tcW w:w="50" w:type="pct"/>
            <w:shd w:val="clear" w:color="auto" w:fill="auto"/>
          </w:tcPr>
          <w:p w14:paraId="4090F541" w14:textId="77777777" w:rsidR="00833634" w:rsidRDefault="00833634">
            <w:pPr>
              <w:rPr>
                <w:rFonts w:ascii="宋体"/>
              </w:rPr>
            </w:pPr>
          </w:p>
        </w:tc>
        <w:tc>
          <w:tcPr>
            <w:tcW w:w="491" w:type="pct"/>
            <w:shd w:val="clear" w:color="auto" w:fill="auto"/>
          </w:tcPr>
          <w:p w14:paraId="4090F542" w14:textId="77777777" w:rsidR="00833634" w:rsidRDefault="00833634">
            <w:pPr>
              <w:rPr>
                <w:rFonts w:ascii="宋体"/>
              </w:rPr>
            </w:pPr>
          </w:p>
        </w:tc>
        <w:tc>
          <w:tcPr>
            <w:tcW w:w="5" w:type="pct"/>
            <w:shd w:val="clear" w:color="auto" w:fill="auto"/>
          </w:tcPr>
          <w:p w14:paraId="4090F543" w14:textId="77777777" w:rsidR="00833634" w:rsidRDefault="00833634">
            <w:pPr>
              <w:rPr>
                <w:rFonts w:ascii="宋体"/>
              </w:rPr>
            </w:pPr>
          </w:p>
        </w:tc>
      </w:tr>
      <w:tr w:rsidR="00833634" w14:paraId="4090F549" w14:textId="77777777">
        <w:tc>
          <w:tcPr>
            <w:tcW w:w="0" w:type="auto"/>
            <w:gridSpan w:val="3"/>
            <w:shd w:val="clear" w:color="auto" w:fill="auto"/>
            <w:tcMar>
              <w:top w:w="40" w:type="dxa"/>
              <w:left w:w="20" w:type="dxa"/>
              <w:bottom w:w="40" w:type="dxa"/>
              <w:right w:w="20" w:type="dxa"/>
            </w:tcMar>
            <w:vAlign w:val="bottom"/>
          </w:tcPr>
          <w:p w14:paraId="4090F545"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546"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547"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548"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552"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4A" w14:textId="77777777" w:rsidR="00833634" w:rsidRDefault="00E15D51">
            <w:pPr>
              <w:textAlignment w:val="bottom"/>
            </w:pPr>
            <w:r>
              <w:rPr>
                <w:rFonts w:ascii="Arial" w:eastAsia="宋体" w:hAnsi="Arial" w:cs="Arial"/>
                <w:b/>
                <w:bCs/>
                <w:color w:val="000000"/>
                <w:sz w:val="20"/>
                <w:szCs w:val="20"/>
              </w:rPr>
              <w:t>Pension Plans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4B"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54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4D"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54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4F"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55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51" w14:textId="77777777" w:rsidR="00833634" w:rsidRDefault="00E15D51">
            <w:pPr>
              <w:jc w:val="right"/>
              <w:textAlignment w:val="bottom"/>
            </w:pPr>
            <w:r>
              <w:rPr>
                <w:rFonts w:ascii="Arial" w:eastAsia="宋体" w:hAnsi="Arial" w:cs="Arial"/>
                <w:color w:val="000000"/>
                <w:sz w:val="20"/>
                <w:szCs w:val="20"/>
              </w:rPr>
              <w:t>2019</w:t>
            </w:r>
          </w:p>
        </w:tc>
      </w:tr>
      <w:tr w:rsidR="00833634" w14:paraId="4090F55F"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553" w14:textId="77777777" w:rsidR="00833634" w:rsidRDefault="00E15D51">
            <w:pPr>
              <w:textAlignment w:val="bottom"/>
            </w:pPr>
            <w:r>
              <w:rPr>
                <w:rFonts w:ascii="Arial" w:eastAsia="宋体" w:hAnsi="Arial" w:cs="Arial"/>
                <w:color w:val="000000"/>
                <w:sz w:val="20"/>
                <w:szCs w:val="20"/>
              </w:rPr>
              <w:t>Allocated to business segments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554" w14:textId="77777777" w:rsidR="00833634" w:rsidRDefault="00E15D51">
            <w:pPr>
              <w:jc w:val="right"/>
              <w:textAlignment w:val="bottom"/>
            </w:pPr>
            <w:r>
              <w:rPr>
                <w:rFonts w:ascii="Arial" w:eastAsia="宋体" w:hAnsi="Arial" w:cs="Arial"/>
                <w:b/>
                <w:bCs/>
                <w:color w:val="000000"/>
                <w:sz w:val="20"/>
                <w:szCs w:val="20"/>
              </w:rPr>
              <w:t>($775)</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55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55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557" w14:textId="77777777" w:rsidR="00833634" w:rsidRDefault="00E15D51">
            <w:pPr>
              <w:jc w:val="right"/>
              <w:textAlignment w:val="bottom"/>
            </w:pPr>
            <w:r>
              <w:rPr>
                <w:rFonts w:ascii="Arial" w:eastAsia="宋体" w:hAnsi="Arial" w:cs="Arial"/>
                <w:color w:val="000000"/>
                <w:sz w:val="20"/>
                <w:szCs w:val="20"/>
              </w:rPr>
              <w:t>($1,057)</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55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55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55A" w14:textId="77777777" w:rsidR="00833634" w:rsidRDefault="00E15D51">
            <w:pPr>
              <w:jc w:val="right"/>
              <w:textAlignment w:val="bottom"/>
            </w:pPr>
            <w:r>
              <w:rPr>
                <w:rFonts w:ascii="Arial" w:eastAsia="宋体" w:hAnsi="Arial" w:cs="Arial"/>
                <w:b/>
                <w:bCs/>
                <w:color w:val="000000"/>
                <w:sz w:val="20"/>
                <w:szCs w:val="20"/>
              </w:rPr>
              <w:t>($261)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55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55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55D" w14:textId="77777777" w:rsidR="00833634" w:rsidRDefault="00E15D51">
            <w:pPr>
              <w:jc w:val="right"/>
              <w:textAlignment w:val="bottom"/>
            </w:pPr>
            <w:r>
              <w:rPr>
                <w:rFonts w:ascii="Arial" w:eastAsia="宋体" w:hAnsi="Arial" w:cs="Arial"/>
                <w:color w:val="000000"/>
                <w:sz w:val="20"/>
                <w:szCs w:val="20"/>
              </w:rPr>
              <w:t>($350)</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55E" w14:textId="77777777" w:rsidR="00833634" w:rsidRDefault="00833634">
            <w:pPr>
              <w:jc w:val="right"/>
              <w:rPr>
                <w:rFonts w:ascii="宋体"/>
              </w:rPr>
            </w:pPr>
          </w:p>
        </w:tc>
      </w:tr>
      <w:tr w:rsidR="00833634" w14:paraId="4090F56C" w14:textId="77777777">
        <w:tc>
          <w:tcPr>
            <w:tcW w:w="0" w:type="auto"/>
            <w:gridSpan w:val="3"/>
            <w:shd w:val="clear" w:color="auto" w:fill="auto"/>
            <w:tcMar>
              <w:top w:w="40" w:type="dxa"/>
              <w:left w:w="20" w:type="dxa"/>
              <w:bottom w:w="40" w:type="dxa"/>
              <w:right w:w="20" w:type="dxa"/>
            </w:tcMar>
            <w:vAlign w:val="bottom"/>
          </w:tcPr>
          <w:p w14:paraId="4090F560" w14:textId="77777777" w:rsidR="00833634" w:rsidRDefault="00E15D51">
            <w:pPr>
              <w:textAlignment w:val="bottom"/>
            </w:pPr>
            <w:r>
              <w:rPr>
                <w:rFonts w:ascii="Arial" w:eastAsia="宋体" w:hAnsi="Arial" w:cs="Arial"/>
                <w:color w:val="000000"/>
                <w:sz w:val="20"/>
                <w:szCs w:val="20"/>
              </w:rPr>
              <w:t>Pension FAS/CAS service cost adjustment</w:t>
            </w:r>
          </w:p>
        </w:tc>
        <w:tc>
          <w:tcPr>
            <w:tcW w:w="0" w:type="auto"/>
            <w:gridSpan w:val="2"/>
            <w:shd w:val="clear" w:color="auto" w:fill="FFFFFF"/>
            <w:tcMar>
              <w:top w:w="40" w:type="dxa"/>
              <w:left w:w="20" w:type="dxa"/>
              <w:bottom w:w="40" w:type="dxa"/>
              <w:right w:w="0" w:type="dxa"/>
            </w:tcMar>
            <w:vAlign w:val="bottom"/>
          </w:tcPr>
          <w:p w14:paraId="4090F561" w14:textId="77777777" w:rsidR="00833634" w:rsidRDefault="00E15D51">
            <w:pPr>
              <w:jc w:val="right"/>
              <w:textAlignment w:val="bottom"/>
            </w:pPr>
            <w:r>
              <w:rPr>
                <w:rFonts w:ascii="Arial" w:eastAsia="宋体" w:hAnsi="Arial" w:cs="Arial"/>
                <w:b/>
                <w:bCs/>
                <w:color w:val="000000"/>
                <w:sz w:val="20"/>
                <w:szCs w:val="20"/>
              </w:rPr>
              <w:t>773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56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56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564" w14:textId="77777777" w:rsidR="00833634" w:rsidRDefault="00E15D51">
            <w:pPr>
              <w:jc w:val="right"/>
              <w:textAlignment w:val="bottom"/>
            </w:pPr>
            <w:r>
              <w:rPr>
                <w:rFonts w:ascii="Arial" w:eastAsia="宋体" w:hAnsi="Arial" w:cs="Arial"/>
                <w:color w:val="000000"/>
                <w:sz w:val="20"/>
                <w:szCs w:val="20"/>
              </w:rPr>
              <w:t>823 </w:t>
            </w:r>
          </w:p>
        </w:tc>
        <w:tc>
          <w:tcPr>
            <w:tcW w:w="0" w:type="auto"/>
            <w:shd w:val="clear" w:color="auto" w:fill="FFFFFF"/>
            <w:tcMar>
              <w:top w:w="40" w:type="dxa"/>
              <w:left w:w="0" w:type="dxa"/>
              <w:bottom w:w="40" w:type="dxa"/>
              <w:right w:w="20" w:type="dxa"/>
            </w:tcMar>
            <w:vAlign w:val="bottom"/>
          </w:tcPr>
          <w:p w14:paraId="4090F565"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566"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567" w14:textId="77777777" w:rsidR="00833634" w:rsidRDefault="00E15D51">
            <w:pPr>
              <w:jc w:val="right"/>
              <w:textAlignment w:val="bottom"/>
            </w:pPr>
            <w:r>
              <w:rPr>
                <w:rFonts w:ascii="Arial" w:eastAsia="宋体" w:hAnsi="Arial" w:cs="Arial"/>
                <w:b/>
                <w:bCs/>
                <w:color w:val="000000"/>
                <w:sz w:val="20"/>
                <w:szCs w:val="20"/>
              </w:rPr>
              <w:t>260</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568"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569"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56A" w14:textId="77777777" w:rsidR="00833634" w:rsidRDefault="00E15D51">
            <w:pPr>
              <w:jc w:val="right"/>
              <w:textAlignment w:val="bottom"/>
            </w:pPr>
            <w:r>
              <w:rPr>
                <w:rFonts w:ascii="Arial" w:eastAsia="宋体" w:hAnsi="Arial" w:cs="Arial"/>
                <w:color w:val="000000"/>
                <w:sz w:val="20"/>
                <w:szCs w:val="20"/>
              </w:rPr>
              <w:t>274 </w:t>
            </w:r>
          </w:p>
        </w:tc>
        <w:tc>
          <w:tcPr>
            <w:tcW w:w="0" w:type="auto"/>
            <w:shd w:val="clear" w:color="auto" w:fill="auto"/>
            <w:tcMar>
              <w:top w:w="40" w:type="dxa"/>
              <w:left w:w="0" w:type="dxa"/>
              <w:bottom w:w="40" w:type="dxa"/>
              <w:right w:w="20" w:type="dxa"/>
            </w:tcMar>
            <w:vAlign w:val="bottom"/>
          </w:tcPr>
          <w:p w14:paraId="4090F56B" w14:textId="77777777" w:rsidR="00833634" w:rsidRDefault="00833634">
            <w:pPr>
              <w:jc w:val="right"/>
              <w:rPr>
                <w:rFonts w:ascii="宋体"/>
              </w:rPr>
            </w:pPr>
          </w:p>
        </w:tc>
      </w:tr>
      <w:tr w:rsidR="00833634" w14:paraId="4090F579" w14:textId="77777777">
        <w:tc>
          <w:tcPr>
            <w:tcW w:w="0" w:type="auto"/>
            <w:gridSpan w:val="3"/>
            <w:tcBorders>
              <w:top w:val="single" w:sz="8" w:space="0" w:color="000000"/>
              <w:bottom w:val="double" w:sz="6" w:space="0" w:color="000000"/>
            </w:tcBorders>
            <w:shd w:val="clear" w:color="auto" w:fill="CCEEFF"/>
            <w:tcMar>
              <w:top w:w="40" w:type="dxa"/>
              <w:left w:w="180" w:type="dxa"/>
              <w:bottom w:w="40" w:type="dxa"/>
              <w:right w:w="20" w:type="dxa"/>
            </w:tcMar>
            <w:vAlign w:val="bottom"/>
          </w:tcPr>
          <w:p w14:paraId="4090F56D" w14:textId="77777777" w:rsidR="00833634" w:rsidRDefault="00E15D51">
            <w:pPr>
              <w:ind w:hanging="180"/>
              <w:textAlignment w:val="bottom"/>
            </w:pPr>
            <w:r>
              <w:rPr>
                <w:rFonts w:ascii="Arial" w:eastAsia="宋体" w:hAnsi="Arial" w:cs="Arial"/>
                <w:color w:val="000000"/>
                <w:sz w:val="20"/>
                <w:szCs w:val="20"/>
              </w:rPr>
              <w:t>Net periodic benefit cost included in (Loss)/earnings</w:t>
            </w:r>
            <w:r>
              <w:rPr>
                <w:rFonts w:ascii="Arial" w:eastAsia="宋体" w:hAnsi="Arial" w:cs="Arial"/>
                <w:color w:val="000000"/>
                <w:sz w:val="20"/>
                <w:szCs w:val="20"/>
              </w:rPr>
              <w:br/>
              <w:t>from operations</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56E" w14:textId="77777777" w:rsidR="00833634" w:rsidRDefault="00E15D51">
            <w:pPr>
              <w:jc w:val="right"/>
              <w:textAlignment w:val="bottom"/>
            </w:pPr>
            <w:r>
              <w:rPr>
                <w:rFonts w:ascii="Arial" w:eastAsia="宋体" w:hAnsi="Arial" w:cs="Arial"/>
                <w:b/>
                <w:bCs/>
                <w:color w:val="000000"/>
                <w:sz w:val="20"/>
                <w:szCs w:val="20"/>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56F"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570"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571" w14:textId="77777777" w:rsidR="00833634" w:rsidRDefault="00E15D51">
            <w:pPr>
              <w:jc w:val="right"/>
              <w:textAlignment w:val="bottom"/>
            </w:pPr>
            <w:r>
              <w:rPr>
                <w:rFonts w:ascii="Arial" w:eastAsia="宋体" w:hAnsi="Arial" w:cs="Arial"/>
                <w:color w:val="000000"/>
                <w:sz w:val="20"/>
                <w:szCs w:val="20"/>
              </w:rPr>
              <w:t>($234)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572"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573"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574" w14:textId="77777777" w:rsidR="00833634" w:rsidRDefault="00E15D51">
            <w:pPr>
              <w:jc w:val="right"/>
              <w:textAlignment w:val="bottom"/>
            </w:pPr>
            <w:r>
              <w:rPr>
                <w:rFonts w:ascii="Arial" w:eastAsia="宋体" w:hAnsi="Arial" w:cs="Arial"/>
                <w:b/>
                <w:bCs/>
                <w:color w:val="000000"/>
                <w:sz w:val="20"/>
                <w:szCs w:val="20"/>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575"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576"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577" w14:textId="77777777" w:rsidR="00833634" w:rsidRDefault="00E15D51">
            <w:pPr>
              <w:jc w:val="right"/>
              <w:textAlignment w:val="bottom"/>
            </w:pPr>
            <w:r>
              <w:rPr>
                <w:rFonts w:ascii="Arial" w:eastAsia="宋体" w:hAnsi="Arial" w:cs="Arial"/>
                <w:color w:val="000000"/>
                <w:sz w:val="20"/>
                <w:szCs w:val="20"/>
              </w:rPr>
              <w:t>($76)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578" w14:textId="77777777" w:rsidR="00833634" w:rsidRDefault="00833634">
            <w:pPr>
              <w:jc w:val="right"/>
              <w:rPr>
                <w:rFonts w:ascii="宋体"/>
              </w:rPr>
            </w:pPr>
          </w:p>
        </w:tc>
      </w:tr>
    </w:tbl>
    <w:p w14:paraId="4090F57A" w14:textId="77777777" w:rsidR="00833634" w:rsidRDefault="00E15D51">
      <w:pPr>
        <w:spacing w:after="180"/>
        <w:jc w:val="both"/>
      </w:pPr>
      <w:r>
        <w:rPr>
          <w:rFonts w:ascii="Arial" w:eastAsia="宋体" w:hAnsi="Arial" w:cs="Arial"/>
          <w:color w:val="000000"/>
          <w:sz w:val="20"/>
          <w:szCs w:val="20"/>
        </w:rPr>
        <w:t>The pension FAS/CAS service cost adjustment recognized in earnings/loss in 20</w:t>
      </w:r>
      <w:r>
        <w:rPr>
          <w:rFonts w:ascii="Arial" w:eastAsia="宋体" w:hAnsi="Arial" w:cs="Arial"/>
          <w:color w:val="000000"/>
          <w:sz w:val="20"/>
          <w:szCs w:val="20"/>
        </w:rPr>
        <w:t xml:space="preserve">20 is largely consistent with the same periods in the prior year. The decrease in net periodic benefit costs included in (Loss)/earnings from operations in 2020 was primarily due to prior year service cost that was included in earnings in 2019. </w:t>
      </w:r>
    </w:p>
    <w:p w14:paraId="4090F57B" w14:textId="77777777" w:rsidR="00833634" w:rsidRDefault="00E15D51">
      <w:pPr>
        <w:spacing w:after="180"/>
        <w:jc w:val="both"/>
      </w:pPr>
      <w:r>
        <w:rPr>
          <w:rFonts w:ascii="Arial" w:eastAsia="宋体" w:hAnsi="Arial" w:cs="Arial"/>
          <w:color w:val="000000"/>
          <w:sz w:val="20"/>
          <w:szCs w:val="20"/>
        </w:rPr>
        <w:t>For discus</w:t>
      </w:r>
      <w:r>
        <w:rPr>
          <w:rFonts w:ascii="Arial" w:eastAsia="宋体" w:hAnsi="Arial" w:cs="Arial"/>
          <w:color w:val="000000"/>
          <w:sz w:val="20"/>
          <w:szCs w:val="20"/>
        </w:rPr>
        <w:t>sion related to Postretirement Plans, see Note 13 to our Condensed Consolidated Financial Statements.</w:t>
      </w:r>
    </w:p>
    <w:p w14:paraId="4090F57C" w14:textId="77777777" w:rsidR="00833634" w:rsidRDefault="00E15D51">
      <w:pPr>
        <w:spacing w:after="180"/>
        <w:jc w:val="center"/>
      </w:pPr>
      <w:r>
        <w:rPr>
          <w:rFonts w:ascii="Arial" w:eastAsia="宋体" w:hAnsi="Arial" w:cs="Arial"/>
          <w:color w:val="000000"/>
          <w:sz w:val="18"/>
          <w:szCs w:val="18"/>
        </w:rPr>
        <w:t>43</w:t>
      </w:r>
    </w:p>
    <w:p w14:paraId="4090F57D" w14:textId="77777777" w:rsidR="00833634" w:rsidRDefault="00E15D51">
      <w:r>
        <w:pict w14:anchorId="4090FE4B">
          <v:rect id="_x0000_i1069" style="width:415.3pt;height:1.5pt" o:hralign="center" o:hrstd="t" o:hr="t" fillcolor="#a0a0a0" stroked="f"/>
        </w:pict>
      </w:r>
    </w:p>
    <w:p w14:paraId="4090F57E" w14:textId="77777777" w:rsidR="00833634" w:rsidRDefault="00E15D51">
      <w:pPr>
        <w:spacing w:after="180"/>
        <w:jc w:val="both"/>
      </w:pPr>
      <w:hyperlink r:id="rId146" w:anchor="i8d805bfb1e1c4815a1dcd5b6d1e0b117_10" w:history="1">
        <w:r>
          <w:rPr>
            <w:rStyle w:val="a5"/>
            <w:rFonts w:ascii="Arial" w:eastAsia="宋体" w:hAnsi="Arial" w:cs="Arial"/>
            <w:sz w:val="18"/>
            <w:szCs w:val="18"/>
          </w:rPr>
          <w:t>Table of Contents</w:t>
        </w:r>
      </w:hyperlink>
    </w:p>
    <w:p w14:paraId="4090F57F" w14:textId="77777777" w:rsidR="00833634" w:rsidRDefault="00E15D51">
      <w:pPr>
        <w:jc w:val="both"/>
      </w:pPr>
      <w:r>
        <w:rPr>
          <w:rFonts w:ascii="Arial" w:eastAsia="宋体" w:hAnsi="Arial" w:cs="Arial"/>
          <w:b/>
          <w:bCs/>
          <w:color w:val="000000"/>
          <w:sz w:val="20"/>
          <w:szCs w:val="20"/>
        </w:rPr>
        <w:t>Other Earnings Items</w:t>
      </w:r>
      <w:r>
        <w:rPr>
          <w:rFonts w:ascii="Arial" w:eastAsia="宋体" w:hAnsi="Arial" w:cs="Arial"/>
          <w:color w:val="000000"/>
          <w:sz w:val="20"/>
          <w:szCs w:val="20"/>
        </w:rPr>
        <w:t> </w:t>
      </w:r>
    </w:p>
    <w:tbl>
      <w:tblPr>
        <w:tblW w:w="4968" w:type="pct"/>
        <w:tblCellMar>
          <w:top w:w="15" w:type="dxa"/>
          <w:left w:w="15" w:type="dxa"/>
          <w:bottom w:w="15" w:type="dxa"/>
          <w:right w:w="15" w:type="dxa"/>
        </w:tblCellMar>
        <w:tblLook w:val="04A0" w:firstRow="1" w:lastRow="0" w:firstColumn="1" w:lastColumn="0" w:noHBand="0" w:noVBand="1"/>
      </w:tblPr>
      <w:tblGrid>
        <w:gridCol w:w="59"/>
        <w:gridCol w:w="4336"/>
        <w:gridCol w:w="38"/>
        <w:gridCol w:w="71"/>
        <w:gridCol w:w="781"/>
        <w:gridCol w:w="37"/>
        <w:gridCol w:w="37"/>
        <w:gridCol w:w="36"/>
        <w:gridCol w:w="36"/>
        <w:gridCol w:w="49"/>
        <w:gridCol w:w="793"/>
        <w:gridCol w:w="36"/>
        <w:gridCol w:w="36"/>
        <w:gridCol w:w="36"/>
        <w:gridCol w:w="36"/>
        <w:gridCol w:w="56"/>
        <w:gridCol w:w="786"/>
        <w:gridCol w:w="37"/>
        <w:gridCol w:w="37"/>
        <w:gridCol w:w="36"/>
        <w:gridCol w:w="36"/>
        <w:gridCol w:w="64"/>
        <w:gridCol w:w="778"/>
        <w:gridCol w:w="36"/>
      </w:tblGrid>
      <w:tr w:rsidR="00833634" w14:paraId="4090F598" w14:textId="77777777">
        <w:tc>
          <w:tcPr>
            <w:tcW w:w="50" w:type="pct"/>
            <w:shd w:val="clear" w:color="auto" w:fill="auto"/>
          </w:tcPr>
          <w:p w14:paraId="4090F580" w14:textId="77777777" w:rsidR="00833634" w:rsidRDefault="00833634">
            <w:pPr>
              <w:rPr>
                <w:rFonts w:ascii="宋体"/>
              </w:rPr>
            </w:pPr>
          </w:p>
        </w:tc>
        <w:tc>
          <w:tcPr>
            <w:tcW w:w="2630" w:type="pct"/>
            <w:shd w:val="clear" w:color="auto" w:fill="auto"/>
          </w:tcPr>
          <w:p w14:paraId="4090F581" w14:textId="77777777" w:rsidR="00833634" w:rsidRDefault="00833634">
            <w:pPr>
              <w:rPr>
                <w:rFonts w:ascii="宋体"/>
              </w:rPr>
            </w:pPr>
          </w:p>
        </w:tc>
        <w:tc>
          <w:tcPr>
            <w:tcW w:w="5" w:type="pct"/>
            <w:shd w:val="clear" w:color="auto" w:fill="auto"/>
          </w:tcPr>
          <w:p w14:paraId="4090F582" w14:textId="77777777" w:rsidR="00833634" w:rsidRDefault="00833634">
            <w:pPr>
              <w:rPr>
                <w:rFonts w:ascii="宋体"/>
              </w:rPr>
            </w:pPr>
          </w:p>
        </w:tc>
        <w:tc>
          <w:tcPr>
            <w:tcW w:w="50" w:type="pct"/>
            <w:shd w:val="clear" w:color="auto" w:fill="auto"/>
          </w:tcPr>
          <w:p w14:paraId="4090F583" w14:textId="77777777" w:rsidR="00833634" w:rsidRDefault="00833634">
            <w:pPr>
              <w:rPr>
                <w:rFonts w:ascii="宋体"/>
              </w:rPr>
            </w:pPr>
          </w:p>
        </w:tc>
        <w:tc>
          <w:tcPr>
            <w:tcW w:w="493" w:type="pct"/>
            <w:shd w:val="clear" w:color="auto" w:fill="auto"/>
          </w:tcPr>
          <w:p w14:paraId="4090F584" w14:textId="77777777" w:rsidR="00833634" w:rsidRDefault="00833634">
            <w:pPr>
              <w:rPr>
                <w:rFonts w:ascii="宋体"/>
              </w:rPr>
            </w:pPr>
          </w:p>
        </w:tc>
        <w:tc>
          <w:tcPr>
            <w:tcW w:w="5" w:type="pct"/>
            <w:shd w:val="clear" w:color="auto" w:fill="auto"/>
          </w:tcPr>
          <w:p w14:paraId="4090F585" w14:textId="77777777" w:rsidR="00833634" w:rsidRDefault="00833634">
            <w:pPr>
              <w:rPr>
                <w:rFonts w:ascii="宋体"/>
              </w:rPr>
            </w:pPr>
          </w:p>
        </w:tc>
        <w:tc>
          <w:tcPr>
            <w:tcW w:w="5" w:type="pct"/>
            <w:shd w:val="clear" w:color="auto" w:fill="auto"/>
          </w:tcPr>
          <w:p w14:paraId="4090F586" w14:textId="77777777" w:rsidR="00833634" w:rsidRDefault="00833634">
            <w:pPr>
              <w:rPr>
                <w:rFonts w:ascii="宋体"/>
              </w:rPr>
            </w:pPr>
          </w:p>
        </w:tc>
        <w:tc>
          <w:tcPr>
            <w:tcW w:w="30" w:type="pct"/>
            <w:shd w:val="clear" w:color="auto" w:fill="auto"/>
          </w:tcPr>
          <w:p w14:paraId="4090F587" w14:textId="77777777" w:rsidR="00833634" w:rsidRDefault="00833634">
            <w:pPr>
              <w:rPr>
                <w:rFonts w:ascii="宋体"/>
              </w:rPr>
            </w:pPr>
          </w:p>
        </w:tc>
        <w:tc>
          <w:tcPr>
            <w:tcW w:w="5" w:type="pct"/>
            <w:shd w:val="clear" w:color="auto" w:fill="auto"/>
          </w:tcPr>
          <w:p w14:paraId="4090F588" w14:textId="77777777" w:rsidR="00833634" w:rsidRDefault="00833634">
            <w:pPr>
              <w:rPr>
                <w:rFonts w:ascii="宋体"/>
              </w:rPr>
            </w:pPr>
          </w:p>
        </w:tc>
        <w:tc>
          <w:tcPr>
            <w:tcW w:w="50" w:type="pct"/>
            <w:shd w:val="clear" w:color="auto" w:fill="auto"/>
          </w:tcPr>
          <w:p w14:paraId="4090F589" w14:textId="77777777" w:rsidR="00833634" w:rsidRDefault="00833634">
            <w:pPr>
              <w:rPr>
                <w:rFonts w:ascii="宋体"/>
              </w:rPr>
            </w:pPr>
          </w:p>
        </w:tc>
        <w:tc>
          <w:tcPr>
            <w:tcW w:w="493" w:type="pct"/>
            <w:shd w:val="clear" w:color="auto" w:fill="auto"/>
          </w:tcPr>
          <w:p w14:paraId="4090F58A" w14:textId="77777777" w:rsidR="00833634" w:rsidRDefault="00833634">
            <w:pPr>
              <w:rPr>
                <w:rFonts w:ascii="宋体"/>
              </w:rPr>
            </w:pPr>
          </w:p>
        </w:tc>
        <w:tc>
          <w:tcPr>
            <w:tcW w:w="5" w:type="pct"/>
            <w:shd w:val="clear" w:color="auto" w:fill="auto"/>
          </w:tcPr>
          <w:p w14:paraId="4090F58B" w14:textId="77777777" w:rsidR="00833634" w:rsidRDefault="00833634">
            <w:pPr>
              <w:rPr>
                <w:rFonts w:ascii="宋体"/>
              </w:rPr>
            </w:pPr>
          </w:p>
        </w:tc>
        <w:tc>
          <w:tcPr>
            <w:tcW w:w="5" w:type="pct"/>
            <w:shd w:val="clear" w:color="auto" w:fill="auto"/>
          </w:tcPr>
          <w:p w14:paraId="4090F58C" w14:textId="77777777" w:rsidR="00833634" w:rsidRDefault="00833634">
            <w:pPr>
              <w:rPr>
                <w:rFonts w:ascii="宋体"/>
              </w:rPr>
            </w:pPr>
          </w:p>
        </w:tc>
        <w:tc>
          <w:tcPr>
            <w:tcW w:w="30" w:type="pct"/>
            <w:shd w:val="clear" w:color="auto" w:fill="auto"/>
          </w:tcPr>
          <w:p w14:paraId="4090F58D" w14:textId="77777777" w:rsidR="00833634" w:rsidRDefault="00833634">
            <w:pPr>
              <w:rPr>
                <w:rFonts w:ascii="宋体"/>
              </w:rPr>
            </w:pPr>
          </w:p>
        </w:tc>
        <w:tc>
          <w:tcPr>
            <w:tcW w:w="5" w:type="pct"/>
            <w:shd w:val="clear" w:color="auto" w:fill="auto"/>
          </w:tcPr>
          <w:p w14:paraId="4090F58E" w14:textId="77777777" w:rsidR="00833634" w:rsidRDefault="00833634">
            <w:pPr>
              <w:rPr>
                <w:rFonts w:ascii="宋体"/>
              </w:rPr>
            </w:pPr>
          </w:p>
        </w:tc>
        <w:tc>
          <w:tcPr>
            <w:tcW w:w="50" w:type="pct"/>
            <w:shd w:val="clear" w:color="auto" w:fill="auto"/>
          </w:tcPr>
          <w:p w14:paraId="4090F58F" w14:textId="77777777" w:rsidR="00833634" w:rsidRDefault="00833634">
            <w:pPr>
              <w:rPr>
                <w:rFonts w:ascii="宋体"/>
              </w:rPr>
            </w:pPr>
          </w:p>
        </w:tc>
        <w:tc>
          <w:tcPr>
            <w:tcW w:w="493" w:type="pct"/>
            <w:shd w:val="clear" w:color="auto" w:fill="auto"/>
          </w:tcPr>
          <w:p w14:paraId="4090F590" w14:textId="77777777" w:rsidR="00833634" w:rsidRDefault="00833634">
            <w:pPr>
              <w:rPr>
                <w:rFonts w:ascii="宋体"/>
              </w:rPr>
            </w:pPr>
          </w:p>
        </w:tc>
        <w:tc>
          <w:tcPr>
            <w:tcW w:w="5" w:type="pct"/>
            <w:shd w:val="clear" w:color="auto" w:fill="auto"/>
          </w:tcPr>
          <w:p w14:paraId="4090F591" w14:textId="77777777" w:rsidR="00833634" w:rsidRDefault="00833634">
            <w:pPr>
              <w:rPr>
                <w:rFonts w:ascii="宋体"/>
              </w:rPr>
            </w:pPr>
          </w:p>
        </w:tc>
        <w:tc>
          <w:tcPr>
            <w:tcW w:w="5" w:type="pct"/>
            <w:shd w:val="clear" w:color="auto" w:fill="auto"/>
          </w:tcPr>
          <w:p w14:paraId="4090F592" w14:textId="77777777" w:rsidR="00833634" w:rsidRDefault="00833634">
            <w:pPr>
              <w:rPr>
                <w:rFonts w:ascii="宋体"/>
              </w:rPr>
            </w:pPr>
          </w:p>
        </w:tc>
        <w:tc>
          <w:tcPr>
            <w:tcW w:w="30" w:type="pct"/>
            <w:shd w:val="clear" w:color="auto" w:fill="auto"/>
          </w:tcPr>
          <w:p w14:paraId="4090F593" w14:textId="77777777" w:rsidR="00833634" w:rsidRDefault="00833634">
            <w:pPr>
              <w:rPr>
                <w:rFonts w:ascii="宋体"/>
              </w:rPr>
            </w:pPr>
          </w:p>
        </w:tc>
        <w:tc>
          <w:tcPr>
            <w:tcW w:w="5" w:type="pct"/>
            <w:shd w:val="clear" w:color="auto" w:fill="auto"/>
          </w:tcPr>
          <w:p w14:paraId="4090F594" w14:textId="77777777" w:rsidR="00833634" w:rsidRDefault="00833634">
            <w:pPr>
              <w:rPr>
                <w:rFonts w:ascii="宋体"/>
              </w:rPr>
            </w:pPr>
          </w:p>
        </w:tc>
        <w:tc>
          <w:tcPr>
            <w:tcW w:w="50" w:type="pct"/>
            <w:shd w:val="clear" w:color="auto" w:fill="auto"/>
          </w:tcPr>
          <w:p w14:paraId="4090F595" w14:textId="77777777" w:rsidR="00833634" w:rsidRDefault="00833634">
            <w:pPr>
              <w:rPr>
                <w:rFonts w:ascii="宋体"/>
              </w:rPr>
            </w:pPr>
          </w:p>
        </w:tc>
        <w:tc>
          <w:tcPr>
            <w:tcW w:w="493" w:type="pct"/>
            <w:shd w:val="clear" w:color="auto" w:fill="auto"/>
          </w:tcPr>
          <w:p w14:paraId="4090F596" w14:textId="77777777" w:rsidR="00833634" w:rsidRDefault="00833634">
            <w:pPr>
              <w:rPr>
                <w:rFonts w:ascii="宋体"/>
              </w:rPr>
            </w:pPr>
          </w:p>
        </w:tc>
        <w:tc>
          <w:tcPr>
            <w:tcW w:w="5" w:type="pct"/>
            <w:shd w:val="clear" w:color="auto" w:fill="auto"/>
          </w:tcPr>
          <w:p w14:paraId="4090F597" w14:textId="77777777" w:rsidR="00833634" w:rsidRDefault="00833634">
            <w:pPr>
              <w:rPr>
                <w:rFonts w:ascii="宋体"/>
              </w:rPr>
            </w:pPr>
          </w:p>
        </w:tc>
      </w:tr>
      <w:tr w:rsidR="00833634" w14:paraId="4090F59D" w14:textId="77777777">
        <w:tc>
          <w:tcPr>
            <w:tcW w:w="0" w:type="auto"/>
            <w:gridSpan w:val="3"/>
            <w:shd w:val="clear" w:color="auto" w:fill="auto"/>
            <w:tcMar>
              <w:top w:w="40" w:type="dxa"/>
              <w:left w:w="20" w:type="dxa"/>
              <w:bottom w:w="40" w:type="dxa"/>
              <w:right w:w="20" w:type="dxa"/>
            </w:tcMar>
            <w:vAlign w:val="bottom"/>
          </w:tcPr>
          <w:p w14:paraId="4090F599"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59A"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59B"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59C"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5A6"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59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9F"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5A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A1"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5A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A3"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5A4"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A5" w14:textId="77777777" w:rsidR="00833634" w:rsidRDefault="00E15D51">
            <w:pPr>
              <w:jc w:val="right"/>
              <w:textAlignment w:val="bottom"/>
            </w:pPr>
            <w:r>
              <w:rPr>
                <w:rFonts w:ascii="Arial" w:eastAsia="宋体" w:hAnsi="Arial" w:cs="Arial"/>
                <w:color w:val="000000"/>
                <w:sz w:val="20"/>
                <w:szCs w:val="20"/>
              </w:rPr>
              <w:t>2019</w:t>
            </w:r>
          </w:p>
        </w:tc>
      </w:tr>
      <w:tr w:rsidR="00833634" w14:paraId="4090F5B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5A7" w14:textId="77777777" w:rsidR="00833634" w:rsidRDefault="00E15D51">
            <w:pPr>
              <w:textAlignment w:val="bottom"/>
            </w:pPr>
            <w:r>
              <w:rPr>
                <w:rFonts w:ascii="Arial" w:eastAsia="宋体" w:hAnsi="Arial" w:cs="Arial"/>
                <w:b/>
                <w:bCs/>
                <w:color w:val="000000"/>
                <w:sz w:val="20"/>
                <w:szCs w:val="20"/>
              </w:rPr>
              <w:t>(Loss)/earnings from operations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5A8" w14:textId="77777777" w:rsidR="00833634" w:rsidRDefault="00E15D51">
            <w:pPr>
              <w:jc w:val="right"/>
              <w:textAlignment w:val="bottom"/>
            </w:pPr>
            <w:r>
              <w:rPr>
                <w:rFonts w:ascii="Arial" w:eastAsia="宋体" w:hAnsi="Arial" w:cs="Arial"/>
                <w:b/>
                <w:bCs/>
                <w:color w:val="000000"/>
                <w:sz w:val="20"/>
                <w:szCs w:val="20"/>
              </w:rPr>
              <w:t>($4,718)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5A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5A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5AB" w14:textId="77777777" w:rsidR="00833634" w:rsidRDefault="00E15D51">
            <w:pPr>
              <w:jc w:val="right"/>
              <w:textAlignment w:val="bottom"/>
            </w:pPr>
            <w:r>
              <w:rPr>
                <w:rFonts w:ascii="Arial" w:eastAsia="宋体" w:hAnsi="Arial" w:cs="Arial"/>
                <w:color w:val="000000"/>
                <w:sz w:val="20"/>
                <w:szCs w:val="20"/>
              </w:rPr>
              <w:t>$229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5A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5A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5AE" w14:textId="77777777" w:rsidR="00833634" w:rsidRDefault="00E15D51">
            <w:pPr>
              <w:jc w:val="right"/>
              <w:textAlignment w:val="bottom"/>
            </w:pPr>
            <w:r>
              <w:rPr>
                <w:rFonts w:ascii="Arial" w:eastAsia="宋体" w:hAnsi="Arial" w:cs="Arial"/>
                <w:b/>
                <w:bCs/>
                <w:color w:val="000000"/>
                <w:sz w:val="20"/>
                <w:szCs w:val="20"/>
              </w:rPr>
              <w:t>($401)</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5A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5B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5B1" w14:textId="77777777" w:rsidR="00833634" w:rsidRDefault="00E15D51">
            <w:pPr>
              <w:jc w:val="right"/>
              <w:textAlignment w:val="bottom"/>
            </w:pPr>
            <w:r>
              <w:rPr>
                <w:rFonts w:ascii="Arial" w:eastAsia="宋体" w:hAnsi="Arial" w:cs="Arial"/>
                <w:color w:val="000000"/>
                <w:sz w:val="20"/>
                <w:szCs w:val="20"/>
              </w:rPr>
              <w:t>$1,259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5B2" w14:textId="77777777" w:rsidR="00833634" w:rsidRDefault="00833634">
            <w:pPr>
              <w:jc w:val="right"/>
              <w:rPr>
                <w:rFonts w:ascii="宋体"/>
              </w:rPr>
            </w:pPr>
          </w:p>
        </w:tc>
      </w:tr>
      <w:tr w:rsidR="00833634" w14:paraId="4090F5C0" w14:textId="77777777">
        <w:tc>
          <w:tcPr>
            <w:tcW w:w="0" w:type="auto"/>
            <w:gridSpan w:val="3"/>
            <w:shd w:val="clear" w:color="auto" w:fill="auto"/>
            <w:tcMar>
              <w:top w:w="40" w:type="dxa"/>
              <w:left w:w="20" w:type="dxa"/>
              <w:bottom w:w="40" w:type="dxa"/>
              <w:right w:w="20" w:type="dxa"/>
            </w:tcMar>
            <w:vAlign w:val="bottom"/>
          </w:tcPr>
          <w:p w14:paraId="4090F5B4" w14:textId="77777777" w:rsidR="00833634" w:rsidRDefault="00E15D51">
            <w:pPr>
              <w:textAlignment w:val="bottom"/>
            </w:pPr>
            <w:r>
              <w:rPr>
                <w:rFonts w:ascii="Arial" w:eastAsia="宋体" w:hAnsi="Arial" w:cs="Arial"/>
                <w:color w:val="000000"/>
                <w:sz w:val="20"/>
                <w:szCs w:val="20"/>
              </w:rPr>
              <w:t>Other income, net</w:t>
            </w:r>
          </w:p>
        </w:tc>
        <w:tc>
          <w:tcPr>
            <w:tcW w:w="0" w:type="auto"/>
            <w:gridSpan w:val="2"/>
            <w:shd w:val="clear" w:color="auto" w:fill="auto"/>
            <w:tcMar>
              <w:top w:w="40" w:type="dxa"/>
              <w:left w:w="20" w:type="dxa"/>
              <w:bottom w:w="40" w:type="dxa"/>
              <w:right w:w="0" w:type="dxa"/>
            </w:tcMar>
            <w:vAlign w:val="bottom"/>
          </w:tcPr>
          <w:p w14:paraId="4090F5B5" w14:textId="77777777" w:rsidR="00833634" w:rsidRDefault="00E15D51">
            <w:pPr>
              <w:jc w:val="right"/>
              <w:textAlignment w:val="bottom"/>
            </w:pPr>
            <w:r>
              <w:rPr>
                <w:rFonts w:ascii="Arial" w:eastAsia="宋体" w:hAnsi="Arial" w:cs="Arial"/>
                <w:b/>
                <w:bCs/>
                <w:color w:val="000000"/>
                <w:sz w:val="20"/>
                <w:szCs w:val="20"/>
              </w:rPr>
              <w:t>325</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5B6"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5B7"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5B8" w14:textId="77777777" w:rsidR="00833634" w:rsidRDefault="00E15D51">
            <w:pPr>
              <w:jc w:val="right"/>
              <w:textAlignment w:val="bottom"/>
            </w:pPr>
            <w:r>
              <w:rPr>
                <w:rFonts w:ascii="Arial" w:eastAsia="宋体" w:hAnsi="Arial" w:cs="Arial"/>
                <w:color w:val="000000"/>
                <w:sz w:val="20"/>
                <w:szCs w:val="20"/>
              </w:rPr>
              <w:t>334 </w:t>
            </w:r>
          </w:p>
        </w:tc>
        <w:tc>
          <w:tcPr>
            <w:tcW w:w="0" w:type="auto"/>
            <w:shd w:val="clear" w:color="auto" w:fill="FFFFFF"/>
            <w:tcMar>
              <w:top w:w="40" w:type="dxa"/>
              <w:left w:w="0" w:type="dxa"/>
              <w:bottom w:w="40" w:type="dxa"/>
              <w:right w:w="20" w:type="dxa"/>
            </w:tcMar>
            <w:vAlign w:val="bottom"/>
          </w:tcPr>
          <w:p w14:paraId="4090F5B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5B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5BB" w14:textId="77777777" w:rsidR="00833634" w:rsidRDefault="00E15D51">
            <w:pPr>
              <w:jc w:val="right"/>
              <w:textAlignment w:val="bottom"/>
            </w:pPr>
            <w:r>
              <w:rPr>
                <w:rFonts w:ascii="Arial" w:eastAsia="宋体" w:hAnsi="Arial" w:cs="Arial"/>
                <w:b/>
                <w:bCs/>
                <w:color w:val="000000"/>
                <w:sz w:val="20"/>
                <w:szCs w:val="20"/>
              </w:rPr>
              <w:t>119</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5B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5B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5BE" w14:textId="77777777" w:rsidR="00833634" w:rsidRDefault="00E15D51">
            <w:pPr>
              <w:jc w:val="right"/>
              <w:textAlignment w:val="bottom"/>
            </w:pPr>
            <w:r>
              <w:rPr>
                <w:rFonts w:ascii="Arial" w:eastAsia="宋体" w:hAnsi="Arial" w:cs="Arial"/>
                <w:color w:val="000000"/>
                <w:sz w:val="20"/>
                <w:szCs w:val="20"/>
              </w:rPr>
              <w:t>121 </w:t>
            </w:r>
          </w:p>
        </w:tc>
        <w:tc>
          <w:tcPr>
            <w:tcW w:w="0" w:type="auto"/>
            <w:shd w:val="clear" w:color="auto" w:fill="FFFFFF"/>
            <w:tcMar>
              <w:top w:w="40" w:type="dxa"/>
              <w:left w:w="0" w:type="dxa"/>
              <w:bottom w:w="40" w:type="dxa"/>
              <w:right w:w="20" w:type="dxa"/>
            </w:tcMar>
            <w:vAlign w:val="bottom"/>
          </w:tcPr>
          <w:p w14:paraId="4090F5BF" w14:textId="77777777" w:rsidR="00833634" w:rsidRDefault="00833634">
            <w:pPr>
              <w:jc w:val="right"/>
              <w:rPr>
                <w:rFonts w:ascii="宋体"/>
              </w:rPr>
            </w:pPr>
          </w:p>
        </w:tc>
      </w:tr>
      <w:tr w:rsidR="00833634" w14:paraId="4090F5CD" w14:textId="77777777">
        <w:tc>
          <w:tcPr>
            <w:tcW w:w="0" w:type="auto"/>
            <w:gridSpan w:val="3"/>
            <w:shd w:val="clear" w:color="auto" w:fill="CCEEFF"/>
            <w:tcMar>
              <w:top w:w="40" w:type="dxa"/>
              <w:left w:w="20" w:type="dxa"/>
              <w:bottom w:w="40" w:type="dxa"/>
              <w:right w:w="20" w:type="dxa"/>
            </w:tcMar>
            <w:vAlign w:val="bottom"/>
          </w:tcPr>
          <w:p w14:paraId="4090F5C1" w14:textId="77777777" w:rsidR="00833634" w:rsidRDefault="00E15D51">
            <w:pPr>
              <w:textAlignment w:val="bottom"/>
            </w:pPr>
            <w:r>
              <w:rPr>
                <w:rFonts w:ascii="Arial" w:eastAsia="宋体" w:hAnsi="Arial" w:cs="Arial"/>
                <w:color w:val="000000"/>
                <w:sz w:val="20"/>
                <w:szCs w:val="20"/>
              </w:rPr>
              <w:t>Interest and debt expense</w:t>
            </w:r>
          </w:p>
        </w:tc>
        <w:tc>
          <w:tcPr>
            <w:tcW w:w="0" w:type="auto"/>
            <w:gridSpan w:val="2"/>
            <w:shd w:val="clear" w:color="auto" w:fill="CCEEFF"/>
            <w:tcMar>
              <w:top w:w="40" w:type="dxa"/>
              <w:left w:w="20" w:type="dxa"/>
              <w:bottom w:w="40" w:type="dxa"/>
              <w:right w:w="0" w:type="dxa"/>
            </w:tcMar>
            <w:vAlign w:val="bottom"/>
          </w:tcPr>
          <w:p w14:paraId="4090F5C2" w14:textId="77777777" w:rsidR="00833634" w:rsidRDefault="00E15D51">
            <w:pPr>
              <w:jc w:val="right"/>
              <w:textAlignment w:val="bottom"/>
            </w:pPr>
            <w:r>
              <w:rPr>
                <w:rFonts w:ascii="Arial" w:eastAsia="宋体" w:hAnsi="Arial" w:cs="Arial"/>
                <w:b/>
                <w:bCs/>
                <w:color w:val="000000"/>
                <w:sz w:val="20"/>
                <w:szCs w:val="20"/>
              </w:rPr>
              <w:t>(1,458)</w:t>
            </w:r>
          </w:p>
        </w:tc>
        <w:tc>
          <w:tcPr>
            <w:tcW w:w="0" w:type="auto"/>
            <w:shd w:val="clear" w:color="auto" w:fill="CCEEFF"/>
            <w:tcMar>
              <w:top w:w="40" w:type="dxa"/>
              <w:left w:w="0" w:type="dxa"/>
              <w:bottom w:w="40" w:type="dxa"/>
              <w:right w:w="20" w:type="dxa"/>
            </w:tcMar>
            <w:vAlign w:val="bottom"/>
          </w:tcPr>
          <w:p w14:paraId="4090F5C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C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C5" w14:textId="77777777" w:rsidR="00833634" w:rsidRDefault="00E15D51">
            <w:pPr>
              <w:jc w:val="right"/>
              <w:textAlignment w:val="bottom"/>
            </w:pPr>
            <w:r>
              <w:rPr>
                <w:rFonts w:ascii="Arial" w:eastAsia="宋体" w:hAnsi="Arial" w:cs="Arial"/>
                <w:color w:val="000000"/>
                <w:sz w:val="20"/>
                <w:szCs w:val="20"/>
              </w:rPr>
              <w:t>(480)</w:t>
            </w:r>
          </w:p>
        </w:tc>
        <w:tc>
          <w:tcPr>
            <w:tcW w:w="0" w:type="auto"/>
            <w:shd w:val="clear" w:color="auto" w:fill="CCEEFF"/>
            <w:tcMar>
              <w:top w:w="40" w:type="dxa"/>
              <w:left w:w="0" w:type="dxa"/>
              <w:bottom w:w="40" w:type="dxa"/>
              <w:right w:w="20" w:type="dxa"/>
            </w:tcMar>
            <w:vAlign w:val="bottom"/>
          </w:tcPr>
          <w:p w14:paraId="4090F5C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C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C8" w14:textId="77777777" w:rsidR="00833634" w:rsidRDefault="00E15D51">
            <w:pPr>
              <w:jc w:val="right"/>
              <w:textAlignment w:val="bottom"/>
            </w:pPr>
            <w:r>
              <w:rPr>
                <w:rFonts w:ascii="Arial" w:eastAsia="宋体" w:hAnsi="Arial" w:cs="Arial"/>
                <w:b/>
                <w:bCs/>
                <w:color w:val="000000"/>
                <w:sz w:val="20"/>
                <w:szCs w:val="20"/>
              </w:rPr>
              <w:t>(643)</w:t>
            </w:r>
          </w:p>
        </w:tc>
        <w:tc>
          <w:tcPr>
            <w:tcW w:w="0" w:type="auto"/>
            <w:shd w:val="clear" w:color="auto" w:fill="CCEEFF"/>
            <w:tcMar>
              <w:top w:w="40" w:type="dxa"/>
              <w:left w:w="0" w:type="dxa"/>
              <w:bottom w:w="40" w:type="dxa"/>
              <w:right w:w="20" w:type="dxa"/>
            </w:tcMar>
            <w:vAlign w:val="bottom"/>
          </w:tcPr>
          <w:p w14:paraId="4090F5C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C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CB" w14:textId="77777777" w:rsidR="00833634" w:rsidRDefault="00E15D51">
            <w:pPr>
              <w:jc w:val="right"/>
              <w:textAlignment w:val="bottom"/>
            </w:pPr>
            <w:r>
              <w:rPr>
                <w:rFonts w:ascii="Arial" w:eastAsia="宋体" w:hAnsi="Arial" w:cs="Arial"/>
                <w:color w:val="000000"/>
                <w:sz w:val="20"/>
                <w:szCs w:val="20"/>
              </w:rPr>
              <w:t>(203)</w:t>
            </w:r>
          </w:p>
        </w:tc>
        <w:tc>
          <w:tcPr>
            <w:tcW w:w="0" w:type="auto"/>
            <w:shd w:val="clear" w:color="auto" w:fill="CCEEFF"/>
            <w:tcMar>
              <w:top w:w="40" w:type="dxa"/>
              <w:left w:w="0" w:type="dxa"/>
              <w:bottom w:w="40" w:type="dxa"/>
              <w:right w:w="20" w:type="dxa"/>
            </w:tcMar>
            <w:vAlign w:val="bottom"/>
          </w:tcPr>
          <w:p w14:paraId="4090F5CC" w14:textId="77777777" w:rsidR="00833634" w:rsidRDefault="00833634">
            <w:pPr>
              <w:jc w:val="right"/>
              <w:rPr>
                <w:rFonts w:ascii="宋体"/>
              </w:rPr>
            </w:pPr>
          </w:p>
        </w:tc>
      </w:tr>
      <w:tr w:rsidR="00833634" w14:paraId="4090F5DA"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CE" w14:textId="77777777" w:rsidR="00833634" w:rsidRDefault="00E15D51">
            <w:pPr>
              <w:textAlignment w:val="bottom"/>
            </w:pPr>
            <w:r>
              <w:rPr>
                <w:rFonts w:ascii="Arial" w:eastAsia="宋体" w:hAnsi="Arial" w:cs="Arial"/>
                <w:b/>
                <w:bCs/>
                <w:color w:val="000000"/>
                <w:sz w:val="20"/>
                <w:szCs w:val="20"/>
              </w:rPr>
              <w:t>(Loss)/earnings before income taxes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5CF" w14:textId="77777777" w:rsidR="00833634" w:rsidRDefault="00E15D51">
            <w:pPr>
              <w:jc w:val="right"/>
              <w:textAlignment w:val="bottom"/>
            </w:pPr>
            <w:r>
              <w:rPr>
                <w:rFonts w:ascii="Arial" w:eastAsia="宋体" w:hAnsi="Arial" w:cs="Arial"/>
                <w:b/>
                <w:bCs/>
                <w:color w:val="000000"/>
                <w:sz w:val="20"/>
                <w:szCs w:val="20"/>
              </w:rPr>
              <w:t>(5,851)</w:t>
            </w:r>
          </w:p>
        </w:tc>
        <w:tc>
          <w:tcPr>
            <w:tcW w:w="0" w:type="auto"/>
            <w:tcBorders>
              <w:top w:val="single" w:sz="8" w:space="0" w:color="000000"/>
            </w:tcBorders>
            <w:shd w:val="clear" w:color="auto" w:fill="auto"/>
            <w:tcMar>
              <w:top w:w="40" w:type="dxa"/>
              <w:left w:w="0" w:type="dxa"/>
              <w:bottom w:w="40" w:type="dxa"/>
              <w:right w:w="20" w:type="dxa"/>
            </w:tcMar>
            <w:vAlign w:val="bottom"/>
          </w:tcPr>
          <w:p w14:paraId="4090F5D0"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5D1"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5D2" w14:textId="77777777" w:rsidR="00833634" w:rsidRDefault="00E15D51">
            <w:pPr>
              <w:jc w:val="right"/>
              <w:textAlignment w:val="bottom"/>
            </w:pPr>
            <w:r>
              <w:rPr>
                <w:rFonts w:ascii="Arial" w:eastAsia="宋体" w:hAnsi="Arial" w:cs="Arial"/>
                <w:color w:val="000000"/>
                <w:sz w:val="20"/>
                <w:szCs w:val="20"/>
              </w:rPr>
              <w:t>83 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5D3"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5D4"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5D5" w14:textId="77777777" w:rsidR="00833634" w:rsidRDefault="00E15D51">
            <w:pPr>
              <w:jc w:val="right"/>
              <w:textAlignment w:val="bottom"/>
            </w:pPr>
            <w:r>
              <w:rPr>
                <w:rFonts w:ascii="Arial" w:eastAsia="宋体" w:hAnsi="Arial" w:cs="Arial"/>
                <w:b/>
                <w:bCs/>
                <w:color w:val="000000"/>
                <w:sz w:val="20"/>
                <w:szCs w:val="20"/>
              </w:rPr>
              <w:t>(925)</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5D6"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5D7"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5D8" w14:textId="77777777" w:rsidR="00833634" w:rsidRDefault="00E15D51">
            <w:pPr>
              <w:jc w:val="right"/>
              <w:textAlignment w:val="bottom"/>
            </w:pPr>
            <w:r>
              <w:rPr>
                <w:rFonts w:ascii="Arial" w:eastAsia="宋体" w:hAnsi="Arial" w:cs="Arial"/>
                <w:color w:val="000000"/>
                <w:sz w:val="20"/>
                <w:szCs w:val="20"/>
              </w:rPr>
              <w:t>1,177 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5D9" w14:textId="77777777" w:rsidR="00833634" w:rsidRDefault="00833634">
            <w:pPr>
              <w:jc w:val="right"/>
              <w:rPr>
                <w:rFonts w:ascii="宋体"/>
              </w:rPr>
            </w:pPr>
          </w:p>
        </w:tc>
      </w:tr>
      <w:tr w:rsidR="00833634" w14:paraId="4090F5E7" w14:textId="77777777">
        <w:tc>
          <w:tcPr>
            <w:tcW w:w="0" w:type="auto"/>
            <w:gridSpan w:val="3"/>
            <w:shd w:val="clear" w:color="auto" w:fill="CCEEFF"/>
            <w:tcMar>
              <w:top w:w="40" w:type="dxa"/>
              <w:left w:w="20" w:type="dxa"/>
              <w:bottom w:w="40" w:type="dxa"/>
              <w:right w:w="20" w:type="dxa"/>
            </w:tcMar>
            <w:vAlign w:val="bottom"/>
          </w:tcPr>
          <w:p w14:paraId="4090F5DB" w14:textId="77777777" w:rsidR="00833634" w:rsidRDefault="00E15D51">
            <w:pPr>
              <w:textAlignment w:val="bottom"/>
            </w:pPr>
            <w:r>
              <w:rPr>
                <w:rFonts w:ascii="Arial" w:eastAsia="宋体" w:hAnsi="Arial" w:cs="Arial"/>
                <w:color w:val="000000"/>
                <w:sz w:val="20"/>
                <w:szCs w:val="20"/>
              </w:rPr>
              <w:t>Income tax benefit/(expense)</w:t>
            </w:r>
          </w:p>
        </w:tc>
        <w:tc>
          <w:tcPr>
            <w:tcW w:w="0" w:type="auto"/>
            <w:gridSpan w:val="2"/>
            <w:shd w:val="clear" w:color="auto" w:fill="CCEEFF"/>
            <w:tcMar>
              <w:top w:w="40" w:type="dxa"/>
              <w:left w:w="20" w:type="dxa"/>
              <w:bottom w:w="40" w:type="dxa"/>
              <w:right w:w="0" w:type="dxa"/>
            </w:tcMar>
            <w:vAlign w:val="bottom"/>
          </w:tcPr>
          <w:p w14:paraId="4090F5DC" w14:textId="77777777" w:rsidR="00833634" w:rsidRDefault="00E15D51">
            <w:pPr>
              <w:jc w:val="right"/>
              <w:textAlignment w:val="bottom"/>
            </w:pPr>
            <w:r>
              <w:rPr>
                <w:rFonts w:ascii="Arial" w:eastAsia="宋体" w:hAnsi="Arial" w:cs="Arial"/>
                <w:b/>
                <w:bCs/>
                <w:color w:val="000000"/>
                <w:sz w:val="20"/>
                <w:szCs w:val="20"/>
              </w:rPr>
              <w:t>2,349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5D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D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DF" w14:textId="77777777" w:rsidR="00833634" w:rsidRDefault="00E15D51">
            <w:pPr>
              <w:jc w:val="right"/>
              <w:textAlignment w:val="bottom"/>
            </w:pPr>
            <w:r>
              <w:rPr>
                <w:rFonts w:ascii="Arial" w:eastAsia="宋体" w:hAnsi="Arial" w:cs="Arial"/>
                <w:color w:val="000000"/>
                <w:sz w:val="20"/>
                <w:szCs w:val="20"/>
              </w:rPr>
              <w:t>291 </w:t>
            </w:r>
          </w:p>
        </w:tc>
        <w:tc>
          <w:tcPr>
            <w:tcW w:w="0" w:type="auto"/>
            <w:shd w:val="clear" w:color="auto" w:fill="CCEEFF"/>
            <w:tcMar>
              <w:top w:w="40" w:type="dxa"/>
              <w:left w:w="0" w:type="dxa"/>
              <w:bottom w:w="40" w:type="dxa"/>
              <w:right w:w="20" w:type="dxa"/>
            </w:tcMar>
            <w:vAlign w:val="bottom"/>
          </w:tcPr>
          <w:p w14:paraId="4090F5E0"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E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E2" w14:textId="77777777" w:rsidR="00833634" w:rsidRDefault="00E15D51">
            <w:pPr>
              <w:jc w:val="right"/>
              <w:textAlignment w:val="bottom"/>
            </w:pPr>
            <w:r>
              <w:rPr>
                <w:rFonts w:ascii="Arial" w:eastAsia="宋体" w:hAnsi="Arial" w:cs="Arial"/>
                <w:b/>
                <w:bCs/>
                <w:color w:val="000000"/>
                <w:sz w:val="20"/>
                <w:szCs w:val="20"/>
              </w:rPr>
              <w:t>459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5E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E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E5" w14:textId="77777777" w:rsidR="00833634" w:rsidRDefault="00E15D51">
            <w:pPr>
              <w:jc w:val="right"/>
              <w:textAlignment w:val="bottom"/>
            </w:pPr>
            <w:r>
              <w:rPr>
                <w:rFonts w:ascii="Arial" w:eastAsia="宋体" w:hAnsi="Arial" w:cs="Arial"/>
                <w:color w:val="000000"/>
                <w:sz w:val="20"/>
                <w:szCs w:val="20"/>
              </w:rPr>
              <w:t>(10)</w:t>
            </w:r>
          </w:p>
        </w:tc>
        <w:tc>
          <w:tcPr>
            <w:tcW w:w="0" w:type="auto"/>
            <w:shd w:val="clear" w:color="auto" w:fill="CCEEFF"/>
            <w:tcMar>
              <w:top w:w="40" w:type="dxa"/>
              <w:left w:w="0" w:type="dxa"/>
              <w:bottom w:w="40" w:type="dxa"/>
              <w:right w:w="20" w:type="dxa"/>
            </w:tcMar>
            <w:vAlign w:val="bottom"/>
          </w:tcPr>
          <w:p w14:paraId="4090F5E6" w14:textId="77777777" w:rsidR="00833634" w:rsidRDefault="00833634">
            <w:pPr>
              <w:jc w:val="right"/>
              <w:rPr>
                <w:rFonts w:ascii="宋体"/>
              </w:rPr>
            </w:pPr>
          </w:p>
        </w:tc>
      </w:tr>
      <w:tr w:rsidR="00833634" w14:paraId="4090F5F4"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5E8" w14:textId="77777777" w:rsidR="00833634" w:rsidRDefault="00E15D51">
            <w:pPr>
              <w:textAlignment w:val="bottom"/>
            </w:pPr>
            <w:r>
              <w:rPr>
                <w:rFonts w:ascii="Arial" w:eastAsia="宋体" w:hAnsi="Arial" w:cs="Arial"/>
                <w:b/>
                <w:bCs/>
                <w:color w:val="000000"/>
                <w:sz w:val="20"/>
                <w:szCs w:val="20"/>
              </w:rPr>
              <w:t>Net (loss)/earnings from continuing operations</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5E9" w14:textId="77777777" w:rsidR="00833634" w:rsidRDefault="00E15D51">
            <w:pPr>
              <w:jc w:val="right"/>
              <w:textAlignment w:val="bottom"/>
            </w:pPr>
            <w:r>
              <w:rPr>
                <w:rFonts w:ascii="Arial" w:eastAsia="宋体" w:hAnsi="Arial" w:cs="Arial"/>
                <w:b/>
                <w:bCs/>
                <w:color w:val="000000"/>
                <w:sz w:val="20"/>
                <w:szCs w:val="20"/>
              </w:rPr>
              <w:t>(3,502)</w:t>
            </w:r>
          </w:p>
        </w:tc>
        <w:tc>
          <w:tcPr>
            <w:tcW w:w="0" w:type="auto"/>
            <w:tcBorders>
              <w:top w:val="single" w:sz="8" w:space="0" w:color="000000"/>
            </w:tcBorders>
            <w:shd w:val="clear" w:color="auto" w:fill="auto"/>
            <w:tcMar>
              <w:top w:w="40" w:type="dxa"/>
              <w:left w:w="0" w:type="dxa"/>
              <w:bottom w:w="40" w:type="dxa"/>
              <w:right w:w="20" w:type="dxa"/>
            </w:tcMar>
            <w:vAlign w:val="bottom"/>
          </w:tcPr>
          <w:p w14:paraId="4090F5EA"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5EB"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5EC"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5ED"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5EE"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5EF" w14:textId="77777777" w:rsidR="00833634" w:rsidRDefault="00E15D51">
            <w:pPr>
              <w:jc w:val="right"/>
              <w:textAlignment w:val="bottom"/>
            </w:pPr>
            <w:r>
              <w:rPr>
                <w:rFonts w:ascii="Arial" w:eastAsia="宋体" w:hAnsi="Arial" w:cs="Arial"/>
                <w:b/>
                <w:bCs/>
                <w:color w:val="000000"/>
                <w:sz w:val="20"/>
                <w:szCs w:val="20"/>
              </w:rPr>
              <w:t>(466)</w:t>
            </w:r>
          </w:p>
        </w:tc>
        <w:tc>
          <w:tcPr>
            <w:tcW w:w="0" w:type="auto"/>
            <w:tcBorders>
              <w:top w:val="single" w:sz="8" w:space="0" w:color="000000"/>
            </w:tcBorders>
            <w:shd w:val="clear" w:color="auto" w:fill="auto"/>
            <w:tcMar>
              <w:top w:w="40" w:type="dxa"/>
              <w:left w:w="0" w:type="dxa"/>
              <w:bottom w:w="40" w:type="dxa"/>
              <w:right w:w="20" w:type="dxa"/>
            </w:tcMar>
            <w:vAlign w:val="bottom"/>
          </w:tcPr>
          <w:p w14:paraId="4090F5F0"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5F1"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5F2" w14:textId="77777777" w:rsidR="00833634" w:rsidRDefault="00E15D51">
            <w:pPr>
              <w:jc w:val="right"/>
              <w:textAlignment w:val="bottom"/>
            </w:pPr>
            <w:r>
              <w:rPr>
                <w:rFonts w:ascii="Arial" w:eastAsia="宋体" w:hAnsi="Arial" w:cs="Arial"/>
                <w:color w:val="000000"/>
                <w:sz w:val="20"/>
                <w:szCs w:val="20"/>
              </w:rPr>
              <w:t>1,167 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5F3" w14:textId="77777777" w:rsidR="00833634" w:rsidRDefault="00833634">
            <w:pPr>
              <w:jc w:val="right"/>
              <w:rPr>
                <w:rFonts w:ascii="宋体"/>
              </w:rPr>
            </w:pPr>
          </w:p>
        </w:tc>
      </w:tr>
      <w:tr w:rsidR="00833634" w14:paraId="4090F5FF" w14:textId="77777777">
        <w:tc>
          <w:tcPr>
            <w:tcW w:w="0" w:type="auto"/>
            <w:gridSpan w:val="3"/>
            <w:shd w:val="clear" w:color="auto" w:fill="CCEEFF"/>
            <w:tcMar>
              <w:top w:w="40" w:type="dxa"/>
              <w:left w:w="20" w:type="dxa"/>
              <w:bottom w:w="40" w:type="dxa"/>
              <w:right w:w="20" w:type="dxa"/>
            </w:tcMar>
            <w:vAlign w:val="bottom"/>
          </w:tcPr>
          <w:p w14:paraId="4090F5F5" w14:textId="77777777" w:rsidR="00833634" w:rsidRDefault="00E15D51">
            <w:pPr>
              <w:textAlignment w:val="bottom"/>
            </w:pPr>
            <w:r>
              <w:rPr>
                <w:rFonts w:ascii="Arial" w:eastAsia="宋体" w:hAnsi="Arial" w:cs="Arial"/>
                <w:color w:val="000000"/>
                <w:sz w:val="20"/>
                <w:szCs w:val="20"/>
              </w:rPr>
              <w:t>Less: Net loss attributable to noncontrolling interest</w:t>
            </w:r>
          </w:p>
        </w:tc>
        <w:tc>
          <w:tcPr>
            <w:tcW w:w="0" w:type="auto"/>
            <w:gridSpan w:val="2"/>
            <w:shd w:val="clear" w:color="auto" w:fill="CCEEFF"/>
            <w:tcMar>
              <w:top w:w="40" w:type="dxa"/>
              <w:left w:w="20" w:type="dxa"/>
              <w:bottom w:w="40" w:type="dxa"/>
              <w:right w:w="0" w:type="dxa"/>
            </w:tcMar>
            <w:vAlign w:val="bottom"/>
          </w:tcPr>
          <w:p w14:paraId="4090F5F6" w14:textId="77777777" w:rsidR="00833634" w:rsidRDefault="00E15D51">
            <w:pPr>
              <w:jc w:val="right"/>
              <w:textAlignment w:val="bottom"/>
            </w:pPr>
            <w:r>
              <w:rPr>
                <w:rFonts w:ascii="Arial" w:eastAsia="宋体" w:hAnsi="Arial" w:cs="Arial"/>
                <w:b/>
                <w:bCs/>
                <w:color w:val="000000"/>
                <w:sz w:val="20"/>
                <w:szCs w:val="20"/>
              </w:rPr>
              <w:t>(49)</w:t>
            </w:r>
          </w:p>
        </w:tc>
        <w:tc>
          <w:tcPr>
            <w:tcW w:w="0" w:type="auto"/>
            <w:shd w:val="clear" w:color="auto" w:fill="CCEEFF"/>
            <w:tcMar>
              <w:top w:w="40" w:type="dxa"/>
              <w:left w:w="0" w:type="dxa"/>
              <w:bottom w:w="40" w:type="dxa"/>
              <w:right w:w="20" w:type="dxa"/>
            </w:tcMar>
            <w:vAlign w:val="bottom"/>
          </w:tcPr>
          <w:p w14:paraId="4090F5F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F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5F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5F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5FB" w14:textId="77777777" w:rsidR="00833634" w:rsidRDefault="00E15D51">
            <w:pPr>
              <w:jc w:val="right"/>
              <w:textAlignment w:val="bottom"/>
            </w:pPr>
            <w:r>
              <w:rPr>
                <w:rFonts w:ascii="Arial" w:eastAsia="宋体" w:hAnsi="Arial" w:cs="Arial"/>
                <w:b/>
                <w:bCs/>
                <w:color w:val="000000"/>
                <w:sz w:val="20"/>
                <w:szCs w:val="20"/>
              </w:rPr>
              <w:t>(17)</w:t>
            </w:r>
          </w:p>
        </w:tc>
        <w:tc>
          <w:tcPr>
            <w:tcW w:w="0" w:type="auto"/>
            <w:shd w:val="clear" w:color="auto" w:fill="CCEEFF"/>
            <w:tcMar>
              <w:top w:w="40" w:type="dxa"/>
              <w:left w:w="0" w:type="dxa"/>
              <w:bottom w:w="40" w:type="dxa"/>
              <w:right w:w="20" w:type="dxa"/>
            </w:tcMar>
            <w:vAlign w:val="bottom"/>
          </w:tcPr>
          <w:p w14:paraId="4090F5F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5FD"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5FE" w14:textId="77777777" w:rsidR="00833634" w:rsidRDefault="00833634">
            <w:pPr>
              <w:rPr>
                <w:rFonts w:ascii="宋体"/>
              </w:rPr>
            </w:pPr>
          </w:p>
        </w:tc>
      </w:tr>
      <w:tr w:rsidR="00833634" w14:paraId="4090F60C"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F600" w14:textId="77777777" w:rsidR="00833634" w:rsidRDefault="00E15D51">
            <w:pPr>
              <w:textAlignment w:val="bottom"/>
            </w:pPr>
            <w:r>
              <w:rPr>
                <w:rFonts w:ascii="Arial" w:eastAsia="宋体" w:hAnsi="Arial" w:cs="Arial"/>
                <w:b/>
                <w:bCs/>
                <w:color w:val="000000"/>
                <w:sz w:val="20"/>
                <w:szCs w:val="20"/>
              </w:rPr>
              <w:t>Net (loss)/earnings attributable to Boeing Shareholders</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601" w14:textId="77777777" w:rsidR="00833634" w:rsidRDefault="00E15D51">
            <w:pPr>
              <w:jc w:val="right"/>
              <w:textAlignment w:val="bottom"/>
            </w:pPr>
            <w:r>
              <w:rPr>
                <w:rFonts w:ascii="Arial" w:eastAsia="宋体" w:hAnsi="Arial" w:cs="Arial"/>
                <w:b/>
                <w:bCs/>
                <w:color w:val="000000"/>
                <w:sz w:val="20"/>
                <w:szCs w:val="20"/>
              </w:rPr>
              <w:t>($3,453)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602"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603"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604"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605"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606"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607" w14:textId="77777777" w:rsidR="00833634" w:rsidRDefault="00E15D51">
            <w:pPr>
              <w:jc w:val="right"/>
              <w:textAlignment w:val="bottom"/>
            </w:pPr>
            <w:r>
              <w:rPr>
                <w:rFonts w:ascii="Arial" w:eastAsia="宋体" w:hAnsi="Arial" w:cs="Arial"/>
                <w:b/>
                <w:bCs/>
                <w:color w:val="000000"/>
                <w:sz w:val="20"/>
                <w:szCs w:val="20"/>
              </w:rPr>
              <w:t>($449)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608"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609"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60A" w14:textId="77777777" w:rsidR="00833634" w:rsidRDefault="00E15D51">
            <w:pPr>
              <w:jc w:val="right"/>
              <w:textAlignment w:val="bottom"/>
            </w:pPr>
            <w:r>
              <w:rPr>
                <w:rFonts w:ascii="Arial" w:eastAsia="宋体" w:hAnsi="Arial" w:cs="Arial"/>
                <w:color w:val="000000"/>
                <w:sz w:val="20"/>
                <w:szCs w:val="20"/>
              </w:rPr>
              <w:t>$1,167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60B" w14:textId="77777777" w:rsidR="00833634" w:rsidRDefault="00833634">
            <w:pPr>
              <w:jc w:val="right"/>
              <w:rPr>
                <w:rFonts w:ascii="宋体"/>
              </w:rPr>
            </w:pPr>
          </w:p>
        </w:tc>
      </w:tr>
    </w:tbl>
    <w:p w14:paraId="4090F60D" w14:textId="77777777" w:rsidR="00833634" w:rsidRDefault="00E15D51">
      <w:pPr>
        <w:spacing w:after="180"/>
        <w:jc w:val="both"/>
      </w:pPr>
      <w:r>
        <w:rPr>
          <w:rFonts w:ascii="Arial" w:eastAsia="宋体" w:hAnsi="Arial" w:cs="Arial"/>
          <w:color w:val="000000"/>
          <w:sz w:val="20"/>
          <w:szCs w:val="20"/>
        </w:rPr>
        <w:t>Other income, net decreased by $9 million and $2 million during the nine and three months ended September 30, 2020, primarily due to higher foreign exchange losses and lower non-operating pension income, partiall</w:t>
      </w:r>
      <w:r>
        <w:rPr>
          <w:rFonts w:ascii="Arial" w:eastAsia="宋体" w:hAnsi="Arial" w:cs="Arial"/>
          <w:color w:val="000000"/>
          <w:sz w:val="20"/>
          <w:szCs w:val="20"/>
        </w:rPr>
        <w:t>y offset by lower non-operating postretirement expense. Non-operating pension income was $255 million and $84 million during the nine and three months ended September 30, 2020 compared with $280 million and $93 million during the same periods in 2019. Non-</w:t>
      </w:r>
      <w:r>
        <w:rPr>
          <w:rFonts w:ascii="Arial" w:eastAsia="宋体" w:hAnsi="Arial" w:cs="Arial"/>
          <w:color w:val="000000"/>
          <w:sz w:val="20"/>
          <w:szCs w:val="20"/>
        </w:rPr>
        <w:t>operating postretirement expense was $37 million and $10 million during the nine and three months ended September 30, 2020 compared with $80 million and $27 million during the same periods in 2019.</w:t>
      </w:r>
    </w:p>
    <w:p w14:paraId="4090F60E" w14:textId="77777777" w:rsidR="00833634" w:rsidRDefault="00E15D51">
      <w:pPr>
        <w:spacing w:after="180"/>
        <w:jc w:val="both"/>
      </w:pPr>
      <w:r>
        <w:rPr>
          <w:rFonts w:ascii="Arial" w:eastAsia="宋体" w:hAnsi="Arial" w:cs="Arial"/>
          <w:color w:val="000000"/>
          <w:sz w:val="20"/>
          <w:szCs w:val="20"/>
        </w:rPr>
        <w:t>Higher Interest and debt expense for the nine and three mo</w:t>
      </w:r>
      <w:r>
        <w:rPr>
          <w:rFonts w:ascii="Arial" w:eastAsia="宋体" w:hAnsi="Arial" w:cs="Arial"/>
          <w:color w:val="000000"/>
          <w:sz w:val="20"/>
          <w:szCs w:val="20"/>
        </w:rPr>
        <w:t>nths ended September 30, 2020 is a result of higher debt balances.</w:t>
      </w:r>
    </w:p>
    <w:p w14:paraId="4090F60F" w14:textId="77777777" w:rsidR="00833634" w:rsidRDefault="00E15D51">
      <w:pPr>
        <w:spacing w:after="180"/>
        <w:jc w:val="both"/>
      </w:pPr>
      <w:r>
        <w:rPr>
          <w:rFonts w:ascii="Arial" w:eastAsia="宋体" w:hAnsi="Arial" w:cs="Arial"/>
          <w:color w:val="000000"/>
          <w:sz w:val="20"/>
          <w:szCs w:val="20"/>
        </w:rPr>
        <w:t>For discussion related to Income Taxes, see Note 4 to our Condensed Consolidated Financial Statements.</w:t>
      </w:r>
    </w:p>
    <w:p w14:paraId="4090F610" w14:textId="77777777" w:rsidR="00833634" w:rsidRDefault="00E15D51">
      <w:pPr>
        <w:spacing w:after="180"/>
        <w:jc w:val="both"/>
      </w:pPr>
      <w:r>
        <w:rPr>
          <w:rFonts w:ascii="Arial" w:eastAsia="宋体" w:hAnsi="Arial" w:cs="Arial"/>
          <w:b/>
          <w:bCs/>
          <w:color w:val="000000"/>
          <w:sz w:val="20"/>
          <w:szCs w:val="20"/>
        </w:rPr>
        <w:t>Total Costs and Expenses (“Cost of Sales”)</w:t>
      </w:r>
    </w:p>
    <w:p w14:paraId="4090F611" w14:textId="77777777" w:rsidR="00833634" w:rsidRDefault="00E15D51">
      <w:pPr>
        <w:spacing w:after="180"/>
        <w:jc w:val="both"/>
      </w:pPr>
      <w:r>
        <w:rPr>
          <w:rFonts w:ascii="Arial" w:eastAsia="宋体" w:hAnsi="Arial" w:cs="Arial"/>
          <w:color w:val="000000"/>
          <w:sz w:val="20"/>
          <w:szCs w:val="20"/>
        </w:rPr>
        <w:t>Cost of sales, for both products and servic</w:t>
      </w:r>
      <w:r>
        <w:rPr>
          <w:rFonts w:ascii="Arial" w:eastAsia="宋体" w:hAnsi="Arial" w:cs="Arial"/>
          <w:color w:val="000000"/>
          <w:sz w:val="20"/>
          <w:szCs w:val="20"/>
        </w:rPr>
        <w:t>es, consists primarily of raw materials, parts, sub-assemblies, labor, overhead and subcontracting costs. Our BCA segment predominantly uses program accounting to account for cost of sales. Under program accounting, cost of sales for each commercial airpla</w:t>
      </w:r>
      <w:r>
        <w:rPr>
          <w:rFonts w:ascii="Arial" w:eastAsia="宋体" w:hAnsi="Arial" w:cs="Arial"/>
          <w:color w:val="000000"/>
          <w:sz w:val="20"/>
          <w:szCs w:val="20"/>
        </w:rPr>
        <w:t>ne program equals the product of (i) revenue recognized in connection with customer deliveries and (ii) the estimated cost of sales percentage applicable to the total remaining program. For long-term contracts, the amount reported as cost of sales is recog</w:t>
      </w:r>
      <w:r>
        <w:rPr>
          <w:rFonts w:ascii="Arial" w:eastAsia="宋体" w:hAnsi="Arial" w:cs="Arial"/>
          <w:color w:val="000000"/>
          <w:sz w:val="20"/>
          <w:szCs w:val="20"/>
        </w:rPr>
        <w:t xml:space="preserve">nized as incurred. Substantially all contracts at our BDS segment and certain contracts at our BGS segment are long-term contracts with the U.S. government and other customers that generally extend over several years. Costs on these contracts are recorded </w:t>
      </w:r>
      <w:r>
        <w:rPr>
          <w:rFonts w:ascii="Arial" w:eastAsia="宋体" w:hAnsi="Arial" w:cs="Arial"/>
          <w:color w:val="000000"/>
          <w:sz w:val="20"/>
          <w:szCs w:val="20"/>
        </w:rPr>
        <w:t>as incurred. Cost of sales for commercial spare parts is recorded at average cost.</w:t>
      </w:r>
    </w:p>
    <w:p w14:paraId="4090F612" w14:textId="77777777" w:rsidR="00833634" w:rsidRDefault="00E15D51">
      <w:pPr>
        <w:jc w:val="both"/>
      </w:pPr>
      <w:r>
        <w:rPr>
          <w:rFonts w:ascii="Arial" w:eastAsia="宋体" w:hAnsi="Arial" w:cs="Arial"/>
          <w:color w:val="000000"/>
          <w:sz w:val="20"/>
          <w:szCs w:val="20"/>
        </w:rPr>
        <w:t>The following table summarizes cost of sales:</w:t>
      </w:r>
    </w:p>
    <w:tbl>
      <w:tblPr>
        <w:tblW w:w="4976" w:type="pct"/>
        <w:tblCellMar>
          <w:top w:w="15" w:type="dxa"/>
          <w:left w:w="15" w:type="dxa"/>
          <w:bottom w:w="15" w:type="dxa"/>
          <w:right w:w="15" w:type="dxa"/>
        </w:tblCellMar>
        <w:tblLook w:val="04A0" w:firstRow="1" w:lastRow="0" w:firstColumn="1" w:lastColumn="0" w:noHBand="0" w:noVBand="1"/>
      </w:tblPr>
      <w:tblGrid>
        <w:gridCol w:w="37"/>
        <w:gridCol w:w="1837"/>
        <w:gridCol w:w="36"/>
        <w:gridCol w:w="66"/>
        <w:gridCol w:w="779"/>
        <w:gridCol w:w="199"/>
        <w:gridCol w:w="37"/>
        <w:gridCol w:w="37"/>
        <w:gridCol w:w="37"/>
        <w:gridCol w:w="66"/>
        <w:gridCol w:w="733"/>
        <w:gridCol w:w="198"/>
        <w:gridCol w:w="72"/>
        <w:gridCol w:w="805"/>
        <w:gridCol w:w="199"/>
        <w:gridCol w:w="66"/>
        <w:gridCol w:w="743"/>
        <w:gridCol w:w="199"/>
        <w:gridCol w:w="37"/>
        <w:gridCol w:w="37"/>
        <w:gridCol w:w="37"/>
        <w:gridCol w:w="66"/>
        <w:gridCol w:w="733"/>
        <w:gridCol w:w="198"/>
        <w:gridCol w:w="63"/>
        <w:gridCol w:w="780"/>
        <w:gridCol w:w="199"/>
      </w:tblGrid>
      <w:tr w:rsidR="00833634" w14:paraId="4090F62E" w14:textId="77777777">
        <w:tc>
          <w:tcPr>
            <w:tcW w:w="50" w:type="pct"/>
            <w:shd w:val="clear" w:color="auto" w:fill="auto"/>
          </w:tcPr>
          <w:p w14:paraId="4090F613" w14:textId="77777777" w:rsidR="00833634" w:rsidRDefault="00833634">
            <w:pPr>
              <w:rPr>
                <w:rFonts w:ascii="宋体"/>
              </w:rPr>
            </w:pPr>
          </w:p>
        </w:tc>
        <w:tc>
          <w:tcPr>
            <w:tcW w:w="1176" w:type="pct"/>
            <w:shd w:val="clear" w:color="auto" w:fill="auto"/>
          </w:tcPr>
          <w:p w14:paraId="4090F614" w14:textId="77777777" w:rsidR="00833634" w:rsidRDefault="00833634">
            <w:pPr>
              <w:rPr>
                <w:rFonts w:ascii="宋体"/>
              </w:rPr>
            </w:pPr>
          </w:p>
        </w:tc>
        <w:tc>
          <w:tcPr>
            <w:tcW w:w="5" w:type="pct"/>
            <w:shd w:val="clear" w:color="auto" w:fill="auto"/>
          </w:tcPr>
          <w:p w14:paraId="4090F615" w14:textId="77777777" w:rsidR="00833634" w:rsidRDefault="00833634">
            <w:pPr>
              <w:rPr>
                <w:rFonts w:ascii="宋体"/>
              </w:rPr>
            </w:pPr>
          </w:p>
        </w:tc>
        <w:tc>
          <w:tcPr>
            <w:tcW w:w="50" w:type="pct"/>
            <w:shd w:val="clear" w:color="auto" w:fill="auto"/>
          </w:tcPr>
          <w:p w14:paraId="4090F616" w14:textId="77777777" w:rsidR="00833634" w:rsidRDefault="00833634">
            <w:pPr>
              <w:rPr>
                <w:rFonts w:ascii="宋体"/>
              </w:rPr>
            </w:pPr>
          </w:p>
        </w:tc>
        <w:tc>
          <w:tcPr>
            <w:tcW w:w="556" w:type="pct"/>
            <w:shd w:val="clear" w:color="auto" w:fill="auto"/>
          </w:tcPr>
          <w:p w14:paraId="4090F617" w14:textId="77777777" w:rsidR="00833634" w:rsidRDefault="00833634">
            <w:pPr>
              <w:rPr>
                <w:rFonts w:ascii="宋体"/>
              </w:rPr>
            </w:pPr>
          </w:p>
        </w:tc>
        <w:tc>
          <w:tcPr>
            <w:tcW w:w="5" w:type="pct"/>
            <w:shd w:val="clear" w:color="auto" w:fill="auto"/>
          </w:tcPr>
          <w:p w14:paraId="4090F618" w14:textId="77777777" w:rsidR="00833634" w:rsidRDefault="00833634">
            <w:pPr>
              <w:rPr>
                <w:rFonts w:ascii="宋体"/>
              </w:rPr>
            </w:pPr>
          </w:p>
        </w:tc>
        <w:tc>
          <w:tcPr>
            <w:tcW w:w="5" w:type="pct"/>
            <w:shd w:val="clear" w:color="auto" w:fill="auto"/>
          </w:tcPr>
          <w:p w14:paraId="4090F619" w14:textId="77777777" w:rsidR="00833634" w:rsidRDefault="00833634">
            <w:pPr>
              <w:rPr>
                <w:rFonts w:ascii="宋体"/>
              </w:rPr>
            </w:pPr>
          </w:p>
        </w:tc>
        <w:tc>
          <w:tcPr>
            <w:tcW w:w="30" w:type="pct"/>
            <w:shd w:val="clear" w:color="auto" w:fill="auto"/>
          </w:tcPr>
          <w:p w14:paraId="4090F61A" w14:textId="77777777" w:rsidR="00833634" w:rsidRDefault="00833634">
            <w:pPr>
              <w:rPr>
                <w:rFonts w:ascii="宋体"/>
              </w:rPr>
            </w:pPr>
          </w:p>
        </w:tc>
        <w:tc>
          <w:tcPr>
            <w:tcW w:w="5" w:type="pct"/>
            <w:shd w:val="clear" w:color="auto" w:fill="auto"/>
          </w:tcPr>
          <w:p w14:paraId="4090F61B" w14:textId="77777777" w:rsidR="00833634" w:rsidRDefault="00833634">
            <w:pPr>
              <w:rPr>
                <w:rFonts w:ascii="宋体"/>
              </w:rPr>
            </w:pPr>
          </w:p>
        </w:tc>
        <w:tc>
          <w:tcPr>
            <w:tcW w:w="50" w:type="pct"/>
            <w:shd w:val="clear" w:color="auto" w:fill="auto"/>
          </w:tcPr>
          <w:p w14:paraId="4090F61C" w14:textId="77777777" w:rsidR="00833634" w:rsidRDefault="00833634">
            <w:pPr>
              <w:rPr>
                <w:rFonts w:ascii="宋体"/>
              </w:rPr>
            </w:pPr>
          </w:p>
        </w:tc>
        <w:tc>
          <w:tcPr>
            <w:tcW w:w="556" w:type="pct"/>
            <w:shd w:val="clear" w:color="auto" w:fill="auto"/>
          </w:tcPr>
          <w:p w14:paraId="4090F61D" w14:textId="77777777" w:rsidR="00833634" w:rsidRDefault="00833634">
            <w:pPr>
              <w:rPr>
                <w:rFonts w:ascii="宋体"/>
              </w:rPr>
            </w:pPr>
          </w:p>
        </w:tc>
        <w:tc>
          <w:tcPr>
            <w:tcW w:w="5" w:type="pct"/>
            <w:shd w:val="clear" w:color="auto" w:fill="auto"/>
          </w:tcPr>
          <w:p w14:paraId="4090F61E" w14:textId="77777777" w:rsidR="00833634" w:rsidRDefault="00833634">
            <w:pPr>
              <w:rPr>
                <w:rFonts w:ascii="宋体"/>
              </w:rPr>
            </w:pPr>
          </w:p>
        </w:tc>
        <w:tc>
          <w:tcPr>
            <w:tcW w:w="50" w:type="pct"/>
            <w:shd w:val="clear" w:color="auto" w:fill="auto"/>
          </w:tcPr>
          <w:p w14:paraId="4090F61F" w14:textId="77777777" w:rsidR="00833634" w:rsidRDefault="00833634">
            <w:pPr>
              <w:rPr>
                <w:rFonts w:ascii="宋体"/>
              </w:rPr>
            </w:pPr>
          </w:p>
        </w:tc>
        <w:tc>
          <w:tcPr>
            <w:tcW w:w="564" w:type="pct"/>
            <w:shd w:val="clear" w:color="auto" w:fill="auto"/>
          </w:tcPr>
          <w:p w14:paraId="4090F620" w14:textId="77777777" w:rsidR="00833634" w:rsidRDefault="00833634">
            <w:pPr>
              <w:rPr>
                <w:rFonts w:ascii="宋体"/>
              </w:rPr>
            </w:pPr>
          </w:p>
        </w:tc>
        <w:tc>
          <w:tcPr>
            <w:tcW w:w="5" w:type="pct"/>
            <w:shd w:val="clear" w:color="auto" w:fill="auto"/>
          </w:tcPr>
          <w:p w14:paraId="4090F621" w14:textId="77777777" w:rsidR="00833634" w:rsidRDefault="00833634">
            <w:pPr>
              <w:rPr>
                <w:rFonts w:ascii="宋体"/>
              </w:rPr>
            </w:pPr>
          </w:p>
        </w:tc>
        <w:tc>
          <w:tcPr>
            <w:tcW w:w="50" w:type="pct"/>
            <w:shd w:val="clear" w:color="auto" w:fill="auto"/>
          </w:tcPr>
          <w:p w14:paraId="4090F622" w14:textId="77777777" w:rsidR="00833634" w:rsidRDefault="00833634">
            <w:pPr>
              <w:rPr>
                <w:rFonts w:ascii="宋体"/>
              </w:rPr>
            </w:pPr>
          </w:p>
        </w:tc>
        <w:tc>
          <w:tcPr>
            <w:tcW w:w="556" w:type="pct"/>
            <w:shd w:val="clear" w:color="auto" w:fill="auto"/>
          </w:tcPr>
          <w:p w14:paraId="4090F623" w14:textId="77777777" w:rsidR="00833634" w:rsidRDefault="00833634">
            <w:pPr>
              <w:rPr>
                <w:rFonts w:ascii="宋体"/>
              </w:rPr>
            </w:pPr>
          </w:p>
        </w:tc>
        <w:tc>
          <w:tcPr>
            <w:tcW w:w="5" w:type="pct"/>
            <w:shd w:val="clear" w:color="auto" w:fill="auto"/>
          </w:tcPr>
          <w:p w14:paraId="4090F624" w14:textId="77777777" w:rsidR="00833634" w:rsidRDefault="00833634">
            <w:pPr>
              <w:rPr>
                <w:rFonts w:ascii="宋体"/>
              </w:rPr>
            </w:pPr>
          </w:p>
        </w:tc>
        <w:tc>
          <w:tcPr>
            <w:tcW w:w="5" w:type="pct"/>
            <w:shd w:val="clear" w:color="auto" w:fill="auto"/>
          </w:tcPr>
          <w:p w14:paraId="4090F625" w14:textId="77777777" w:rsidR="00833634" w:rsidRDefault="00833634">
            <w:pPr>
              <w:rPr>
                <w:rFonts w:ascii="宋体"/>
              </w:rPr>
            </w:pPr>
          </w:p>
        </w:tc>
        <w:tc>
          <w:tcPr>
            <w:tcW w:w="30" w:type="pct"/>
            <w:shd w:val="clear" w:color="auto" w:fill="auto"/>
          </w:tcPr>
          <w:p w14:paraId="4090F626" w14:textId="77777777" w:rsidR="00833634" w:rsidRDefault="00833634">
            <w:pPr>
              <w:rPr>
                <w:rFonts w:ascii="宋体"/>
              </w:rPr>
            </w:pPr>
          </w:p>
        </w:tc>
        <w:tc>
          <w:tcPr>
            <w:tcW w:w="5" w:type="pct"/>
            <w:shd w:val="clear" w:color="auto" w:fill="auto"/>
          </w:tcPr>
          <w:p w14:paraId="4090F627" w14:textId="77777777" w:rsidR="00833634" w:rsidRDefault="00833634">
            <w:pPr>
              <w:rPr>
                <w:rFonts w:ascii="宋体"/>
              </w:rPr>
            </w:pPr>
          </w:p>
        </w:tc>
        <w:tc>
          <w:tcPr>
            <w:tcW w:w="50" w:type="pct"/>
            <w:shd w:val="clear" w:color="auto" w:fill="auto"/>
          </w:tcPr>
          <w:p w14:paraId="4090F628" w14:textId="77777777" w:rsidR="00833634" w:rsidRDefault="00833634">
            <w:pPr>
              <w:rPr>
                <w:rFonts w:ascii="宋体"/>
              </w:rPr>
            </w:pPr>
          </w:p>
        </w:tc>
        <w:tc>
          <w:tcPr>
            <w:tcW w:w="556" w:type="pct"/>
            <w:shd w:val="clear" w:color="auto" w:fill="auto"/>
          </w:tcPr>
          <w:p w14:paraId="4090F629" w14:textId="77777777" w:rsidR="00833634" w:rsidRDefault="00833634">
            <w:pPr>
              <w:rPr>
                <w:rFonts w:ascii="宋体"/>
              </w:rPr>
            </w:pPr>
          </w:p>
        </w:tc>
        <w:tc>
          <w:tcPr>
            <w:tcW w:w="5" w:type="pct"/>
            <w:shd w:val="clear" w:color="auto" w:fill="auto"/>
          </w:tcPr>
          <w:p w14:paraId="4090F62A" w14:textId="77777777" w:rsidR="00833634" w:rsidRDefault="00833634">
            <w:pPr>
              <w:rPr>
                <w:rFonts w:ascii="宋体"/>
              </w:rPr>
            </w:pPr>
          </w:p>
        </w:tc>
        <w:tc>
          <w:tcPr>
            <w:tcW w:w="50" w:type="pct"/>
            <w:shd w:val="clear" w:color="auto" w:fill="auto"/>
          </w:tcPr>
          <w:p w14:paraId="4090F62B" w14:textId="77777777" w:rsidR="00833634" w:rsidRDefault="00833634">
            <w:pPr>
              <w:rPr>
                <w:rFonts w:ascii="宋体"/>
              </w:rPr>
            </w:pPr>
          </w:p>
        </w:tc>
        <w:tc>
          <w:tcPr>
            <w:tcW w:w="565" w:type="pct"/>
            <w:shd w:val="clear" w:color="auto" w:fill="auto"/>
          </w:tcPr>
          <w:p w14:paraId="4090F62C" w14:textId="77777777" w:rsidR="00833634" w:rsidRDefault="00833634">
            <w:pPr>
              <w:rPr>
                <w:rFonts w:ascii="宋体"/>
              </w:rPr>
            </w:pPr>
          </w:p>
        </w:tc>
        <w:tc>
          <w:tcPr>
            <w:tcW w:w="5" w:type="pct"/>
            <w:shd w:val="clear" w:color="auto" w:fill="auto"/>
          </w:tcPr>
          <w:p w14:paraId="4090F62D" w14:textId="77777777" w:rsidR="00833634" w:rsidRDefault="00833634">
            <w:pPr>
              <w:rPr>
                <w:rFonts w:ascii="宋体"/>
              </w:rPr>
            </w:pPr>
          </w:p>
        </w:tc>
      </w:tr>
      <w:tr w:rsidR="00833634" w14:paraId="4090F632" w14:textId="77777777">
        <w:tc>
          <w:tcPr>
            <w:tcW w:w="0" w:type="auto"/>
            <w:gridSpan w:val="3"/>
            <w:shd w:val="clear" w:color="auto" w:fill="auto"/>
            <w:tcMar>
              <w:top w:w="40" w:type="dxa"/>
              <w:left w:w="20" w:type="dxa"/>
              <w:bottom w:w="40" w:type="dxa"/>
              <w:right w:w="20" w:type="dxa"/>
            </w:tcMar>
            <w:vAlign w:val="bottom"/>
          </w:tcPr>
          <w:p w14:paraId="4090F62F"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12"/>
            <w:shd w:val="clear" w:color="auto" w:fill="auto"/>
            <w:tcMar>
              <w:top w:w="40" w:type="dxa"/>
              <w:left w:w="20" w:type="dxa"/>
              <w:bottom w:w="40" w:type="dxa"/>
              <w:right w:w="20" w:type="dxa"/>
            </w:tcMar>
            <w:vAlign w:val="bottom"/>
          </w:tcPr>
          <w:p w14:paraId="4090F630"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12"/>
            <w:shd w:val="clear" w:color="auto" w:fill="auto"/>
            <w:tcMar>
              <w:top w:w="40" w:type="dxa"/>
              <w:left w:w="20" w:type="dxa"/>
              <w:bottom w:w="40" w:type="dxa"/>
              <w:right w:w="20" w:type="dxa"/>
            </w:tcMar>
            <w:vAlign w:val="bottom"/>
          </w:tcPr>
          <w:p w14:paraId="4090F631"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63C"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633"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34"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635"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36"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37" w14:textId="77777777" w:rsidR="00833634" w:rsidRDefault="00E15D51">
            <w:pPr>
              <w:jc w:val="right"/>
              <w:textAlignment w:val="bottom"/>
            </w:pPr>
            <w:r>
              <w:rPr>
                <w:rFonts w:ascii="Arial" w:eastAsia="宋体" w:hAnsi="Arial" w:cs="Arial"/>
                <w:color w:val="000000"/>
                <w:sz w:val="20"/>
                <w:szCs w:val="20"/>
              </w:rPr>
              <w:t>Change</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38"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639"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3A"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3B" w14:textId="77777777" w:rsidR="00833634" w:rsidRDefault="00E15D51">
            <w:pPr>
              <w:jc w:val="right"/>
              <w:textAlignment w:val="bottom"/>
            </w:pPr>
            <w:r>
              <w:rPr>
                <w:rFonts w:ascii="Arial" w:eastAsia="宋体" w:hAnsi="Arial" w:cs="Arial"/>
                <w:color w:val="000000"/>
                <w:sz w:val="20"/>
                <w:szCs w:val="20"/>
              </w:rPr>
              <w:t>Change</w:t>
            </w:r>
          </w:p>
        </w:tc>
      </w:tr>
      <w:tr w:rsidR="00833634" w14:paraId="4090F64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63D" w14:textId="77777777" w:rsidR="00833634" w:rsidRDefault="00E15D51">
            <w:pPr>
              <w:textAlignment w:val="bottom"/>
            </w:pPr>
            <w:r>
              <w:rPr>
                <w:rFonts w:ascii="Arial" w:eastAsia="宋体" w:hAnsi="Arial" w:cs="Arial"/>
                <w:color w:val="000000"/>
                <w:sz w:val="20"/>
                <w:szCs w:val="20"/>
              </w:rPr>
              <w:t>Cost of sales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3E" w14:textId="77777777" w:rsidR="00833634" w:rsidRDefault="00E15D51">
            <w:pPr>
              <w:jc w:val="right"/>
              <w:textAlignment w:val="bottom"/>
            </w:pPr>
            <w:r>
              <w:rPr>
                <w:rFonts w:ascii="Arial" w:eastAsia="宋体" w:hAnsi="Arial" w:cs="Arial"/>
                <w:b/>
                <w:bCs/>
                <w:color w:val="000000"/>
                <w:sz w:val="20"/>
                <w:szCs w:val="20"/>
              </w:rPr>
              <w:t>$42,851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3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64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41" w14:textId="77777777" w:rsidR="00833634" w:rsidRDefault="00E15D51">
            <w:pPr>
              <w:jc w:val="right"/>
              <w:textAlignment w:val="bottom"/>
            </w:pPr>
            <w:r>
              <w:rPr>
                <w:rFonts w:ascii="Arial" w:eastAsia="宋体" w:hAnsi="Arial" w:cs="Arial"/>
                <w:color w:val="000000"/>
                <w:sz w:val="20"/>
                <w:szCs w:val="20"/>
              </w:rPr>
              <w:t>$53,385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42"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43" w14:textId="77777777" w:rsidR="00833634" w:rsidRDefault="00E15D51">
            <w:pPr>
              <w:jc w:val="right"/>
              <w:textAlignment w:val="bottom"/>
            </w:pPr>
            <w:r>
              <w:rPr>
                <w:rFonts w:ascii="Arial" w:eastAsia="宋体" w:hAnsi="Arial" w:cs="Arial"/>
                <w:color w:val="000000"/>
                <w:sz w:val="20"/>
                <w:szCs w:val="20"/>
              </w:rPr>
              <w:t>($10,534)</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44"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45" w14:textId="77777777" w:rsidR="00833634" w:rsidRDefault="00E15D51">
            <w:pPr>
              <w:jc w:val="right"/>
              <w:textAlignment w:val="bottom"/>
            </w:pPr>
            <w:r>
              <w:rPr>
                <w:rFonts w:ascii="Arial" w:eastAsia="宋体" w:hAnsi="Arial" w:cs="Arial"/>
                <w:b/>
                <w:bCs/>
                <w:color w:val="000000"/>
                <w:sz w:val="20"/>
                <w:szCs w:val="20"/>
              </w:rPr>
              <w:t>$13,105</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4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64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48" w14:textId="77777777" w:rsidR="00833634" w:rsidRDefault="00E15D51">
            <w:pPr>
              <w:jc w:val="right"/>
              <w:textAlignment w:val="bottom"/>
            </w:pPr>
            <w:r>
              <w:rPr>
                <w:rFonts w:ascii="Arial" w:eastAsia="宋体" w:hAnsi="Arial" w:cs="Arial"/>
                <w:color w:val="000000"/>
                <w:sz w:val="20"/>
                <w:szCs w:val="20"/>
              </w:rPr>
              <w:t>$16,930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49" w14:textId="77777777" w:rsidR="00833634" w:rsidRDefault="00833634">
            <w:pPr>
              <w:jc w:val="right"/>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4A" w14:textId="77777777" w:rsidR="00833634" w:rsidRDefault="00E15D51">
            <w:pPr>
              <w:jc w:val="right"/>
              <w:textAlignment w:val="bottom"/>
            </w:pPr>
            <w:r>
              <w:rPr>
                <w:rFonts w:ascii="Arial" w:eastAsia="宋体" w:hAnsi="Arial" w:cs="Arial"/>
                <w:color w:val="000000"/>
                <w:sz w:val="20"/>
                <w:szCs w:val="20"/>
              </w:rPr>
              <w:t>($3,825)</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4B" w14:textId="77777777" w:rsidR="00833634" w:rsidRDefault="00833634">
            <w:pPr>
              <w:jc w:val="right"/>
              <w:rPr>
                <w:rFonts w:ascii="宋体"/>
              </w:rPr>
            </w:pPr>
          </w:p>
        </w:tc>
      </w:tr>
      <w:tr w:rsidR="00833634" w14:paraId="4090F65C" w14:textId="77777777">
        <w:tc>
          <w:tcPr>
            <w:tcW w:w="0" w:type="auto"/>
            <w:gridSpan w:val="3"/>
            <w:tcBorders>
              <w:bottom w:val="single" w:sz="8" w:space="0" w:color="000000"/>
            </w:tcBorders>
            <w:shd w:val="clear" w:color="auto" w:fill="FFFFFF"/>
            <w:tcMar>
              <w:top w:w="40" w:type="dxa"/>
              <w:left w:w="20" w:type="dxa"/>
              <w:bottom w:w="40" w:type="dxa"/>
              <w:right w:w="20" w:type="dxa"/>
            </w:tcMar>
            <w:vAlign w:val="bottom"/>
          </w:tcPr>
          <w:p w14:paraId="4090F64D" w14:textId="77777777" w:rsidR="00833634" w:rsidRDefault="00E15D51">
            <w:pPr>
              <w:ind w:hanging="180"/>
              <w:textAlignment w:val="bottom"/>
            </w:pPr>
            <w:r>
              <w:rPr>
                <w:rFonts w:ascii="Arial" w:eastAsia="宋体" w:hAnsi="Arial" w:cs="Arial"/>
                <w:color w:val="000000"/>
                <w:sz w:val="20"/>
                <w:szCs w:val="20"/>
              </w:rPr>
              <w:t>Cost of sales as a % of Revenues</w:t>
            </w:r>
          </w:p>
        </w:tc>
        <w:tc>
          <w:tcPr>
            <w:tcW w:w="0" w:type="auto"/>
            <w:gridSpan w:val="2"/>
            <w:tcBorders>
              <w:bottom w:val="single" w:sz="8" w:space="0" w:color="000000"/>
            </w:tcBorders>
            <w:shd w:val="clear" w:color="auto" w:fill="FFFFFF"/>
            <w:tcMar>
              <w:top w:w="40" w:type="dxa"/>
              <w:left w:w="20" w:type="dxa"/>
              <w:bottom w:w="40" w:type="dxa"/>
              <w:right w:w="0" w:type="dxa"/>
            </w:tcMar>
            <w:vAlign w:val="bottom"/>
          </w:tcPr>
          <w:p w14:paraId="4090F64E" w14:textId="77777777" w:rsidR="00833634" w:rsidRDefault="00E15D51">
            <w:pPr>
              <w:jc w:val="right"/>
              <w:textAlignment w:val="bottom"/>
            </w:pPr>
            <w:r>
              <w:rPr>
                <w:rFonts w:ascii="Arial" w:eastAsia="宋体" w:hAnsi="Arial" w:cs="Arial"/>
                <w:b/>
                <w:bCs/>
                <w:color w:val="000000"/>
                <w:sz w:val="20"/>
                <w:szCs w:val="20"/>
              </w:rPr>
              <w:t>100.0</w:t>
            </w:r>
            <w:r>
              <w:rPr>
                <w:rFonts w:ascii="Arial" w:eastAsia="宋体" w:hAnsi="Arial" w:cs="Arial"/>
                <w:color w:val="000000"/>
                <w:sz w:val="20"/>
                <w:szCs w:val="20"/>
              </w:rPr>
              <w:t> </w:t>
            </w:r>
          </w:p>
        </w:tc>
        <w:tc>
          <w:tcPr>
            <w:tcW w:w="0" w:type="auto"/>
            <w:tcBorders>
              <w:bottom w:val="single" w:sz="8" w:space="0" w:color="000000"/>
            </w:tcBorders>
            <w:shd w:val="clear" w:color="auto" w:fill="FFFFFF"/>
            <w:tcMar>
              <w:top w:w="40" w:type="dxa"/>
              <w:left w:w="0" w:type="dxa"/>
              <w:bottom w:w="40" w:type="dxa"/>
              <w:right w:w="20" w:type="dxa"/>
            </w:tcMar>
            <w:vAlign w:val="bottom"/>
          </w:tcPr>
          <w:p w14:paraId="4090F64F"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single" w:sz="8" w:space="0" w:color="000000"/>
            </w:tcBorders>
            <w:shd w:val="clear" w:color="auto" w:fill="FFFFFF"/>
            <w:tcMar>
              <w:top w:w="0" w:type="dxa"/>
              <w:left w:w="20" w:type="dxa"/>
              <w:bottom w:w="0" w:type="dxa"/>
              <w:right w:w="20" w:type="dxa"/>
            </w:tcMar>
          </w:tcPr>
          <w:p w14:paraId="4090F650" w14:textId="77777777" w:rsidR="00833634" w:rsidRDefault="00833634">
            <w:pPr>
              <w:rPr>
                <w:rFonts w:ascii="宋体"/>
              </w:rPr>
            </w:pPr>
          </w:p>
        </w:tc>
        <w:tc>
          <w:tcPr>
            <w:tcW w:w="0" w:type="auto"/>
            <w:gridSpan w:val="2"/>
            <w:tcBorders>
              <w:bottom w:val="single" w:sz="8" w:space="0" w:color="000000"/>
            </w:tcBorders>
            <w:shd w:val="clear" w:color="auto" w:fill="FFFFFF"/>
            <w:tcMar>
              <w:top w:w="40" w:type="dxa"/>
              <w:left w:w="20" w:type="dxa"/>
              <w:bottom w:w="40" w:type="dxa"/>
              <w:right w:w="0" w:type="dxa"/>
            </w:tcMar>
            <w:vAlign w:val="bottom"/>
          </w:tcPr>
          <w:p w14:paraId="4090F651" w14:textId="77777777" w:rsidR="00833634" w:rsidRDefault="00E15D51">
            <w:pPr>
              <w:jc w:val="right"/>
              <w:textAlignment w:val="bottom"/>
            </w:pPr>
            <w:r>
              <w:rPr>
                <w:rFonts w:ascii="Arial" w:eastAsia="宋体" w:hAnsi="Arial" w:cs="Arial"/>
                <w:color w:val="000000"/>
                <w:sz w:val="20"/>
                <w:szCs w:val="20"/>
              </w:rPr>
              <w:t>91.0 </w:t>
            </w:r>
          </w:p>
        </w:tc>
        <w:tc>
          <w:tcPr>
            <w:tcW w:w="0" w:type="auto"/>
            <w:tcBorders>
              <w:bottom w:val="single" w:sz="8" w:space="0" w:color="000000"/>
            </w:tcBorders>
            <w:shd w:val="clear" w:color="auto" w:fill="FFFFFF"/>
            <w:tcMar>
              <w:top w:w="40" w:type="dxa"/>
              <w:left w:w="0" w:type="dxa"/>
              <w:bottom w:w="40" w:type="dxa"/>
              <w:right w:w="20" w:type="dxa"/>
            </w:tcMar>
            <w:vAlign w:val="bottom"/>
          </w:tcPr>
          <w:p w14:paraId="4090F652" w14:textId="77777777" w:rsidR="00833634" w:rsidRDefault="00E15D51">
            <w:pPr>
              <w:jc w:val="right"/>
              <w:textAlignment w:val="bottom"/>
            </w:pPr>
            <w:r>
              <w:rPr>
                <w:rFonts w:ascii="Arial" w:eastAsia="宋体" w:hAnsi="Arial" w:cs="Arial"/>
                <w:color w:val="000000"/>
                <w:sz w:val="20"/>
                <w:szCs w:val="20"/>
              </w:rPr>
              <w:t>%</w:t>
            </w:r>
          </w:p>
        </w:tc>
        <w:tc>
          <w:tcPr>
            <w:tcW w:w="0" w:type="auto"/>
            <w:gridSpan w:val="2"/>
            <w:tcBorders>
              <w:bottom w:val="single" w:sz="8" w:space="0" w:color="000000"/>
            </w:tcBorders>
            <w:shd w:val="clear" w:color="auto" w:fill="FFFFFF"/>
            <w:tcMar>
              <w:top w:w="40" w:type="dxa"/>
              <w:left w:w="20" w:type="dxa"/>
              <w:bottom w:w="40" w:type="dxa"/>
              <w:right w:w="0" w:type="dxa"/>
            </w:tcMar>
            <w:vAlign w:val="bottom"/>
          </w:tcPr>
          <w:p w14:paraId="4090F653" w14:textId="77777777" w:rsidR="00833634" w:rsidRDefault="00E15D51">
            <w:pPr>
              <w:jc w:val="right"/>
              <w:textAlignment w:val="bottom"/>
            </w:pPr>
            <w:r>
              <w:rPr>
                <w:rFonts w:ascii="Arial" w:eastAsia="宋体" w:hAnsi="Arial" w:cs="Arial"/>
                <w:color w:val="000000"/>
                <w:sz w:val="20"/>
                <w:szCs w:val="20"/>
              </w:rPr>
              <w:t>9.0 </w:t>
            </w:r>
          </w:p>
        </w:tc>
        <w:tc>
          <w:tcPr>
            <w:tcW w:w="0" w:type="auto"/>
            <w:tcBorders>
              <w:bottom w:val="single" w:sz="8" w:space="0" w:color="000000"/>
            </w:tcBorders>
            <w:shd w:val="clear" w:color="auto" w:fill="FFFFFF"/>
            <w:tcMar>
              <w:top w:w="40" w:type="dxa"/>
              <w:left w:w="0" w:type="dxa"/>
              <w:bottom w:w="40" w:type="dxa"/>
              <w:right w:w="20" w:type="dxa"/>
            </w:tcMar>
            <w:vAlign w:val="bottom"/>
          </w:tcPr>
          <w:p w14:paraId="4090F654" w14:textId="77777777" w:rsidR="00833634" w:rsidRDefault="00E15D51">
            <w:pPr>
              <w:textAlignment w:val="bottom"/>
            </w:pPr>
            <w:r>
              <w:rPr>
                <w:rFonts w:ascii="Arial" w:eastAsia="宋体" w:hAnsi="Arial" w:cs="Arial"/>
                <w:color w:val="000000"/>
                <w:sz w:val="20"/>
                <w:szCs w:val="20"/>
              </w:rPr>
              <w:t>%</w:t>
            </w:r>
          </w:p>
        </w:tc>
        <w:tc>
          <w:tcPr>
            <w:tcW w:w="0" w:type="auto"/>
            <w:gridSpan w:val="2"/>
            <w:tcBorders>
              <w:bottom w:val="single" w:sz="8" w:space="0" w:color="000000"/>
            </w:tcBorders>
            <w:shd w:val="clear" w:color="auto" w:fill="FFFFFF"/>
            <w:tcMar>
              <w:top w:w="40" w:type="dxa"/>
              <w:left w:w="20" w:type="dxa"/>
              <w:bottom w:w="40" w:type="dxa"/>
              <w:right w:w="0" w:type="dxa"/>
            </w:tcMar>
            <w:vAlign w:val="bottom"/>
          </w:tcPr>
          <w:p w14:paraId="4090F655" w14:textId="77777777" w:rsidR="00833634" w:rsidRDefault="00E15D51">
            <w:pPr>
              <w:jc w:val="right"/>
              <w:textAlignment w:val="bottom"/>
            </w:pPr>
            <w:r>
              <w:rPr>
                <w:rFonts w:ascii="Arial" w:eastAsia="宋体" w:hAnsi="Arial" w:cs="Arial"/>
                <w:b/>
                <w:bCs/>
                <w:color w:val="000000"/>
                <w:sz w:val="20"/>
                <w:szCs w:val="20"/>
              </w:rPr>
              <w:t>92.7</w:t>
            </w:r>
            <w:r>
              <w:rPr>
                <w:rFonts w:ascii="Arial" w:eastAsia="宋体" w:hAnsi="Arial" w:cs="Arial"/>
                <w:color w:val="000000"/>
                <w:sz w:val="20"/>
                <w:szCs w:val="20"/>
              </w:rPr>
              <w:t> </w:t>
            </w:r>
          </w:p>
        </w:tc>
        <w:tc>
          <w:tcPr>
            <w:tcW w:w="0" w:type="auto"/>
            <w:tcBorders>
              <w:bottom w:val="single" w:sz="8" w:space="0" w:color="000000"/>
            </w:tcBorders>
            <w:shd w:val="clear" w:color="auto" w:fill="FFFFFF"/>
            <w:tcMar>
              <w:top w:w="40" w:type="dxa"/>
              <w:left w:w="0" w:type="dxa"/>
              <w:bottom w:w="40" w:type="dxa"/>
              <w:right w:w="20" w:type="dxa"/>
            </w:tcMar>
            <w:vAlign w:val="bottom"/>
          </w:tcPr>
          <w:p w14:paraId="4090F656"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single" w:sz="8" w:space="0" w:color="000000"/>
            </w:tcBorders>
            <w:shd w:val="clear" w:color="auto" w:fill="FFFFFF"/>
            <w:tcMar>
              <w:top w:w="0" w:type="dxa"/>
              <w:left w:w="20" w:type="dxa"/>
              <w:bottom w:w="0" w:type="dxa"/>
              <w:right w:w="20" w:type="dxa"/>
            </w:tcMar>
          </w:tcPr>
          <w:p w14:paraId="4090F657" w14:textId="77777777" w:rsidR="00833634" w:rsidRDefault="00833634">
            <w:pPr>
              <w:rPr>
                <w:rFonts w:ascii="宋体"/>
              </w:rPr>
            </w:pPr>
          </w:p>
        </w:tc>
        <w:tc>
          <w:tcPr>
            <w:tcW w:w="0" w:type="auto"/>
            <w:gridSpan w:val="2"/>
            <w:tcBorders>
              <w:bottom w:val="single" w:sz="8" w:space="0" w:color="000000"/>
            </w:tcBorders>
            <w:shd w:val="clear" w:color="auto" w:fill="FFFFFF"/>
            <w:tcMar>
              <w:top w:w="40" w:type="dxa"/>
              <w:left w:w="20" w:type="dxa"/>
              <w:bottom w:w="40" w:type="dxa"/>
              <w:right w:w="0" w:type="dxa"/>
            </w:tcMar>
            <w:vAlign w:val="bottom"/>
          </w:tcPr>
          <w:p w14:paraId="4090F658" w14:textId="77777777" w:rsidR="00833634" w:rsidRDefault="00E15D51">
            <w:pPr>
              <w:jc w:val="right"/>
              <w:textAlignment w:val="bottom"/>
            </w:pPr>
            <w:r>
              <w:rPr>
                <w:rFonts w:ascii="Arial" w:eastAsia="宋体" w:hAnsi="Arial" w:cs="Arial"/>
                <w:color w:val="000000"/>
                <w:sz w:val="20"/>
                <w:szCs w:val="20"/>
              </w:rPr>
              <w:t>84.7 </w:t>
            </w:r>
          </w:p>
        </w:tc>
        <w:tc>
          <w:tcPr>
            <w:tcW w:w="0" w:type="auto"/>
            <w:tcBorders>
              <w:bottom w:val="single" w:sz="8" w:space="0" w:color="000000"/>
            </w:tcBorders>
            <w:shd w:val="clear" w:color="auto" w:fill="FFFFFF"/>
            <w:tcMar>
              <w:top w:w="40" w:type="dxa"/>
              <w:left w:w="0" w:type="dxa"/>
              <w:bottom w:w="40" w:type="dxa"/>
              <w:right w:w="20" w:type="dxa"/>
            </w:tcMar>
            <w:vAlign w:val="bottom"/>
          </w:tcPr>
          <w:p w14:paraId="4090F659" w14:textId="77777777" w:rsidR="00833634" w:rsidRDefault="00E15D51">
            <w:pPr>
              <w:jc w:val="right"/>
              <w:textAlignment w:val="bottom"/>
            </w:pPr>
            <w:r>
              <w:rPr>
                <w:rFonts w:ascii="Arial" w:eastAsia="宋体" w:hAnsi="Arial" w:cs="Arial"/>
                <w:color w:val="000000"/>
                <w:sz w:val="20"/>
                <w:szCs w:val="20"/>
              </w:rPr>
              <w:t>%</w:t>
            </w:r>
          </w:p>
        </w:tc>
        <w:tc>
          <w:tcPr>
            <w:tcW w:w="0" w:type="auto"/>
            <w:gridSpan w:val="2"/>
            <w:tcBorders>
              <w:bottom w:val="single" w:sz="8" w:space="0" w:color="000000"/>
            </w:tcBorders>
            <w:shd w:val="clear" w:color="auto" w:fill="FFFFFF"/>
            <w:tcMar>
              <w:top w:w="40" w:type="dxa"/>
              <w:left w:w="20" w:type="dxa"/>
              <w:bottom w:w="40" w:type="dxa"/>
              <w:right w:w="0" w:type="dxa"/>
            </w:tcMar>
            <w:vAlign w:val="bottom"/>
          </w:tcPr>
          <w:p w14:paraId="4090F65A" w14:textId="77777777" w:rsidR="00833634" w:rsidRDefault="00E15D51">
            <w:pPr>
              <w:jc w:val="right"/>
              <w:textAlignment w:val="bottom"/>
            </w:pPr>
            <w:r>
              <w:rPr>
                <w:rFonts w:ascii="Arial" w:eastAsia="宋体" w:hAnsi="Arial" w:cs="Arial"/>
                <w:color w:val="000000"/>
                <w:sz w:val="20"/>
                <w:szCs w:val="20"/>
              </w:rPr>
              <w:t>8.0 </w:t>
            </w:r>
          </w:p>
        </w:tc>
        <w:tc>
          <w:tcPr>
            <w:tcW w:w="0" w:type="auto"/>
            <w:tcBorders>
              <w:bottom w:val="single" w:sz="8" w:space="0" w:color="000000"/>
            </w:tcBorders>
            <w:shd w:val="clear" w:color="auto" w:fill="FFFFFF"/>
            <w:tcMar>
              <w:top w:w="40" w:type="dxa"/>
              <w:left w:w="0" w:type="dxa"/>
              <w:bottom w:w="40" w:type="dxa"/>
              <w:right w:w="20" w:type="dxa"/>
            </w:tcMar>
            <w:vAlign w:val="bottom"/>
          </w:tcPr>
          <w:p w14:paraId="4090F65B" w14:textId="77777777" w:rsidR="00833634" w:rsidRDefault="00E15D51">
            <w:pPr>
              <w:jc w:val="right"/>
              <w:textAlignment w:val="bottom"/>
            </w:pPr>
            <w:r>
              <w:rPr>
                <w:rFonts w:ascii="Arial" w:eastAsia="宋体" w:hAnsi="Arial" w:cs="Arial"/>
                <w:color w:val="000000"/>
                <w:sz w:val="20"/>
                <w:szCs w:val="20"/>
              </w:rPr>
              <w:t>%</w:t>
            </w:r>
          </w:p>
        </w:tc>
      </w:tr>
    </w:tbl>
    <w:p w14:paraId="4090F65D" w14:textId="77777777" w:rsidR="00833634" w:rsidRDefault="00E15D51">
      <w:pPr>
        <w:spacing w:after="180"/>
        <w:jc w:val="both"/>
      </w:pPr>
      <w:r>
        <w:rPr>
          <w:rFonts w:ascii="Arial" w:eastAsia="宋体" w:hAnsi="Arial" w:cs="Arial"/>
          <w:color w:val="000000"/>
          <w:sz w:val="20"/>
          <w:szCs w:val="20"/>
        </w:rPr>
        <w:t>Cost of sales for the nine and three months ended September 30, 2020 decreased by $10,534 million, or 20% and by $3,825 million, or 23% compared with the</w:t>
      </w:r>
      <w:r>
        <w:rPr>
          <w:rFonts w:ascii="Arial" w:eastAsia="宋体" w:hAnsi="Arial" w:cs="Arial"/>
          <w:color w:val="000000"/>
          <w:sz w:val="20"/>
          <w:szCs w:val="20"/>
        </w:rPr>
        <w:t xml:space="preserve"> same periods in 2019, primarily due to lower revenue in 2020, partially offset by higher charges in 2020 related to COVID-19 impacts, KC-46A Tanker program, abnormal production costs at BCA and severance costs. Cost of sales as a percentage of Revenues in</w:t>
      </w:r>
      <w:r>
        <w:rPr>
          <w:rFonts w:ascii="Arial" w:eastAsia="宋体" w:hAnsi="Arial" w:cs="Arial"/>
          <w:color w:val="000000"/>
          <w:sz w:val="20"/>
          <w:szCs w:val="20"/>
        </w:rPr>
        <w:t xml:space="preserve">creased during the nine and three months ended September 30, 2020 compared with the </w:t>
      </w:r>
    </w:p>
    <w:p w14:paraId="4090F65E" w14:textId="77777777" w:rsidR="00833634" w:rsidRDefault="00E15D51">
      <w:pPr>
        <w:spacing w:after="180"/>
        <w:jc w:val="center"/>
      </w:pPr>
      <w:r>
        <w:rPr>
          <w:rFonts w:ascii="Arial" w:eastAsia="宋体" w:hAnsi="Arial" w:cs="Arial"/>
          <w:color w:val="000000"/>
          <w:sz w:val="18"/>
          <w:szCs w:val="18"/>
        </w:rPr>
        <w:t>44</w:t>
      </w:r>
    </w:p>
    <w:p w14:paraId="4090F65F" w14:textId="77777777" w:rsidR="00833634" w:rsidRDefault="00E15D51">
      <w:r>
        <w:pict w14:anchorId="4090FE4C">
          <v:rect id="_x0000_i1070" style="width:415.3pt;height:1.5pt" o:hralign="center" o:hrstd="t" o:hr="t" fillcolor="#a0a0a0" stroked="f"/>
        </w:pict>
      </w:r>
    </w:p>
    <w:p w14:paraId="4090F660" w14:textId="77777777" w:rsidR="00833634" w:rsidRDefault="00E15D51">
      <w:pPr>
        <w:spacing w:after="180"/>
        <w:jc w:val="both"/>
      </w:pPr>
      <w:hyperlink r:id="rId147" w:anchor="i8d805bfb1e1c4815a1dcd5b6d1e0b117_10" w:history="1">
        <w:r>
          <w:rPr>
            <w:rStyle w:val="a5"/>
            <w:rFonts w:ascii="Arial" w:eastAsia="宋体" w:hAnsi="Arial" w:cs="Arial"/>
            <w:sz w:val="18"/>
            <w:szCs w:val="18"/>
          </w:rPr>
          <w:t>Table of Contents</w:t>
        </w:r>
      </w:hyperlink>
    </w:p>
    <w:p w14:paraId="4090F661" w14:textId="77777777" w:rsidR="00833634" w:rsidRDefault="00E15D51">
      <w:pPr>
        <w:spacing w:after="180"/>
        <w:jc w:val="both"/>
      </w:pPr>
      <w:r>
        <w:rPr>
          <w:rFonts w:ascii="Arial" w:eastAsia="宋体" w:hAnsi="Arial" w:cs="Arial"/>
          <w:color w:val="000000"/>
          <w:sz w:val="20"/>
          <w:szCs w:val="20"/>
        </w:rPr>
        <w:t>same periods in 2019 primarily due to the impacts of the 737 MAX grounding and the COVID-19 pandemic, as well as severance costs.</w:t>
      </w:r>
    </w:p>
    <w:p w14:paraId="4090F662" w14:textId="77777777" w:rsidR="00833634" w:rsidRDefault="00E15D51">
      <w:pPr>
        <w:spacing w:after="180"/>
        <w:jc w:val="both"/>
      </w:pPr>
      <w:r>
        <w:rPr>
          <w:rFonts w:ascii="Arial" w:eastAsia="宋体" w:hAnsi="Arial" w:cs="Arial"/>
          <w:b/>
          <w:bCs/>
          <w:color w:val="000000"/>
          <w:sz w:val="20"/>
          <w:szCs w:val="20"/>
        </w:rPr>
        <w:t xml:space="preserve">Research and Development </w:t>
      </w:r>
    </w:p>
    <w:p w14:paraId="4090F663" w14:textId="77777777" w:rsidR="00833634" w:rsidRDefault="00E15D51">
      <w:pPr>
        <w:spacing w:after="180"/>
        <w:jc w:val="both"/>
      </w:pPr>
      <w:r>
        <w:rPr>
          <w:rFonts w:ascii="Arial" w:eastAsia="宋体" w:hAnsi="Arial" w:cs="Arial"/>
          <w:color w:val="000000"/>
          <w:sz w:val="20"/>
          <w:szCs w:val="20"/>
        </w:rPr>
        <w:t>The following table summarizes our Research and development expense:</w:t>
      </w:r>
    </w:p>
    <w:tbl>
      <w:tblPr>
        <w:tblW w:w="4984" w:type="pct"/>
        <w:tblCellMar>
          <w:top w:w="15" w:type="dxa"/>
          <w:left w:w="15" w:type="dxa"/>
          <w:bottom w:w="15" w:type="dxa"/>
          <w:right w:w="15" w:type="dxa"/>
        </w:tblCellMar>
        <w:tblLook w:val="04A0" w:firstRow="1" w:lastRow="0" w:firstColumn="1" w:lastColumn="0" w:noHBand="0" w:noVBand="1"/>
      </w:tblPr>
      <w:tblGrid>
        <w:gridCol w:w="59"/>
        <w:gridCol w:w="4202"/>
        <w:gridCol w:w="37"/>
        <w:gridCol w:w="60"/>
        <w:gridCol w:w="857"/>
        <w:gridCol w:w="37"/>
        <w:gridCol w:w="37"/>
        <w:gridCol w:w="36"/>
        <w:gridCol w:w="36"/>
        <w:gridCol w:w="60"/>
        <w:gridCol w:w="847"/>
        <w:gridCol w:w="36"/>
        <w:gridCol w:w="36"/>
        <w:gridCol w:w="36"/>
        <w:gridCol w:w="36"/>
        <w:gridCol w:w="51"/>
        <w:gridCol w:w="806"/>
        <w:gridCol w:w="37"/>
        <w:gridCol w:w="37"/>
        <w:gridCol w:w="37"/>
        <w:gridCol w:w="37"/>
        <w:gridCol w:w="50"/>
        <w:gridCol w:w="806"/>
        <w:gridCol w:w="36"/>
      </w:tblGrid>
      <w:tr w:rsidR="00833634" w14:paraId="4090F67C" w14:textId="77777777">
        <w:tc>
          <w:tcPr>
            <w:tcW w:w="50" w:type="pct"/>
            <w:shd w:val="clear" w:color="auto" w:fill="auto"/>
          </w:tcPr>
          <w:p w14:paraId="4090F664" w14:textId="77777777" w:rsidR="00833634" w:rsidRDefault="00833634">
            <w:pPr>
              <w:rPr>
                <w:rFonts w:ascii="宋体"/>
              </w:rPr>
            </w:pPr>
          </w:p>
        </w:tc>
        <w:tc>
          <w:tcPr>
            <w:tcW w:w="2541" w:type="pct"/>
            <w:shd w:val="clear" w:color="auto" w:fill="auto"/>
          </w:tcPr>
          <w:p w14:paraId="4090F665" w14:textId="77777777" w:rsidR="00833634" w:rsidRDefault="00833634">
            <w:pPr>
              <w:rPr>
                <w:rFonts w:ascii="宋体"/>
              </w:rPr>
            </w:pPr>
          </w:p>
        </w:tc>
        <w:tc>
          <w:tcPr>
            <w:tcW w:w="5" w:type="pct"/>
            <w:shd w:val="clear" w:color="auto" w:fill="auto"/>
          </w:tcPr>
          <w:p w14:paraId="4090F666" w14:textId="77777777" w:rsidR="00833634" w:rsidRDefault="00833634">
            <w:pPr>
              <w:rPr>
                <w:rFonts w:ascii="宋体"/>
              </w:rPr>
            </w:pPr>
          </w:p>
        </w:tc>
        <w:tc>
          <w:tcPr>
            <w:tcW w:w="50" w:type="pct"/>
            <w:shd w:val="clear" w:color="auto" w:fill="auto"/>
          </w:tcPr>
          <w:p w14:paraId="4090F667" w14:textId="77777777" w:rsidR="00833634" w:rsidRDefault="00833634">
            <w:pPr>
              <w:rPr>
                <w:rFonts w:ascii="宋体"/>
              </w:rPr>
            </w:pPr>
          </w:p>
        </w:tc>
        <w:tc>
          <w:tcPr>
            <w:tcW w:w="531" w:type="pct"/>
            <w:shd w:val="clear" w:color="auto" w:fill="auto"/>
          </w:tcPr>
          <w:p w14:paraId="4090F668" w14:textId="77777777" w:rsidR="00833634" w:rsidRDefault="00833634">
            <w:pPr>
              <w:rPr>
                <w:rFonts w:ascii="宋体"/>
              </w:rPr>
            </w:pPr>
          </w:p>
        </w:tc>
        <w:tc>
          <w:tcPr>
            <w:tcW w:w="5" w:type="pct"/>
            <w:shd w:val="clear" w:color="auto" w:fill="auto"/>
          </w:tcPr>
          <w:p w14:paraId="4090F669" w14:textId="77777777" w:rsidR="00833634" w:rsidRDefault="00833634">
            <w:pPr>
              <w:rPr>
                <w:rFonts w:ascii="宋体"/>
              </w:rPr>
            </w:pPr>
          </w:p>
        </w:tc>
        <w:tc>
          <w:tcPr>
            <w:tcW w:w="5" w:type="pct"/>
            <w:shd w:val="clear" w:color="auto" w:fill="auto"/>
          </w:tcPr>
          <w:p w14:paraId="4090F66A" w14:textId="77777777" w:rsidR="00833634" w:rsidRDefault="00833634">
            <w:pPr>
              <w:rPr>
                <w:rFonts w:ascii="宋体"/>
              </w:rPr>
            </w:pPr>
          </w:p>
        </w:tc>
        <w:tc>
          <w:tcPr>
            <w:tcW w:w="30" w:type="pct"/>
            <w:shd w:val="clear" w:color="auto" w:fill="auto"/>
          </w:tcPr>
          <w:p w14:paraId="4090F66B" w14:textId="77777777" w:rsidR="00833634" w:rsidRDefault="00833634">
            <w:pPr>
              <w:rPr>
                <w:rFonts w:ascii="宋体"/>
              </w:rPr>
            </w:pPr>
          </w:p>
        </w:tc>
        <w:tc>
          <w:tcPr>
            <w:tcW w:w="5" w:type="pct"/>
            <w:shd w:val="clear" w:color="auto" w:fill="auto"/>
          </w:tcPr>
          <w:p w14:paraId="4090F66C" w14:textId="77777777" w:rsidR="00833634" w:rsidRDefault="00833634">
            <w:pPr>
              <w:rPr>
                <w:rFonts w:ascii="宋体"/>
              </w:rPr>
            </w:pPr>
          </w:p>
        </w:tc>
        <w:tc>
          <w:tcPr>
            <w:tcW w:w="50" w:type="pct"/>
            <w:shd w:val="clear" w:color="auto" w:fill="auto"/>
          </w:tcPr>
          <w:p w14:paraId="4090F66D" w14:textId="77777777" w:rsidR="00833634" w:rsidRDefault="00833634">
            <w:pPr>
              <w:rPr>
                <w:rFonts w:ascii="宋体"/>
              </w:rPr>
            </w:pPr>
          </w:p>
        </w:tc>
        <w:tc>
          <w:tcPr>
            <w:tcW w:w="531" w:type="pct"/>
            <w:shd w:val="clear" w:color="auto" w:fill="auto"/>
          </w:tcPr>
          <w:p w14:paraId="4090F66E" w14:textId="77777777" w:rsidR="00833634" w:rsidRDefault="00833634">
            <w:pPr>
              <w:rPr>
                <w:rFonts w:ascii="宋体"/>
              </w:rPr>
            </w:pPr>
          </w:p>
        </w:tc>
        <w:tc>
          <w:tcPr>
            <w:tcW w:w="5" w:type="pct"/>
            <w:shd w:val="clear" w:color="auto" w:fill="auto"/>
          </w:tcPr>
          <w:p w14:paraId="4090F66F" w14:textId="77777777" w:rsidR="00833634" w:rsidRDefault="00833634">
            <w:pPr>
              <w:rPr>
                <w:rFonts w:ascii="宋体"/>
              </w:rPr>
            </w:pPr>
          </w:p>
        </w:tc>
        <w:tc>
          <w:tcPr>
            <w:tcW w:w="5" w:type="pct"/>
            <w:shd w:val="clear" w:color="auto" w:fill="auto"/>
          </w:tcPr>
          <w:p w14:paraId="4090F670" w14:textId="77777777" w:rsidR="00833634" w:rsidRDefault="00833634">
            <w:pPr>
              <w:rPr>
                <w:rFonts w:ascii="宋体"/>
              </w:rPr>
            </w:pPr>
          </w:p>
        </w:tc>
        <w:tc>
          <w:tcPr>
            <w:tcW w:w="30" w:type="pct"/>
            <w:shd w:val="clear" w:color="auto" w:fill="auto"/>
          </w:tcPr>
          <w:p w14:paraId="4090F671" w14:textId="77777777" w:rsidR="00833634" w:rsidRDefault="00833634">
            <w:pPr>
              <w:rPr>
                <w:rFonts w:ascii="宋体"/>
              </w:rPr>
            </w:pPr>
          </w:p>
        </w:tc>
        <w:tc>
          <w:tcPr>
            <w:tcW w:w="5" w:type="pct"/>
            <w:shd w:val="clear" w:color="auto" w:fill="auto"/>
          </w:tcPr>
          <w:p w14:paraId="4090F672" w14:textId="77777777" w:rsidR="00833634" w:rsidRDefault="00833634">
            <w:pPr>
              <w:rPr>
                <w:rFonts w:ascii="宋体"/>
              </w:rPr>
            </w:pPr>
          </w:p>
        </w:tc>
        <w:tc>
          <w:tcPr>
            <w:tcW w:w="50" w:type="pct"/>
            <w:shd w:val="clear" w:color="auto" w:fill="auto"/>
          </w:tcPr>
          <w:p w14:paraId="4090F673" w14:textId="77777777" w:rsidR="00833634" w:rsidRDefault="00833634">
            <w:pPr>
              <w:rPr>
                <w:rFonts w:ascii="宋体"/>
              </w:rPr>
            </w:pPr>
          </w:p>
        </w:tc>
        <w:tc>
          <w:tcPr>
            <w:tcW w:w="499" w:type="pct"/>
            <w:shd w:val="clear" w:color="auto" w:fill="auto"/>
          </w:tcPr>
          <w:p w14:paraId="4090F674" w14:textId="77777777" w:rsidR="00833634" w:rsidRDefault="00833634">
            <w:pPr>
              <w:rPr>
                <w:rFonts w:ascii="宋体"/>
              </w:rPr>
            </w:pPr>
          </w:p>
        </w:tc>
        <w:tc>
          <w:tcPr>
            <w:tcW w:w="5" w:type="pct"/>
            <w:shd w:val="clear" w:color="auto" w:fill="auto"/>
          </w:tcPr>
          <w:p w14:paraId="4090F675" w14:textId="77777777" w:rsidR="00833634" w:rsidRDefault="00833634">
            <w:pPr>
              <w:rPr>
                <w:rFonts w:ascii="宋体"/>
              </w:rPr>
            </w:pPr>
          </w:p>
        </w:tc>
        <w:tc>
          <w:tcPr>
            <w:tcW w:w="5" w:type="pct"/>
            <w:shd w:val="clear" w:color="auto" w:fill="auto"/>
          </w:tcPr>
          <w:p w14:paraId="4090F676" w14:textId="77777777" w:rsidR="00833634" w:rsidRDefault="00833634">
            <w:pPr>
              <w:rPr>
                <w:rFonts w:ascii="宋体"/>
              </w:rPr>
            </w:pPr>
          </w:p>
        </w:tc>
        <w:tc>
          <w:tcPr>
            <w:tcW w:w="30" w:type="pct"/>
            <w:shd w:val="clear" w:color="auto" w:fill="auto"/>
          </w:tcPr>
          <w:p w14:paraId="4090F677" w14:textId="77777777" w:rsidR="00833634" w:rsidRDefault="00833634">
            <w:pPr>
              <w:rPr>
                <w:rFonts w:ascii="宋体"/>
              </w:rPr>
            </w:pPr>
          </w:p>
        </w:tc>
        <w:tc>
          <w:tcPr>
            <w:tcW w:w="5" w:type="pct"/>
            <w:shd w:val="clear" w:color="auto" w:fill="auto"/>
          </w:tcPr>
          <w:p w14:paraId="4090F678" w14:textId="77777777" w:rsidR="00833634" w:rsidRDefault="00833634">
            <w:pPr>
              <w:rPr>
                <w:rFonts w:ascii="宋体"/>
              </w:rPr>
            </w:pPr>
          </w:p>
        </w:tc>
        <w:tc>
          <w:tcPr>
            <w:tcW w:w="50" w:type="pct"/>
            <w:shd w:val="clear" w:color="auto" w:fill="auto"/>
          </w:tcPr>
          <w:p w14:paraId="4090F679" w14:textId="77777777" w:rsidR="00833634" w:rsidRDefault="00833634">
            <w:pPr>
              <w:rPr>
                <w:rFonts w:ascii="宋体"/>
              </w:rPr>
            </w:pPr>
          </w:p>
        </w:tc>
        <w:tc>
          <w:tcPr>
            <w:tcW w:w="499" w:type="pct"/>
            <w:shd w:val="clear" w:color="auto" w:fill="auto"/>
          </w:tcPr>
          <w:p w14:paraId="4090F67A" w14:textId="77777777" w:rsidR="00833634" w:rsidRDefault="00833634">
            <w:pPr>
              <w:rPr>
                <w:rFonts w:ascii="宋体"/>
              </w:rPr>
            </w:pPr>
          </w:p>
        </w:tc>
        <w:tc>
          <w:tcPr>
            <w:tcW w:w="5" w:type="pct"/>
            <w:shd w:val="clear" w:color="auto" w:fill="auto"/>
          </w:tcPr>
          <w:p w14:paraId="4090F67B" w14:textId="77777777" w:rsidR="00833634" w:rsidRDefault="00833634">
            <w:pPr>
              <w:rPr>
                <w:rFonts w:ascii="宋体"/>
              </w:rPr>
            </w:pPr>
          </w:p>
        </w:tc>
      </w:tr>
      <w:tr w:rsidR="00833634" w14:paraId="4090F681" w14:textId="77777777">
        <w:tc>
          <w:tcPr>
            <w:tcW w:w="0" w:type="auto"/>
            <w:gridSpan w:val="3"/>
            <w:shd w:val="clear" w:color="auto" w:fill="auto"/>
            <w:tcMar>
              <w:top w:w="40" w:type="dxa"/>
              <w:left w:w="20" w:type="dxa"/>
              <w:bottom w:w="40" w:type="dxa"/>
              <w:right w:w="20" w:type="dxa"/>
            </w:tcMar>
            <w:vAlign w:val="bottom"/>
          </w:tcPr>
          <w:p w14:paraId="4090F67D"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67E"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67F"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680"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68A"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68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83"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684"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85"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686"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87"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688"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689" w14:textId="77777777" w:rsidR="00833634" w:rsidRDefault="00E15D51">
            <w:pPr>
              <w:jc w:val="right"/>
              <w:textAlignment w:val="bottom"/>
            </w:pPr>
            <w:r>
              <w:rPr>
                <w:rFonts w:ascii="Arial" w:eastAsia="宋体" w:hAnsi="Arial" w:cs="Arial"/>
                <w:color w:val="000000"/>
                <w:sz w:val="20"/>
                <w:szCs w:val="20"/>
              </w:rPr>
              <w:t>2019</w:t>
            </w:r>
          </w:p>
        </w:tc>
      </w:tr>
      <w:tr w:rsidR="00833634" w14:paraId="4090F697"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4090F68B" w14:textId="77777777" w:rsidR="00833634" w:rsidRDefault="00E15D51">
            <w:pPr>
              <w:textAlignment w:val="top"/>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8C" w14:textId="77777777" w:rsidR="00833634" w:rsidRDefault="00E15D51">
            <w:pPr>
              <w:jc w:val="right"/>
              <w:textAlignment w:val="bottom"/>
            </w:pPr>
            <w:r>
              <w:rPr>
                <w:rFonts w:ascii="Arial" w:eastAsia="宋体" w:hAnsi="Arial" w:cs="Arial"/>
                <w:b/>
                <w:bCs/>
                <w:color w:val="000000"/>
                <w:sz w:val="20"/>
                <w:szCs w:val="20"/>
              </w:rPr>
              <w:t>$1,107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8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68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8F" w14:textId="77777777" w:rsidR="00833634" w:rsidRDefault="00E15D51">
            <w:pPr>
              <w:jc w:val="right"/>
              <w:textAlignment w:val="bottom"/>
            </w:pPr>
            <w:r>
              <w:rPr>
                <w:rFonts w:ascii="Arial" w:eastAsia="宋体" w:hAnsi="Arial" w:cs="Arial"/>
                <w:color w:val="000000"/>
                <w:sz w:val="20"/>
                <w:szCs w:val="20"/>
              </w:rPr>
              <w:t>$1,529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9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69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92" w14:textId="77777777" w:rsidR="00833634" w:rsidRDefault="00E15D51">
            <w:pPr>
              <w:jc w:val="right"/>
              <w:textAlignment w:val="bottom"/>
            </w:pPr>
            <w:r>
              <w:rPr>
                <w:rFonts w:ascii="Arial" w:eastAsia="宋体" w:hAnsi="Arial" w:cs="Arial"/>
                <w:b/>
                <w:bCs/>
                <w:color w:val="000000"/>
                <w:sz w:val="20"/>
                <w:szCs w:val="20"/>
              </w:rPr>
              <w:t>$321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9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69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95" w14:textId="77777777" w:rsidR="00833634" w:rsidRDefault="00E15D51">
            <w:pPr>
              <w:jc w:val="right"/>
              <w:textAlignment w:val="bottom"/>
            </w:pPr>
            <w:r>
              <w:rPr>
                <w:rFonts w:ascii="Arial" w:eastAsia="宋体" w:hAnsi="Arial" w:cs="Arial"/>
                <w:color w:val="000000"/>
                <w:sz w:val="20"/>
                <w:szCs w:val="20"/>
              </w:rPr>
              <w:t>$467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96" w14:textId="77777777" w:rsidR="00833634" w:rsidRDefault="00833634">
            <w:pPr>
              <w:jc w:val="right"/>
              <w:rPr>
                <w:rFonts w:ascii="宋体"/>
              </w:rPr>
            </w:pPr>
          </w:p>
        </w:tc>
      </w:tr>
      <w:tr w:rsidR="00833634" w14:paraId="4090F6A4" w14:textId="77777777">
        <w:tc>
          <w:tcPr>
            <w:tcW w:w="0" w:type="auto"/>
            <w:gridSpan w:val="3"/>
            <w:shd w:val="clear" w:color="auto" w:fill="FFFFFF"/>
            <w:tcMar>
              <w:top w:w="40" w:type="dxa"/>
              <w:left w:w="20" w:type="dxa"/>
              <w:bottom w:w="40" w:type="dxa"/>
              <w:right w:w="20" w:type="dxa"/>
            </w:tcMar>
          </w:tcPr>
          <w:p w14:paraId="4090F698" w14:textId="77777777" w:rsidR="00833634" w:rsidRDefault="00E15D51">
            <w:pPr>
              <w:textAlignment w:val="top"/>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4090F699" w14:textId="77777777" w:rsidR="00833634" w:rsidRDefault="00E15D51">
            <w:pPr>
              <w:jc w:val="right"/>
              <w:textAlignment w:val="bottom"/>
            </w:pPr>
            <w:r>
              <w:rPr>
                <w:rFonts w:ascii="Arial" w:eastAsia="宋体" w:hAnsi="Arial" w:cs="Arial"/>
                <w:b/>
                <w:bCs/>
                <w:color w:val="000000"/>
                <w:sz w:val="20"/>
                <w:szCs w:val="20"/>
              </w:rPr>
              <w:t>494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69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69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69C" w14:textId="77777777" w:rsidR="00833634" w:rsidRDefault="00E15D51">
            <w:pPr>
              <w:jc w:val="right"/>
              <w:textAlignment w:val="bottom"/>
            </w:pPr>
            <w:r>
              <w:rPr>
                <w:rFonts w:ascii="Arial" w:eastAsia="宋体" w:hAnsi="Arial" w:cs="Arial"/>
                <w:color w:val="000000"/>
                <w:sz w:val="20"/>
                <w:szCs w:val="20"/>
              </w:rPr>
              <w:t>556 </w:t>
            </w:r>
          </w:p>
        </w:tc>
        <w:tc>
          <w:tcPr>
            <w:tcW w:w="0" w:type="auto"/>
            <w:shd w:val="clear" w:color="auto" w:fill="FFFFFF"/>
            <w:tcMar>
              <w:top w:w="40" w:type="dxa"/>
              <w:left w:w="0" w:type="dxa"/>
              <w:bottom w:w="40" w:type="dxa"/>
              <w:right w:w="20" w:type="dxa"/>
            </w:tcMar>
            <w:vAlign w:val="bottom"/>
          </w:tcPr>
          <w:p w14:paraId="4090F69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69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69F" w14:textId="77777777" w:rsidR="00833634" w:rsidRDefault="00E15D51">
            <w:pPr>
              <w:jc w:val="right"/>
              <w:textAlignment w:val="bottom"/>
            </w:pPr>
            <w:r>
              <w:rPr>
                <w:rFonts w:ascii="Arial" w:eastAsia="宋体" w:hAnsi="Arial" w:cs="Arial"/>
                <w:b/>
                <w:bCs/>
                <w:color w:val="000000"/>
                <w:sz w:val="20"/>
                <w:szCs w:val="20"/>
              </w:rPr>
              <w:t>164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6A0"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6A1"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6A2" w14:textId="77777777" w:rsidR="00833634" w:rsidRDefault="00E15D51">
            <w:pPr>
              <w:jc w:val="right"/>
              <w:textAlignment w:val="bottom"/>
            </w:pPr>
            <w:r>
              <w:rPr>
                <w:rFonts w:ascii="Arial" w:eastAsia="宋体" w:hAnsi="Arial" w:cs="Arial"/>
                <w:color w:val="000000"/>
                <w:sz w:val="20"/>
                <w:szCs w:val="20"/>
              </w:rPr>
              <w:t>182 </w:t>
            </w:r>
          </w:p>
        </w:tc>
        <w:tc>
          <w:tcPr>
            <w:tcW w:w="0" w:type="auto"/>
            <w:shd w:val="clear" w:color="auto" w:fill="FFFFFF"/>
            <w:tcMar>
              <w:top w:w="40" w:type="dxa"/>
              <w:left w:w="0" w:type="dxa"/>
              <w:bottom w:w="40" w:type="dxa"/>
              <w:right w:w="20" w:type="dxa"/>
            </w:tcMar>
            <w:vAlign w:val="bottom"/>
          </w:tcPr>
          <w:p w14:paraId="4090F6A3" w14:textId="77777777" w:rsidR="00833634" w:rsidRDefault="00833634">
            <w:pPr>
              <w:jc w:val="right"/>
              <w:rPr>
                <w:rFonts w:ascii="宋体"/>
              </w:rPr>
            </w:pPr>
          </w:p>
        </w:tc>
      </w:tr>
      <w:tr w:rsidR="00833634" w14:paraId="4090F6B1" w14:textId="77777777">
        <w:tc>
          <w:tcPr>
            <w:tcW w:w="0" w:type="auto"/>
            <w:gridSpan w:val="3"/>
            <w:shd w:val="clear" w:color="auto" w:fill="CCEEFF"/>
            <w:tcMar>
              <w:top w:w="40" w:type="dxa"/>
              <w:left w:w="20" w:type="dxa"/>
              <w:bottom w:w="40" w:type="dxa"/>
              <w:right w:w="20" w:type="dxa"/>
            </w:tcMar>
          </w:tcPr>
          <w:p w14:paraId="4090F6A5" w14:textId="77777777" w:rsidR="00833634" w:rsidRDefault="00E15D51">
            <w:pPr>
              <w:textAlignment w:val="top"/>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4090F6A6" w14:textId="77777777" w:rsidR="00833634" w:rsidRDefault="00E15D51">
            <w:pPr>
              <w:jc w:val="right"/>
              <w:textAlignment w:val="bottom"/>
            </w:pPr>
            <w:r>
              <w:rPr>
                <w:rFonts w:ascii="Arial" w:eastAsia="宋体" w:hAnsi="Arial" w:cs="Arial"/>
                <w:b/>
                <w:bCs/>
                <w:color w:val="000000"/>
                <w:sz w:val="20"/>
                <w:szCs w:val="20"/>
              </w:rPr>
              <w:t>110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6A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6A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6A9" w14:textId="77777777" w:rsidR="00833634" w:rsidRDefault="00E15D51">
            <w:pPr>
              <w:jc w:val="right"/>
              <w:textAlignment w:val="bottom"/>
            </w:pPr>
            <w:r>
              <w:rPr>
                <w:rFonts w:ascii="Arial" w:eastAsia="宋体" w:hAnsi="Arial" w:cs="Arial"/>
                <w:color w:val="000000"/>
                <w:sz w:val="20"/>
                <w:szCs w:val="20"/>
              </w:rPr>
              <w:t>102 </w:t>
            </w:r>
          </w:p>
        </w:tc>
        <w:tc>
          <w:tcPr>
            <w:tcW w:w="0" w:type="auto"/>
            <w:shd w:val="clear" w:color="auto" w:fill="CCEEFF"/>
            <w:tcMar>
              <w:top w:w="40" w:type="dxa"/>
              <w:left w:w="0" w:type="dxa"/>
              <w:bottom w:w="40" w:type="dxa"/>
              <w:right w:w="20" w:type="dxa"/>
            </w:tcMar>
            <w:vAlign w:val="bottom"/>
          </w:tcPr>
          <w:p w14:paraId="4090F6A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6A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6AC" w14:textId="77777777" w:rsidR="00833634" w:rsidRDefault="00E15D51">
            <w:pPr>
              <w:jc w:val="right"/>
              <w:textAlignment w:val="bottom"/>
            </w:pPr>
            <w:r>
              <w:rPr>
                <w:rFonts w:ascii="Arial" w:eastAsia="宋体" w:hAnsi="Arial" w:cs="Arial"/>
                <w:b/>
                <w:bCs/>
                <w:color w:val="000000"/>
                <w:sz w:val="20"/>
                <w:szCs w:val="20"/>
              </w:rPr>
              <w:t>45</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6A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6A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6AF" w14:textId="77777777" w:rsidR="00833634" w:rsidRDefault="00E15D51">
            <w:pPr>
              <w:jc w:val="right"/>
              <w:textAlignment w:val="bottom"/>
            </w:pPr>
            <w:r>
              <w:rPr>
                <w:rFonts w:ascii="Arial" w:eastAsia="宋体" w:hAnsi="Arial" w:cs="Arial"/>
                <w:color w:val="000000"/>
                <w:sz w:val="20"/>
                <w:szCs w:val="20"/>
              </w:rPr>
              <w:t>29 </w:t>
            </w:r>
          </w:p>
        </w:tc>
        <w:tc>
          <w:tcPr>
            <w:tcW w:w="0" w:type="auto"/>
            <w:shd w:val="clear" w:color="auto" w:fill="CCEEFF"/>
            <w:tcMar>
              <w:top w:w="40" w:type="dxa"/>
              <w:left w:w="0" w:type="dxa"/>
              <w:bottom w:w="40" w:type="dxa"/>
              <w:right w:w="20" w:type="dxa"/>
            </w:tcMar>
            <w:vAlign w:val="bottom"/>
          </w:tcPr>
          <w:p w14:paraId="4090F6B0" w14:textId="77777777" w:rsidR="00833634" w:rsidRDefault="00833634">
            <w:pPr>
              <w:jc w:val="right"/>
              <w:rPr>
                <w:rFonts w:ascii="宋体"/>
              </w:rPr>
            </w:pPr>
          </w:p>
        </w:tc>
      </w:tr>
      <w:tr w:rsidR="00833634" w14:paraId="4090F6BE" w14:textId="77777777">
        <w:tc>
          <w:tcPr>
            <w:tcW w:w="0" w:type="auto"/>
            <w:gridSpan w:val="3"/>
            <w:shd w:val="clear" w:color="auto" w:fill="FFFFFF"/>
            <w:tcMar>
              <w:top w:w="40" w:type="dxa"/>
              <w:left w:w="20" w:type="dxa"/>
              <w:bottom w:w="40" w:type="dxa"/>
              <w:right w:w="20" w:type="dxa"/>
            </w:tcMar>
          </w:tcPr>
          <w:p w14:paraId="4090F6B2" w14:textId="77777777" w:rsidR="00833634" w:rsidRDefault="00E15D51">
            <w:pPr>
              <w:textAlignment w:val="top"/>
            </w:pPr>
            <w:r>
              <w:rPr>
                <w:rFonts w:ascii="Arial" w:eastAsia="宋体" w:hAnsi="Arial" w:cs="Arial"/>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4090F6B3" w14:textId="77777777" w:rsidR="00833634" w:rsidRDefault="00E15D51">
            <w:pPr>
              <w:jc w:val="right"/>
              <w:textAlignment w:val="bottom"/>
            </w:pPr>
            <w:r>
              <w:rPr>
                <w:rFonts w:ascii="Arial" w:eastAsia="宋体" w:hAnsi="Arial" w:cs="Arial"/>
                <w:b/>
                <w:bCs/>
                <w:color w:val="000000"/>
                <w:sz w:val="20"/>
                <w:szCs w:val="20"/>
              </w:rPr>
              <w:t>160</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6B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6B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6B6" w14:textId="77777777" w:rsidR="00833634" w:rsidRDefault="00E15D51">
            <w:pPr>
              <w:jc w:val="right"/>
              <w:textAlignment w:val="bottom"/>
            </w:pPr>
            <w:r>
              <w:rPr>
                <w:rFonts w:ascii="Arial" w:eastAsia="宋体" w:hAnsi="Arial" w:cs="Arial"/>
                <w:color w:val="000000"/>
                <w:sz w:val="20"/>
                <w:szCs w:val="20"/>
              </w:rPr>
              <w:t>283 </w:t>
            </w:r>
          </w:p>
        </w:tc>
        <w:tc>
          <w:tcPr>
            <w:tcW w:w="0" w:type="auto"/>
            <w:shd w:val="clear" w:color="auto" w:fill="FFFFFF"/>
            <w:tcMar>
              <w:top w:w="40" w:type="dxa"/>
              <w:left w:w="0" w:type="dxa"/>
              <w:bottom w:w="40" w:type="dxa"/>
              <w:right w:w="20" w:type="dxa"/>
            </w:tcMar>
            <w:vAlign w:val="bottom"/>
          </w:tcPr>
          <w:p w14:paraId="4090F6B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6B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6B9" w14:textId="77777777" w:rsidR="00833634" w:rsidRDefault="00E15D51">
            <w:pPr>
              <w:jc w:val="right"/>
              <w:textAlignment w:val="bottom"/>
            </w:pPr>
            <w:r>
              <w:rPr>
                <w:rFonts w:ascii="Arial" w:eastAsia="宋体" w:hAnsi="Arial" w:cs="Arial"/>
                <w:b/>
                <w:bCs/>
                <w:color w:val="000000"/>
                <w:sz w:val="20"/>
                <w:szCs w:val="20"/>
              </w:rPr>
              <w:t>44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6B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6B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6BC" w14:textId="77777777" w:rsidR="00833634" w:rsidRDefault="00E15D51">
            <w:pPr>
              <w:jc w:val="right"/>
              <w:textAlignment w:val="bottom"/>
            </w:pPr>
            <w:r>
              <w:rPr>
                <w:rFonts w:ascii="Arial" w:eastAsia="宋体" w:hAnsi="Arial" w:cs="Arial"/>
                <w:color w:val="000000"/>
                <w:sz w:val="20"/>
                <w:szCs w:val="20"/>
              </w:rPr>
              <w:t>100 </w:t>
            </w:r>
          </w:p>
        </w:tc>
        <w:tc>
          <w:tcPr>
            <w:tcW w:w="0" w:type="auto"/>
            <w:shd w:val="clear" w:color="auto" w:fill="FFFFFF"/>
            <w:tcMar>
              <w:top w:w="40" w:type="dxa"/>
              <w:left w:w="0" w:type="dxa"/>
              <w:bottom w:w="40" w:type="dxa"/>
              <w:right w:w="20" w:type="dxa"/>
            </w:tcMar>
            <w:vAlign w:val="bottom"/>
          </w:tcPr>
          <w:p w14:paraId="4090F6BD" w14:textId="77777777" w:rsidR="00833634" w:rsidRDefault="00833634">
            <w:pPr>
              <w:jc w:val="right"/>
              <w:rPr>
                <w:rFonts w:ascii="宋体"/>
              </w:rPr>
            </w:pPr>
          </w:p>
        </w:tc>
      </w:tr>
      <w:tr w:rsidR="00833634" w14:paraId="4090F6CB"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tcPr>
          <w:p w14:paraId="4090F6BF" w14:textId="77777777" w:rsidR="00833634" w:rsidRDefault="00E15D51">
            <w:pPr>
              <w:textAlignment w:val="top"/>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6C0" w14:textId="77777777" w:rsidR="00833634" w:rsidRDefault="00E15D51">
            <w:pPr>
              <w:jc w:val="right"/>
              <w:textAlignment w:val="bottom"/>
            </w:pPr>
            <w:r>
              <w:rPr>
                <w:rFonts w:ascii="Arial" w:eastAsia="宋体" w:hAnsi="Arial" w:cs="Arial"/>
                <w:b/>
                <w:bCs/>
                <w:color w:val="000000"/>
                <w:sz w:val="20"/>
                <w:szCs w:val="20"/>
              </w:rPr>
              <w:t>$1,871</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6C1"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6C2"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6C3" w14:textId="77777777" w:rsidR="00833634" w:rsidRDefault="00E15D51">
            <w:pPr>
              <w:jc w:val="right"/>
              <w:textAlignment w:val="bottom"/>
            </w:pPr>
            <w:r>
              <w:rPr>
                <w:rFonts w:ascii="Arial" w:eastAsia="宋体" w:hAnsi="Arial" w:cs="Arial"/>
                <w:color w:val="000000"/>
                <w:sz w:val="20"/>
                <w:szCs w:val="20"/>
              </w:rPr>
              <w:t>$2,470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6C4"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6C5"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6C6" w14:textId="77777777" w:rsidR="00833634" w:rsidRDefault="00E15D51">
            <w:pPr>
              <w:jc w:val="right"/>
              <w:textAlignment w:val="bottom"/>
            </w:pPr>
            <w:r>
              <w:rPr>
                <w:rFonts w:ascii="Arial" w:eastAsia="宋体" w:hAnsi="Arial" w:cs="Arial"/>
                <w:b/>
                <w:bCs/>
                <w:color w:val="000000"/>
                <w:sz w:val="20"/>
                <w:szCs w:val="20"/>
              </w:rPr>
              <w:t>$574</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6C7"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6C8"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6C9" w14:textId="77777777" w:rsidR="00833634" w:rsidRDefault="00E15D51">
            <w:pPr>
              <w:jc w:val="right"/>
              <w:textAlignment w:val="bottom"/>
            </w:pPr>
            <w:r>
              <w:rPr>
                <w:rFonts w:ascii="Arial" w:eastAsia="宋体" w:hAnsi="Arial" w:cs="Arial"/>
                <w:color w:val="000000"/>
                <w:sz w:val="20"/>
                <w:szCs w:val="20"/>
              </w:rPr>
              <w:t>$778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6CA" w14:textId="77777777" w:rsidR="00833634" w:rsidRDefault="00833634">
            <w:pPr>
              <w:jc w:val="right"/>
              <w:rPr>
                <w:rFonts w:ascii="宋体"/>
              </w:rPr>
            </w:pPr>
          </w:p>
        </w:tc>
      </w:tr>
    </w:tbl>
    <w:p w14:paraId="4090F6CC" w14:textId="77777777" w:rsidR="00833634" w:rsidRDefault="00E15D51">
      <w:pPr>
        <w:spacing w:after="180"/>
        <w:jc w:val="both"/>
      </w:pPr>
      <w:r>
        <w:rPr>
          <w:rFonts w:ascii="Arial" w:eastAsia="宋体" w:hAnsi="Arial" w:cs="Arial"/>
          <w:color w:val="000000"/>
          <w:sz w:val="20"/>
          <w:szCs w:val="20"/>
        </w:rPr>
        <w:t>Research and development expense decreased by $599 million and $204 million during the nine and three months ended September 30, 2020 compare</w:t>
      </w:r>
      <w:r>
        <w:rPr>
          <w:rFonts w:ascii="Arial" w:eastAsia="宋体" w:hAnsi="Arial" w:cs="Arial"/>
          <w:color w:val="000000"/>
          <w:sz w:val="20"/>
          <w:szCs w:val="20"/>
        </w:rPr>
        <w:t xml:space="preserve">d to the same periods in 2019, primarily due to lower spending at BCA on 777X and product development, as well as lower spending on product development at Boeing NeXt. </w:t>
      </w:r>
    </w:p>
    <w:p w14:paraId="4090F6CD" w14:textId="77777777" w:rsidR="00833634" w:rsidRDefault="00E15D51">
      <w:pPr>
        <w:jc w:val="both"/>
      </w:pPr>
      <w:r>
        <w:rPr>
          <w:rFonts w:ascii="Arial" w:eastAsia="宋体" w:hAnsi="Arial" w:cs="Arial"/>
          <w:b/>
          <w:bCs/>
          <w:color w:val="000000"/>
          <w:sz w:val="20"/>
          <w:szCs w:val="20"/>
        </w:rPr>
        <w:t xml:space="preserve">Backlog </w:t>
      </w:r>
    </w:p>
    <w:tbl>
      <w:tblPr>
        <w:tblW w:w="4992" w:type="pct"/>
        <w:tblCellMar>
          <w:top w:w="15" w:type="dxa"/>
          <w:left w:w="15" w:type="dxa"/>
          <w:bottom w:w="15" w:type="dxa"/>
          <w:right w:w="15" w:type="dxa"/>
        </w:tblCellMar>
        <w:tblLook w:val="04A0" w:firstRow="1" w:lastRow="0" w:firstColumn="1" w:lastColumn="0" w:noHBand="0" w:noVBand="1"/>
      </w:tblPr>
      <w:tblGrid>
        <w:gridCol w:w="63"/>
        <w:gridCol w:w="5606"/>
        <w:gridCol w:w="37"/>
        <w:gridCol w:w="67"/>
        <w:gridCol w:w="1233"/>
        <w:gridCol w:w="36"/>
        <w:gridCol w:w="36"/>
        <w:gridCol w:w="36"/>
        <w:gridCol w:w="36"/>
        <w:gridCol w:w="68"/>
        <w:gridCol w:w="1069"/>
        <w:gridCol w:w="36"/>
      </w:tblGrid>
      <w:tr w:rsidR="00833634" w14:paraId="4090F6DA" w14:textId="77777777">
        <w:tc>
          <w:tcPr>
            <w:tcW w:w="50" w:type="pct"/>
            <w:shd w:val="clear" w:color="auto" w:fill="auto"/>
          </w:tcPr>
          <w:p w14:paraId="4090F6CE" w14:textId="77777777" w:rsidR="00833634" w:rsidRDefault="00833634">
            <w:pPr>
              <w:rPr>
                <w:rFonts w:ascii="宋体"/>
              </w:rPr>
            </w:pPr>
          </w:p>
        </w:tc>
        <w:tc>
          <w:tcPr>
            <w:tcW w:w="3379" w:type="pct"/>
            <w:shd w:val="clear" w:color="auto" w:fill="auto"/>
          </w:tcPr>
          <w:p w14:paraId="4090F6CF" w14:textId="77777777" w:rsidR="00833634" w:rsidRDefault="00833634">
            <w:pPr>
              <w:rPr>
                <w:rFonts w:ascii="宋体"/>
              </w:rPr>
            </w:pPr>
          </w:p>
        </w:tc>
        <w:tc>
          <w:tcPr>
            <w:tcW w:w="5" w:type="pct"/>
            <w:shd w:val="clear" w:color="auto" w:fill="auto"/>
          </w:tcPr>
          <w:p w14:paraId="4090F6D0" w14:textId="77777777" w:rsidR="00833634" w:rsidRDefault="00833634">
            <w:pPr>
              <w:rPr>
                <w:rFonts w:ascii="宋体"/>
              </w:rPr>
            </w:pPr>
          </w:p>
        </w:tc>
        <w:tc>
          <w:tcPr>
            <w:tcW w:w="50" w:type="pct"/>
            <w:shd w:val="clear" w:color="auto" w:fill="auto"/>
          </w:tcPr>
          <w:p w14:paraId="4090F6D1" w14:textId="77777777" w:rsidR="00833634" w:rsidRDefault="00833634">
            <w:pPr>
              <w:rPr>
                <w:rFonts w:ascii="宋体"/>
              </w:rPr>
            </w:pPr>
          </w:p>
        </w:tc>
        <w:tc>
          <w:tcPr>
            <w:tcW w:w="755" w:type="pct"/>
            <w:shd w:val="clear" w:color="auto" w:fill="auto"/>
          </w:tcPr>
          <w:p w14:paraId="4090F6D2" w14:textId="77777777" w:rsidR="00833634" w:rsidRDefault="00833634">
            <w:pPr>
              <w:rPr>
                <w:rFonts w:ascii="宋体"/>
              </w:rPr>
            </w:pPr>
          </w:p>
        </w:tc>
        <w:tc>
          <w:tcPr>
            <w:tcW w:w="5" w:type="pct"/>
            <w:shd w:val="clear" w:color="auto" w:fill="auto"/>
          </w:tcPr>
          <w:p w14:paraId="4090F6D3" w14:textId="77777777" w:rsidR="00833634" w:rsidRDefault="00833634">
            <w:pPr>
              <w:rPr>
                <w:rFonts w:ascii="宋体"/>
              </w:rPr>
            </w:pPr>
          </w:p>
        </w:tc>
        <w:tc>
          <w:tcPr>
            <w:tcW w:w="5" w:type="pct"/>
            <w:shd w:val="clear" w:color="auto" w:fill="auto"/>
          </w:tcPr>
          <w:p w14:paraId="4090F6D4" w14:textId="77777777" w:rsidR="00833634" w:rsidRDefault="00833634">
            <w:pPr>
              <w:rPr>
                <w:rFonts w:ascii="宋体"/>
              </w:rPr>
            </w:pPr>
          </w:p>
        </w:tc>
        <w:tc>
          <w:tcPr>
            <w:tcW w:w="30" w:type="pct"/>
            <w:shd w:val="clear" w:color="auto" w:fill="auto"/>
          </w:tcPr>
          <w:p w14:paraId="4090F6D5" w14:textId="77777777" w:rsidR="00833634" w:rsidRDefault="00833634">
            <w:pPr>
              <w:rPr>
                <w:rFonts w:ascii="宋体"/>
              </w:rPr>
            </w:pPr>
          </w:p>
        </w:tc>
        <w:tc>
          <w:tcPr>
            <w:tcW w:w="5" w:type="pct"/>
            <w:shd w:val="clear" w:color="auto" w:fill="auto"/>
          </w:tcPr>
          <w:p w14:paraId="4090F6D6" w14:textId="77777777" w:rsidR="00833634" w:rsidRDefault="00833634">
            <w:pPr>
              <w:rPr>
                <w:rFonts w:ascii="宋体"/>
              </w:rPr>
            </w:pPr>
          </w:p>
        </w:tc>
        <w:tc>
          <w:tcPr>
            <w:tcW w:w="50" w:type="pct"/>
            <w:shd w:val="clear" w:color="auto" w:fill="auto"/>
          </w:tcPr>
          <w:p w14:paraId="4090F6D7" w14:textId="77777777" w:rsidR="00833634" w:rsidRDefault="00833634">
            <w:pPr>
              <w:rPr>
                <w:rFonts w:ascii="宋体"/>
              </w:rPr>
            </w:pPr>
          </w:p>
        </w:tc>
        <w:tc>
          <w:tcPr>
            <w:tcW w:w="659" w:type="pct"/>
            <w:shd w:val="clear" w:color="auto" w:fill="auto"/>
          </w:tcPr>
          <w:p w14:paraId="4090F6D8" w14:textId="77777777" w:rsidR="00833634" w:rsidRDefault="00833634">
            <w:pPr>
              <w:rPr>
                <w:rFonts w:ascii="宋体"/>
              </w:rPr>
            </w:pPr>
          </w:p>
        </w:tc>
        <w:tc>
          <w:tcPr>
            <w:tcW w:w="5" w:type="pct"/>
            <w:shd w:val="clear" w:color="auto" w:fill="auto"/>
          </w:tcPr>
          <w:p w14:paraId="4090F6D9" w14:textId="77777777" w:rsidR="00833634" w:rsidRDefault="00833634">
            <w:pPr>
              <w:rPr>
                <w:rFonts w:ascii="宋体"/>
              </w:rPr>
            </w:pPr>
          </w:p>
        </w:tc>
      </w:tr>
      <w:tr w:rsidR="00833634" w14:paraId="4090F6DF" w14:textId="77777777">
        <w:tc>
          <w:tcPr>
            <w:tcW w:w="0" w:type="auto"/>
            <w:gridSpan w:val="3"/>
            <w:shd w:val="clear" w:color="auto" w:fill="auto"/>
            <w:tcMar>
              <w:top w:w="40" w:type="dxa"/>
              <w:left w:w="20" w:type="dxa"/>
              <w:bottom w:w="40" w:type="dxa"/>
              <w:right w:w="20" w:type="dxa"/>
            </w:tcMar>
            <w:vAlign w:val="bottom"/>
          </w:tcPr>
          <w:p w14:paraId="4090F6DB"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40" w:type="dxa"/>
              <w:left w:w="20" w:type="dxa"/>
              <w:bottom w:w="40" w:type="dxa"/>
              <w:right w:w="20" w:type="dxa"/>
            </w:tcMar>
            <w:vAlign w:val="bottom"/>
          </w:tcPr>
          <w:p w14:paraId="4090F6DC" w14:textId="77777777" w:rsidR="00833634" w:rsidRDefault="00E15D51">
            <w:pPr>
              <w:jc w:val="right"/>
              <w:textAlignment w:val="bottom"/>
            </w:pPr>
            <w:r>
              <w:rPr>
                <w:rFonts w:ascii="Arial" w:eastAsia="宋体" w:hAnsi="Arial" w:cs="Arial"/>
                <w:b/>
                <w:bCs/>
                <w:color w:val="000000"/>
                <w:sz w:val="20"/>
                <w:szCs w:val="20"/>
              </w:rPr>
              <w:t>September 30</w:t>
            </w:r>
            <w:r>
              <w:rPr>
                <w:rFonts w:ascii="Arial" w:eastAsia="宋体" w:hAnsi="Arial" w:cs="Arial"/>
                <w:b/>
                <w:bCs/>
                <w:color w:val="000000"/>
                <w:sz w:val="20"/>
                <w:szCs w:val="20"/>
              </w:rPr>
              <w:br/>
              <w:t>2020</w:t>
            </w:r>
          </w:p>
        </w:tc>
        <w:tc>
          <w:tcPr>
            <w:tcW w:w="0" w:type="auto"/>
            <w:gridSpan w:val="3"/>
            <w:shd w:val="clear" w:color="auto" w:fill="auto"/>
            <w:tcMar>
              <w:top w:w="0" w:type="dxa"/>
              <w:left w:w="20" w:type="dxa"/>
              <w:bottom w:w="0" w:type="dxa"/>
              <w:right w:w="20" w:type="dxa"/>
            </w:tcMar>
          </w:tcPr>
          <w:p w14:paraId="4090F6DD"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6DE" w14:textId="77777777" w:rsidR="00833634" w:rsidRDefault="00E15D51">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2019</w:t>
            </w:r>
          </w:p>
        </w:tc>
      </w:tr>
      <w:tr w:rsidR="00833634" w14:paraId="4090F6E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6E0" w14:textId="77777777" w:rsidR="00833634" w:rsidRDefault="00E15D51">
            <w:pPr>
              <w:textAlignment w:val="bottom"/>
            </w:pPr>
            <w:r>
              <w:rPr>
                <w:rFonts w:ascii="Arial" w:eastAsia="宋体" w:hAnsi="Arial" w:cs="Arial"/>
                <w:color w:val="000000"/>
                <w:sz w:val="20"/>
                <w:szCs w:val="20"/>
              </w:rPr>
              <w:t>Commercial Airplanes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E1" w14:textId="77777777" w:rsidR="00833634" w:rsidRDefault="00E15D51">
            <w:pPr>
              <w:jc w:val="right"/>
              <w:textAlignment w:val="bottom"/>
            </w:pPr>
            <w:r>
              <w:rPr>
                <w:rFonts w:ascii="Arial" w:eastAsia="宋体" w:hAnsi="Arial" w:cs="Arial"/>
                <w:b/>
                <w:bCs/>
                <w:color w:val="000000"/>
                <w:sz w:val="20"/>
                <w:szCs w:val="20"/>
              </w:rPr>
              <w:t>$312,684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E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6E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E4" w14:textId="77777777" w:rsidR="00833634" w:rsidRDefault="00E15D51">
            <w:pPr>
              <w:jc w:val="right"/>
              <w:textAlignment w:val="bottom"/>
            </w:pPr>
            <w:r>
              <w:rPr>
                <w:rFonts w:ascii="Arial" w:eastAsia="宋体" w:hAnsi="Arial" w:cs="Arial"/>
                <w:color w:val="000000"/>
                <w:sz w:val="20"/>
                <w:szCs w:val="20"/>
              </w:rPr>
              <w:t>$376,593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E5" w14:textId="77777777" w:rsidR="00833634" w:rsidRDefault="00833634">
            <w:pPr>
              <w:jc w:val="right"/>
              <w:rPr>
                <w:rFonts w:ascii="宋体"/>
              </w:rPr>
            </w:pPr>
          </w:p>
        </w:tc>
      </w:tr>
      <w:tr w:rsidR="00833634" w14:paraId="4090F6ED" w14:textId="77777777">
        <w:tc>
          <w:tcPr>
            <w:tcW w:w="0" w:type="auto"/>
            <w:gridSpan w:val="3"/>
            <w:shd w:val="clear" w:color="auto" w:fill="FFFFFF"/>
            <w:tcMar>
              <w:top w:w="40" w:type="dxa"/>
              <w:left w:w="20" w:type="dxa"/>
              <w:bottom w:w="40" w:type="dxa"/>
              <w:right w:w="20" w:type="dxa"/>
            </w:tcMar>
            <w:vAlign w:val="bottom"/>
          </w:tcPr>
          <w:p w14:paraId="4090F6E7" w14:textId="77777777" w:rsidR="00833634" w:rsidRDefault="00E15D51">
            <w:pPr>
              <w:textAlignment w:val="bottom"/>
            </w:pPr>
            <w:r>
              <w:rPr>
                <w:rFonts w:ascii="Arial" w:eastAsia="宋体" w:hAnsi="Arial" w:cs="Arial"/>
                <w:color w:val="000000"/>
                <w:sz w:val="20"/>
                <w:szCs w:val="20"/>
              </w:rPr>
              <w:t>Defense, Space &amp; Security</w:t>
            </w:r>
          </w:p>
        </w:tc>
        <w:tc>
          <w:tcPr>
            <w:tcW w:w="0" w:type="auto"/>
            <w:gridSpan w:val="2"/>
            <w:shd w:val="clear" w:color="auto" w:fill="FFFFFF"/>
            <w:tcMar>
              <w:top w:w="40" w:type="dxa"/>
              <w:left w:w="20" w:type="dxa"/>
              <w:bottom w:w="40" w:type="dxa"/>
              <w:right w:w="0" w:type="dxa"/>
            </w:tcMar>
            <w:vAlign w:val="bottom"/>
          </w:tcPr>
          <w:p w14:paraId="4090F6E8" w14:textId="77777777" w:rsidR="00833634" w:rsidRDefault="00E15D51">
            <w:pPr>
              <w:jc w:val="right"/>
              <w:textAlignment w:val="bottom"/>
            </w:pPr>
            <w:r>
              <w:rPr>
                <w:rFonts w:ascii="Arial" w:eastAsia="宋体" w:hAnsi="Arial" w:cs="Arial"/>
                <w:b/>
                <w:bCs/>
                <w:color w:val="000000"/>
                <w:sz w:val="20"/>
                <w:szCs w:val="20"/>
              </w:rPr>
              <w:t>62,375</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6E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6E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6EB" w14:textId="77777777" w:rsidR="00833634" w:rsidRDefault="00E15D51">
            <w:pPr>
              <w:jc w:val="right"/>
              <w:textAlignment w:val="bottom"/>
            </w:pPr>
            <w:r>
              <w:rPr>
                <w:rFonts w:ascii="Arial" w:eastAsia="宋体" w:hAnsi="Arial" w:cs="Arial"/>
                <w:color w:val="000000"/>
                <w:sz w:val="20"/>
                <w:szCs w:val="20"/>
              </w:rPr>
              <w:t>63,691 </w:t>
            </w:r>
          </w:p>
        </w:tc>
        <w:tc>
          <w:tcPr>
            <w:tcW w:w="0" w:type="auto"/>
            <w:shd w:val="clear" w:color="auto" w:fill="FFFFFF"/>
            <w:tcMar>
              <w:top w:w="40" w:type="dxa"/>
              <w:left w:w="0" w:type="dxa"/>
              <w:bottom w:w="40" w:type="dxa"/>
              <w:right w:w="20" w:type="dxa"/>
            </w:tcMar>
            <w:vAlign w:val="bottom"/>
          </w:tcPr>
          <w:p w14:paraId="4090F6EC" w14:textId="77777777" w:rsidR="00833634" w:rsidRDefault="00833634">
            <w:pPr>
              <w:jc w:val="right"/>
              <w:rPr>
                <w:rFonts w:ascii="宋体"/>
              </w:rPr>
            </w:pPr>
          </w:p>
        </w:tc>
      </w:tr>
      <w:tr w:rsidR="00833634" w14:paraId="4090F6F4" w14:textId="77777777">
        <w:tc>
          <w:tcPr>
            <w:tcW w:w="0" w:type="auto"/>
            <w:gridSpan w:val="3"/>
            <w:shd w:val="clear" w:color="auto" w:fill="CCEEFF"/>
            <w:tcMar>
              <w:top w:w="40" w:type="dxa"/>
              <w:left w:w="20" w:type="dxa"/>
              <w:bottom w:w="40" w:type="dxa"/>
              <w:right w:w="20" w:type="dxa"/>
            </w:tcMar>
            <w:vAlign w:val="bottom"/>
          </w:tcPr>
          <w:p w14:paraId="4090F6EE" w14:textId="77777777" w:rsidR="00833634" w:rsidRDefault="00E15D51">
            <w:pPr>
              <w:textAlignment w:val="bottom"/>
            </w:pPr>
            <w:r>
              <w:rPr>
                <w:rFonts w:ascii="Arial" w:eastAsia="宋体" w:hAnsi="Arial" w:cs="Arial"/>
                <w:color w:val="000000"/>
                <w:sz w:val="20"/>
                <w:szCs w:val="20"/>
              </w:rPr>
              <w:t>Global Services</w:t>
            </w:r>
          </w:p>
        </w:tc>
        <w:tc>
          <w:tcPr>
            <w:tcW w:w="0" w:type="auto"/>
            <w:gridSpan w:val="2"/>
            <w:shd w:val="clear" w:color="auto" w:fill="CCEEFF"/>
            <w:tcMar>
              <w:top w:w="40" w:type="dxa"/>
              <w:left w:w="20" w:type="dxa"/>
              <w:bottom w:w="40" w:type="dxa"/>
              <w:right w:w="0" w:type="dxa"/>
            </w:tcMar>
            <w:vAlign w:val="bottom"/>
          </w:tcPr>
          <w:p w14:paraId="4090F6EF" w14:textId="77777777" w:rsidR="00833634" w:rsidRDefault="00E15D51">
            <w:pPr>
              <w:jc w:val="right"/>
              <w:textAlignment w:val="bottom"/>
            </w:pPr>
            <w:r>
              <w:rPr>
                <w:rFonts w:ascii="Arial" w:eastAsia="宋体" w:hAnsi="Arial" w:cs="Arial"/>
                <w:b/>
                <w:bCs/>
                <w:color w:val="000000"/>
                <w:sz w:val="20"/>
                <w:szCs w:val="20"/>
              </w:rPr>
              <w:t>17,464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6F0"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6F1"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6F2" w14:textId="77777777" w:rsidR="00833634" w:rsidRDefault="00E15D51">
            <w:pPr>
              <w:jc w:val="right"/>
              <w:textAlignment w:val="bottom"/>
            </w:pPr>
            <w:r>
              <w:rPr>
                <w:rFonts w:ascii="Arial" w:eastAsia="宋体" w:hAnsi="Arial" w:cs="Arial"/>
                <w:color w:val="000000"/>
                <w:sz w:val="20"/>
                <w:szCs w:val="20"/>
              </w:rPr>
              <w:t>22,902 </w:t>
            </w:r>
          </w:p>
        </w:tc>
        <w:tc>
          <w:tcPr>
            <w:tcW w:w="0" w:type="auto"/>
            <w:shd w:val="clear" w:color="auto" w:fill="CCEEFF"/>
            <w:tcMar>
              <w:top w:w="40" w:type="dxa"/>
              <w:left w:w="0" w:type="dxa"/>
              <w:bottom w:w="40" w:type="dxa"/>
              <w:right w:w="20" w:type="dxa"/>
            </w:tcMar>
            <w:vAlign w:val="bottom"/>
          </w:tcPr>
          <w:p w14:paraId="4090F6F3" w14:textId="77777777" w:rsidR="00833634" w:rsidRDefault="00833634">
            <w:pPr>
              <w:jc w:val="right"/>
              <w:rPr>
                <w:rFonts w:ascii="宋体"/>
              </w:rPr>
            </w:pPr>
          </w:p>
        </w:tc>
      </w:tr>
      <w:tr w:rsidR="00833634" w14:paraId="4090F6FB" w14:textId="77777777">
        <w:tc>
          <w:tcPr>
            <w:tcW w:w="0" w:type="auto"/>
            <w:gridSpan w:val="3"/>
            <w:shd w:val="clear" w:color="auto" w:fill="auto"/>
            <w:tcMar>
              <w:top w:w="40" w:type="dxa"/>
              <w:left w:w="20" w:type="dxa"/>
              <w:bottom w:w="40" w:type="dxa"/>
              <w:right w:w="20" w:type="dxa"/>
            </w:tcMar>
            <w:vAlign w:val="bottom"/>
          </w:tcPr>
          <w:p w14:paraId="4090F6F5" w14:textId="77777777" w:rsidR="00833634" w:rsidRDefault="00E15D51">
            <w:pPr>
              <w:textAlignment w:val="bottom"/>
            </w:pPr>
            <w:r>
              <w:rPr>
                <w:rFonts w:ascii="Arial" w:eastAsia="宋体" w:hAnsi="Arial" w:cs="Arial"/>
                <w:color w:val="000000"/>
                <w:sz w:val="20"/>
                <w:szCs w:val="20"/>
              </w:rPr>
              <w:t>Unallocated items, eliminations and other</w:t>
            </w:r>
          </w:p>
        </w:tc>
        <w:tc>
          <w:tcPr>
            <w:tcW w:w="0" w:type="auto"/>
            <w:gridSpan w:val="2"/>
            <w:shd w:val="clear" w:color="auto" w:fill="auto"/>
            <w:tcMar>
              <w:top w:w="40" w:type="dxa"/>
              <w:left w:w="20" w:type="dxa"/>
              <w:bottom w:w="40" w:type="dxa"/>
              <w:right w:w="0" w:type="dxa"/>
            </w:tcMar>
            <w:vAlign w:val="bottom"/>
          </w:tcPr>
          <w:p w14:paraId="4090F6F6" w14:textId="77777777" w:rsidR="00833634" w:rsidRDefault="00E15D51">
            <w:pPr>
              <w:jc w:val="right"/>
              <w:textAlignment w:val="bottom"/>
            </w:pPr>
            <w:r>
              <w:rPr>
                <w:rFonts w:ascii="Arial" w:eastAsia="宋体" w:hAnsi="Arial" w:cs="Arial"/>
                <w:b/>
                <w:bCs/>
                <w:color w:val="000000"/>
                <w:sz w:val="20"/>
                <w:szCs w:val="20"/>
              </w:rPr>
              <w:t>544</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6F7"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6F8"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6F9" w14:textId="77777777" w:rsidR="00833634" w:rsidRDefault="00E15D51">
            <w:pPr>
              <w:jc w:val="right"/>
              <w:textAlignment w:val="bottom"/>
            </w:pPr>
            <w:r>
              <w:rPr>
                <w:rFonts w:ascii="Arial" w:eastAsia="宋体" w:hAnsi="Arial" w:cs="Arial"/>
                <w:color w:val="000000"/>
                <w:sz w:val="20"/>
                <w:szCs w:val="20"/>
              </w:rPr>
              <w:t>217 </w:t>
            </w:r>
          </w:p>
        </w:tc>
        <w:tc>
          <w:tcPr>
            <w:tcW w:w="0" w:type="auto"/>
            <w:shd w:val="clear" w:color="auto" w:fill="auto"/>
            <w:tcMar>
              <w:top w:w="40" w:type="dxa"/>
              <w:left w:w="0" w:type="dxa"/>
              <w:bottom w:w="40" w:type="dxa"/>
              <w:right w:w="20" w:type="dxa"/>
            </w:tcMar>
            <w:vAlign w:val="bottom"/>
          </w:tcPr>
          <w:p w14:paraId="4090F6FA" w14:textId="77777777" w:rsidR="00833634" w:rsidRDefault="00833634">
            <w:pPr>
              <w:jc w:val="right"/>
              <w:rPr>
                <w:rFonts w:ascii="宋体"/>
              </w:rPr>
            </w:pPr>
          </w:p>
        </w:tc>
      </w:tr>
      <w:tr w:rsidR="00833634" w14:paraId="4090F702"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6FC" w14:textId="77777777" w:rsidR="00833634" w:rsidRDefault="00E15D51">
            <w:pPr>
              <w:textAlignment w:val="bottom"/>
            </w:pPr>
            <w:r>
              <w:rPr>
                <w:rFonts w:ascii="Arial" w:eastAsia="宋体" w:hAnsi="Arial" w:cs="Arial"/>
                <w:b/>
                <w:bCs/>
                <w:color w:val="000000"/>
                <w:sz w:val="20"/>
                <w:szCs w:val="20"/>
              </w:rPr>
              <w:t>Total Backlog</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6FD" w14:textId="77777777" w:rsidR="00833634" w:rsidRDefault="00E15D51">
            <w:pPr>
              <w:jc w:val="right"/>
              <w:textAlignment w:val="bottom"/>
            </w:pPr>
            <w:r>
              <w:rPr>
                <w:rFonts w:ascii="Arial" w:eastAsia="宋体" w:hAnsi="Arial" w:cs="Arial"/>
                <w:b/>
                <w:bCs/>
                <w:color w:val="000000"/>
                <w:sz w:val="20"/>
                <w:szCs w:val="20"/>
              </w:rPr>
              <w:t>$393,067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6F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6F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00" w14:textId="77777777" w:rsidR="00833634" w:rsidRDefault="00E15D51">
            <w:pPr>
              <w:jc w:val="right"/>
              <w:textAlignment w:val="bottom"/>
            </w:pPr>
            <w:r>
              <w:rPr>
                <w:rFonts w:ascii="Arial" w:eastAsia="宋体" w:hAnsi="Arial" w:cs="Arial"/>
                <w:color w:val="000000"/>
                <w:sz w:val="20"/>
                <w:szCs w:val="20"/>
              </w:rPr>
              <w:t>$463,403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01" w14:textId="77777777" w:rsidR="00833634" w:rsidRDefault="00833634">
            <w:pPr>
              <w:jc w:val="right"/>
              <w:rPr>
                <w:rFonts w:ascii="宋体"/>
              </w:rPr>
            </w:pPr>
          </w:p>
        </w:tc>
      </w:tr>
      <w:tr w:rsidR="00833634" w14:paraId="4090F707" w14:textId="77777777">
        <w:trPr>
          <w:trHeight w:val="60"/>
        </w:trPr>
        <w:tc>
          <w:tcPr>
            <w:tcW w:w="0" w:type="auto"/>
            <w:gridSpan w:val="3"/>
            <w:tcBorders>
              <w:top w:val="double" w:sz="6" w:space="0" w:color="000000"/>
            </w:tcBorders>
            <w:shd w:val="clear" w:color="auto" w:fill="FFFFFF"/>
            <w:tcMar>
              <w:top w:w="0" w:type="dxa"/>
              <w:left w:w="20" w:type="dxa"/>
              <w:bottom w:w="0" w:type="dxa"/>
              <w:right w:w="20" w:type="dxa"/>
            </w:tcMar>
          </w:tcPr>
          <w:p w14:paraId="4090F703"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704"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705"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706" w14:textId="77777777" w:rsidR="00833634" w:rsidRDefault="00833634">
            <w:pPr>
              <w:rPr>
                <w:rFonts w:ascii="宋体"/>
              </w:rPr>
            </w:pPr>
          </w:p>
        </w:tc>
      </w:tr>
      <w:tr w:rsidR="00833634" w14:paraId="4090F70E" w14:textId="77777777">
        <w:tc>
          <w:tcPr>
            <w:tcW w:w="0" w:type="auto"/>
            <w:gridSpan w:val="3"/>
            <w:shd w:val="clear" w:color="auto" w:fill="CCEEFF"/>
            <w:tcMar>
              <w:top w:w="40" w:type="dxa"/>
              <w:left w:w="20" w:type="dxa"/>
              <w:bottom w:w="40" w:type="dxa"/>
              <w:right w:w="20" w:type="dxa"/>
            </w:tcMar>
            <w:vAlign w:val="bottom"/>
          </w:tcPr>
          <w:p w14:paraId="4090F708" w14:textId="77777777" w:rsidR="00833634" w:rsidRDefault="00E15D51">
            <w:pPr>
              <w:textAlignment w:val="bottom"/>
            </w:pPr>
            <w:r>
              <w:rPr>
                <w:rFonts w:ascii="Arial" w:eastAsia="宋体" w:hAnsi="Arial" w:cs="Arial"/>
                <w:color w:val="000000"/>
                <w:sz w:val="20"/>
                <w:szCs w:val="20"/>
              </w:rPr>
              <w:t>Contractual backlog</w:t>
            </w:r>
          </w:p>
        </w:tc>
        <w:tc>
          <w:tcPr>
            <w:tcW w:w="0" w:type="auto"/>
            <w:gridSpan w:val="2"/>
            <w:shd w:val="clear" w:color="auto" w:fill="CCEEFF"/>
            <w:tcMar>
              <w:top w:w="40" w:type="dxa"/>
              <w:left w:w="20" w:type="dxa"/>
              <w:bottom w:w="40" w:type="dxa"/>
              <w:right w:w="0" w:type="dxa"/>
            </w:tcMar>
            <w:vAlign w:val="bottom"/>
          </w:tcPr>
          <w:p w14:paraId="4090F709" w14:textId="77777777" w:rsidR="00833634" w:rsidRDefault="00E15D51">
            <w:pPr>
              <w:jc w:val="right"/>
              <w:textAlignment w:val="bottom"/>
            </w:pPr>
            <w:r>
              <w:rPr>
                <w:rFonts w:ascii="Arial" w:eastAsia="宋体" w:hAnsi="Arial" w:cs="Arial"/>
                <w:b/>
                <w:bCs/>
                <w:color w:val="000000"/>
                <w:sz w:val="20"/>
                <w:szCs w:val="20"/>
              </w:rPr>
              <w:t>$368,916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70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70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70C" w14:textId="77777777" w:rsidR="00833634" w:rsidRDefault="00E15D51">
            <w:pPr>
              <w:jc w:val="right"/>
              <w:textAlignment w:val="bottom"/>
            </w:pPr>
            <w:r>
              <w:rPr>
                <w:rFonts w:ascii="Arial" w:eastAsia="宋体" w:hAnsi="Arial" w:cs="Arial"/>
                <w:color w:val="000000"/>
                <w:sz w:val="20"/>
                <w:szCs w:val="20"/>
              </w:rPr>
              <w:t>$436,473 </w:t>
            </w:r>
          </w:p>
        </w:tc>
        <w:tc>
          <w:tcPr>
            <w:tcW w:w="0" w:type="auto"/>
            <w:shd w:val="clear" w:color="auto" w:fill="CCEEFF"/>
            <w:tcMar>
              <w:top w:w="40" w:type="dxa"/>
              <w:left w:w="0" w:type="dxa"/>
              <w:bottom w:w="40" w:type="dxa"/>
              <w:right w:w="20" w:type="dxa"/>
            </w:tcMar>
            <w:vAlign w:val="bottom"/>
          </w:tcPr>
          <w:p w14:paraId="4090F70D" w14:textId="77777777" w:rsidR="00833634" w:rsidRDefault="00833634">
            <w:pPr>
              <w:jc w:val="right"/>
              <w:rPr>
                <w:rFonts w:ascii="宋体"/>
              </w:rPr>
            </w:pPr>
          </w:p>
        </w:tc>
      </w:tr>
      <w:tr w:rsidR="00833634" w14:paraId="4090F715" w14:textId="77777777">
        <w:tc>
          <w:tcPr>
            <w:tcW w:w="0" w:type="auto"/>
            <w:gridSpan w:val="3"/>
            <w:shd w:val="clear" w:color="auto" w:fill="FFFFFF"/>
            <w:tcMar>
              <w:top w:w="40" w:type="dxa"/>
              <w:left w:w="20" w:type="dxa"/>
              <w:bottom w:w="40" w:type="dxa"/>
              <w:right w:w="20" w:type="dxa"/>
            </w:tcMar>
            <w:vAlign w:val="bottom"/>
          </w:tcPr>
          <w:p w14:paraId="4090F70F" w14:textId="77777777" w:rsidR="00833634" w:rsidRDefault="00E15D51">
            <w:pPr>
              <w:textAlignment w:val="bottom"/>
            </w:pPr>
            <w:r>
              <w:rPr>
                <w:rFonts w:ascii="Arial" w:eastAsia="宋体" w:hAnsi="Arial" w:cs="Arial"/>
                <w:color w:val="000000"/>
                <w:sz w:val="20"/>
                <w:szCs w:val="20"/>
              </w:rPr>
              <w:t>Unobligated backlog</w:t>
            </w:r>
          </w:p>
        </w:tc>
        <w:tc>
          <w:tcPr>
            <w:tcW w:w="0" w:type="auto"/>
            <w:gridSpan w:val="2"/>
            <w:shd w:val="clear" w:color="auto" w:fill="FFFFFF"/>
            <w:tcMar>
              <w:top w:w="40" w:type="dxa"/>
              <w:left w:w="20" w:type="dxa"/>
              <w:bottom w:w="40" w:type="dxa"/>
              <w:right w:w="0" w:type="dxa"/>
            </w:tcMar>
            <w:vAlign w:val="bottom"/>
          </w:tcPr>
          <w:p w14:paraId="4090F710" w14:textId="77777777" w:rsidR="00833634" w:rsidRDefault="00E15D51">
            <w:pPr>
              <w:jc w:val="right"/>
              <w:textAlignment w:val="bottom"/>
            </w:pPr>
            <w:r>
              <w:rPr>
                <w:rFonts w:ascii="Arial" w:eastAsia="宋体" w:hAnsi="Arial" w:cs="Arial"/>
                <w:b/>
                <w:bCs/>
                <w:color w:val="000000"/>
                <w:sz w:val="20"/>
                <w:szCs w:val="20"/>
              </w:rPr>
              <w:t>24,151</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71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71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713" w14:textId="77777777" w:rsidR="00833634" w:rsidRDefault="00E15D51">
            <w:pPr>
              <w:jc w:val="right"/>
              <w:textAlignment w:val="bottom"/>
            </w:pPr>
            <w:r>
              <w:rPr>
                <w:rFonts w:ascii="Arial" w:eastAsia="宋体" w:hAnsi="Arial" w:cs="Arial"/>
                <w:color w:val="000000"/>
                <w:sz w:val="20"/>
                <w:szCs w:val="20"/>
              </w:rPr>
              <w:t>26,930 </w:t>
            </w:r>
          </w:p>
        </w:tc>
        <w:tc>
          <w:tcPr>
            <w:tcW w:w="0" w:type="auto"/>
            <w:shd w:val="clear" w:color="auto" w:fill="FFFFFF"/>
            <w:tcMar>
              <w:top w:w="40" w:type="dxa"/>
              <w:left w:w="0" w:type="dxa"/>
              <w:bottom w:w="40" w:type="dxa"/>
              <w:right w:w="20" w:type="dxa"/>
            </w:tcMar>
            <w:vAlign w:val="bottom"/>
          </w:tcPr>
          <w:p w14:paraId="4090F714" w14:textId="77777777" w:rsidR="00833634" w:rsidRDefault="00833634">
            <w:pPr>
              <w:jc w:val="right"/>
              <w:rPr>
                <w:rFonts w:ascii="宋体"/>
              </w:rPr>
            </w:pPr>
          </w:p>
        </w:tc>
      </w:tr>
      <w:tr w:rsidR="00833634" w14:paraId="4090F71C"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F716" w14:textId="77777777" w:rsidR="00833634" w:rsidRDefault="00E15D51">
            <w:pPr>
              <w:textAlignment w:val="bottom"/>
            </w:pPr>
            <w:r>
              <w:rPr>
                <w:rFonts w:ascii="Arial" w:eastAsia="宋体" w:hAnsi="Arial" w:cs="Arial"/>
                <w:b/>
                <w:bCs/>
                <w:color w:val="000000"/>
                <w:sz w:val="20"/>
                <w:szCs w:val="20"/>
              </w:rPr>
              <w:t>Total Backlog</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717" w14:textId="77777777" w:rsidR="00833634" w:rsidRDefault="00E15D51">
            <w:pPr>
              <w:jc w:val="right"/>
              <w:textAlignment w:val="bottom"/>
            </w:pPr>
            <w:r>
              <w:rPr>
                <w:rFonts w:ascii="Arial" w:eastAsia="宋体" w:hAnsi="Arial" w:cs="Arial"/>
                <w:b/>
                <w:bCs/>
                <w:color w:val="000000"/>
                <w:sz w:val="20"/>
                <w:szCs w:val="20"/>
              </w:rPr>
              <w:t>$393,067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718"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719"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4090F71A" w14:textId="77777777" w:rsidR="00833634" w:rsidRDefault="00E15D51">
            <w:pPr>
              <w:jc w:val="right"/>
              <w:textAlignment w:val="bottom"/>
            </w:pPr>
            <w:r>
              <w:rPr>
                <w:rFonts w:ascii="Arial" w:eastAsia="宋体" w:hAnsi="Arial" w:cs="Arial"/>
                <w:color w:val="000000"/>
                <w:sz w:val="20"/>
                <w:szCs w:val="20"/>
              </w:rPr>
              <w:t>$463,403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4090F71B" w14:textId="77777777" w:rsidR="00833634" w:rsidRDefault="00833634">
            <w:pPr>
              <w:jc w:val="right"/>
              <w:rPr>
                <w:rFonts w:ascii="宋体"/>
              </w:rPr>
            </w:pPr>
          </w:p>
        </w:tc>
      </w:tr>
    </w:tbl>
    <w:p w14:paraId="4090F71D" w14:textId="77777777" w:rsidR="00833634" w:rsidRDefault="00E15D51">
      <w:pPr>
        <w:spacing w:after="180"/>
        <w:jc w:val="both"/>
      </w:pPr>
      <w:r>
        <w:rPr>
          <w:rFonts w:ascii="Arial" w:eastAsia="宋体" w:hAnsi="Arial" w:cs="Arial"/>
          <w:color w:val="000000"/>
          <w:sz w:val="20"/>
          <w:szCs w:val="20"/>
        </w:rPr>
        <w:t xml:space="preserve">Contractual backlog of unfilled orders excludes purchase options, announced orders for which definitive contracts have not been executed, and </w:t>
      </w:r>
      <w:r>
        <w:rPr>
          <w:rFonts w:ascii="Arial" w:eastAsia="宋体" w:hAnsi="Arial" w:cs="Arial"/>
          <w:color w:val="000000"/>
          <w:sz w:val="20"/>
          <w:szCs w:val="20"/>
        </w:rPr>
        <w:t>unobligated U.S. and non-U.S. government contract funding. The decrease during the nine months ended September 30, 2020 was primarily due to a reduction for orders that in our assessment no longer meet the accounting requirements of ASC 606 for inclusion i</w:t>
      </w:r>
      <w:r>
        <w:rPr>
          <w:rFonts w:ascii="Arial" w:eastAsia="宋体" w:hAnsi="Arial" w:cs="Arial"/>
          <w:color w:val="000000"/>
          <w:sz w:val="20"/>
          <w:szCs w:val="20"/>
        </w:rPr>
        <w:t>n backlog, deliveries in excess of new orders, aircraft order cancellations and changes in projected price escalation. We are experiencing fewer new 737 MAX orders than we were receiving prior to the grounding. If 737 MAX aircraft remain grounded for an ex</w:t>
      </w:r>
      <w:r>
        <w:rPr>
          <w:rFonts w:ascii="Arial" w:eastAsia="宋体" w:hAnsi="Arial" w:cs="Arial"/>
          <w:color w:val="000000"/>
          <w:sz w:val="20"/>
          <w:szCs w:val="20"/>
        </w:rPr>
        <w:t>tended period of time, we may experience additional reductions to backlog and/or significant order cancellations. Additionally, we may experience fewer new orders and increased cancellations across all of our commercial airplane programs as a result of the</w:t>
      </w:r>
      <w:r>
        <w:rPr>
          <w:rFonts w:ascii="Arial" w:eastAsia="宋体" w:hAnsi="Arial" w:cs="Arial"/>
          <w:color w:val="000000"/>
          <w:sz w:val="20"/>
          <w:szCs w:val="20"/>
        </w:rPr>
        <w:t xml:space="preserve"> COVID-19 pandemic and associated impacts on demand.</w:t>
      </w:r>
    </w:p>
    <w:p w14:paraId="4090F71E" w14:textId="77777777" w:rsidR="00833634" w:rsidRDefault="00E15D51">
      <w:pPr>
        <w:spacing w:after="180"/>
        <w:jc w:val="both"/>
      </w:pPr>
      <w:r>
        <w:rPr>
          <w:rFonts w:ascii="Arial" w:eastAsia="宋体" w:hAnsi="Arial" w:cs="Arial"/>
          <w:color w:val="000000"/>
          <w:sz w:val="20"/>
          <w:szCs w:val="20"/>
        </w:rPr>
        <w:t>Unobligated backlog includes U.S. and non-U.S. government definitive contracts for which funding has not been authorized. The decrease during the nine months ended September 30, 2020 was primarily due to</w:t>
      </w:r>
      <w:r>
        <w:rPr>
          <w:rFonts w:ascii="Arial" w:eastAsia="宋体" w:hAnsi="Arial" w:cs="Arial"/>
          <w:color w:val="000000"/>
          <w:sz w:val="20"/>
          <w:szCs w:val="20"/>
        </w:rPr>
        <w:t xml:space="preserve"> reclassifications to contractual backlog related to BGS and BDS contracts, partially offset by contract awards.</w:t>
      </w:r>
    </w:p>
    <w:p w14:paraId="4090F71F" w14:textId="77777777" w:rsidR="00833634" w:rsidRDefault="00E15D51">
      <w:pPr>
        <w:spacing w:after="180"/>
        <w:jc w:val="center"/>
      </w:pPr>
      <w:r>
        <w:rPr>
          <w:rFonts w:ascii="Arial" w:eastAsia="宋体" w:hAnsi="Arial" w:cs="Arial"/>
          <w:color w:val="000000"/>
          <w:sz w:val="18"/>
          <w:szCs w:val="18"/>
        </w:rPr>
        <w:t>45</w:t>
      </w:r>
    </w:p>
    <w:p w14:paraId="4090F720" w14:textId="77777777" w:rsidR="00833634" w:rsidRDefault="00E15D51">
      <w:r>
        <w:pict w14:anchorId="4090FE4D">
          <v:rect id="_x0000_i1071" style="width:415.3pt;height:1.5pt" o:hralign="center" o:hrstd="t" o:hr="t" fillcolor="#a0a0a0" stroked="f"/>
        </w:pict>
      </w:r>
    </w:p>
    <w:p w14:paraId="4090F721" w14:textId="77777777" w:rsidR="00833634" w:rsidRDefault="00E15D51">
      <w:pPr>
        <w:spacing w:after="180"/>
        <w:jc w:val="both"/>
      </w:pPr>
      <w:hyperlink r:id="rId148" w:anchor="i8d805bfb1e1c4815a1dcd5b6d1e0b117_10" w:history="1">
        <w:r>
          <w:rPr>
            <w:rStyle w:val="a5"/>
            <w:rFonts w:ascii="Arial" w:eastAsia="宋体" w:hAnsi="Arial" w:cs="Arial"/>
            <w:sz w:val="18"/>
            <w:szCs w:val="18"/>
          </w:rPr>
          <w:t>Table of Contents</w:t>
        </w:r>
      </w:hyperlink>
    </w:p>
    <w:p w14:paraId="4090F722" w14:textId="77777777" w:rsidR="00833634" w:rsidRDefault="00E15D51">
      <w:pPr>
        <w:spacing w:before="180" w:after="180"/>
        <w:jc w:val="both"/>
      </w:pPr>
      <w:r>
        <w:rPr>
          <w:rFonts w:ascii="Arial" w:eastAsia="宋体" w:hAnsi="Arial" w:cs="Arial"/>
          <w:b/>
          <w:bCs/>
          <w:color w:val="000000"/>
          <w:sz w:val="20"/>
          <w:szCs w:val="20"/>
        </w:rPr>
        <w:t>Additional Considerations</w:t>
      </w:r>
    </w:p>
    <w:p w14:paraId="4090F723" w14:textId="77777777" w:rsidR="00833634" w:rsidRDefault="00E15D51">
      <w:pPr>
        <w:spacing w:after="180"/>
        <w:jc w:val="both"/>
      </w:pPr>
      <w:r>
        <w:rPr>
          <w:rFonts w:ascii="Arial" w:eastAsia="宋体" w:hAnsi="Arial" w:cs="Arial"/>
          <w:b/>
          <w:bCs/>
          <w:color w:val="000000"/>
          <w:sz w:val="20"/>
          <w:szCs w:val="20"/>
        </w:rPr>
        <w:t xml:space="preserve">Global Trade </w:t>
      </w:r>
      <w:r>
        <w:rPr>
          <w:rFonts w:ascii="Arial" w:eastAsia="宋体" w:hAnsi="Arial" w:cs="Arial"/>
          <w:color w:val="000000"/>
          <w:sz w:val="20"/>
          <w:szCs w:val="20"/>
        </w:rPr>
        <w:t xml:space="preserve">We continually monitor the global trade environment in response to geopolitical economic developments, as well as changes in tariffs, trade agreements, or sanctions that may impact the Company. </w:t>
      </w:r>
    </w:p>
    <w:p w14:paraId="4090F724" w14:textId="77777777" w:rsidR="00833634" w:rsidRDefault="00E15D51">
      <w:pPr>
        <w:spacing w:after="180"/>
        <w:jc w:val="both"/>
      </w:pPr>
      <w:r>
        <w:rPr>
          <w:rFonts w:ascii="Arial" w:eastAsia="宋体" w:hAnsi="Arial" w:cs="Arial"/>
          <w:color w:val="000000"/>
          <w:sz w:val="20"/>
          <w:szCs w:val="20"/>
        </w:rPr>
        <w:t>The global economy is currently experiencing significant adve</w:t>
      </w:r>
      <w:r>
        <w:rPr>
          <w:rFonts w:ascii="Arial" w:eastAsia="宋体" w:hAnsi="Arial" w:cs="Arial"/>
          <w:color w:val="000000"/>
          <w:sz w:val="20"/>
          <w:szCs w:val="20"/>
        </w:rPr>
        <w:t>rse impacts due to the COVID-19 pandemic, including a decline in overall trade in general and in aerospace in particular. There is a great deal of uncertainty regarding the duration, scale, and localization of these impacts to the global economy and govern</w:t>
      </w:r>
      <w:r>
        <w:rPr>
          <w:rFonts w:ascii="Arial" w:eastAsia="宋体" w:hAnsi="Arial" w:cs="Arial"/>
          <w:color w:val="000000"/>
          <w:sz w:val="20"/>
          <w:szCs w:val="20"/>
        </w:rPr>
        <w:t>ments are enacting a wide range of responses to mitigate the unfolding economic impacts. We are closely monitoring the current impact and potential future economic consequences of COVID-19 to the global economy, the aerospace sector, and our Company. These</w:t>
      </w:r>
      <w:r>
        <w:rPr>
          <w:rFonts w:ascii="Arial" w:eastAsia="宋体" w:hAnsi="Arial" w:cs="Arial"/>
          <w:color w:val="000000"/>
          <w:sz w:val="20"/>
          <w:szCs w:val="20"/>
        </w:rPr>
        <w:t xml:space="preserve"> adverse economic impacts have resulted in fewer orders than previously anticipated for our commercial aircraft. </w:t>
      </w:r>
    </w:p>
    <w:p w14:paraId="4090F725" w14:textId="77777777" w:rsidR="00833634" w:rsidRDefault="00E15D51">
      <w:pPr>
        <w:spacing w:after="180"/>
        <w:jc w:val="both"/>
      </w:pPr>
      <w:r>
        <w:rPr>
          <w:rFonts w:ascii="Arial" w:eastAsia="宋体" w:hAnsi="Arial" w:cs="Arial"/>
          <w:color w:val="000000"/>
          <w:sz w:val="20"/>
          <w:szCs w:val="20"/>
        </w:rPr>
        <w:t>Since 2018, the U.S. and China imposed an escalating series of tariffs on each other’s imports. Certain aircraft parts and components that Boe</w:t>
      </w:r>
      <w:r>
        <w:rPr>
          <w:rFonts w:ascii="Arial" w:eastAsia="宋体" w:hAnsi="Arial" w:cs="Arial"/>
          <w:color w:val="000000"/>
          <w:sz w:val="20"/>
          <w:szCs w:val="20"/>
        </w:rPr>
        <w:t xml:space="preserve">ing procures are subject to these tariffs. The U.S. and China entered into a Phase I agreement in January 2020. However, implementation of this agreement is incomplete and overall diplomatic relations between the U.S. and China have deteriorated in recent </w:t>
      </w:r>
      <w:r>
        <w:rPr>
          <w:rFonts w:ascii="Arial" w:eastAsia="宋体" w:hAnsi="Arial" w:cs="Arial"/>
          <w:color w:val="000000"/>
          <w:sz w:val="20"/>
          <w:szCs w:val="20"/>
        </w:rPr>
        <w:t>months. We continue monitoring developments for potential adverse impacts to the Company.</w:t>
      </w:r>
    </w:p>
    <w:p w14:paraId="4090F726" w14:textId="77777777" w:rsidR="00833634" w:rsidRDefault="00E15D51">
      <w:pPr>
        <w:spacing w:after="180"/>
        <w:jc w:val="both"/>
      </w:pPr>
      <w:r>
        <w:rPr>
          <w:rFonts w:ascii="Arial" w:eastAsia="宋体" w:hAnsi="Arial" w:cs="Arial"/>
          <w:color w:val="000000"/>
          <w:sz w:val="20"/>
          <w:szCs w:val="20"/>
        </w:rPr>
        <w:t xml:space="preserve">Beginning in June 2018, the U.S. Government has imposed tariffs on steel and aluminum imports. In response to these tariffs, several major U.S. trading partners have </w:t>
      </w:r>
      <w:r>
        <w:rPr>
          <w:rFonts w:ascii="Arial" w:eastAsia="宋体" w:hAnsi="Arial" w:cs="Arial"/>
          <w:color w:val="000000"/>
          <w:sz w:val="20"/>
          <w:szCs w:val="20"/>
        </w:rPr>
        <w:t>imposed, or announced their intention to impose, tariffs on U.S. goods. In May 2019, the U.S. Government, Mexico and Canada reached an agreement to end the steel and aluminum tariffs between these countries. Implementation of the U.S./Mexico/Canada Free Tr</w:t>
      </w:r>
      <w:r>
        <w:rPr>
          <w:rFonts w:ascii="Arial" w:eastAsia="宋体" w:hAnsi="Arial" w:cs="Arial"/>
          <w:color w:val="000000"/>
          <w:sz w:val="20"/>
          <w:szCs w:val="20"/>
        </w:rPr>
        <w:t xml:space="preserve">ade Agreement (USMCA) will also result in lower tariffs. We continue to monitor the potential for any extra costs that may result from the remaining global tariffs. </w:t>
      </w:r>
    </w:p>
    <w:p w14:paraId="4090F727" w14:textId="77777777" w:rsidR="00833634" w:rsidRDefault="00E15D51">
      <w:pPr>
        <w:spacing w:after="180"/>
        <w:jc w:val="both"/>
      </w:pPr>
      <w:r>
        <w:rPr>
          <w:rFonts w:ascii="Arial" w:eastAsia="宋体" w:hAnsi="Arial" w:cs="Arial"/>
          <w:color w:val="000000"/>
          <w:sz w:val="20"/>
          <w:szCs w:val="20"/>
        </w:rPr>
        <w:t>The U.S. Government continues to impose and/or consider imposing sanctions on certain busi</w:t>
      </w:r>
      <w:r>
        <w:rPr>
          <w:rFonts w:ascii="Arial" w:eastAsia="宋体" w:hAnsi="Arial" w:cs="Arial"/>
          <w:color w:val="000000"/>
          <w:sz w:val="20"/>
          <w:szCs w:val="20"/>
        </w:rPr>
        <w:t>nesses and individuals in Russia. Although our operations or sales in Russia have not been impacted to date, we continue to monitor additional sanctions that may be imposed by the U.S. Government and any responses from Russia that could affect our supply c</w:t>
      </w:r>
      <w:r>
        <w:rPr>
          <w:rFonts w:ascii="Arial" w:eastAsia="宋体" w:hAnsi="Arial" w:cs="Arial"/>
          <w:color w:val="000000"/>
          <w:sz w:val="20"/>
          <w:szCs w:val="20"/>
        </w:rPr>
        <w:t>hain, business partners or customers.</w:t>
      </w:r>
    </w:p>
    <w:p w14:paraId="4090F728" w14:textId="77777777" w:rsidR="00833634" w:rsidRDefault="00E15D51">
      <w:pPr>
        <w:spacing w:after="300"/>
        <w:jc w:val="both"/>
      </w:pPr>
      <w:r>
        <w:rPr>
          <w:rFonts w:ascii="Arial" w:eastAsia="宋体" w:hAnsi="Arial" w:cs="Arial"/>
          <w:color w:val="000000"/>
          <w:sz w:val="20"/>
          <w:szCs w:val="20"/>
        </w:rPr>
        <w:t>The U.S. and European Union (EU) have been engaged in two long-running disputes at the World Trade Organization (WTO) relating to large civil aircraft. As part of those disputes, in October 2019, the WTO authorized the</w:t>
      </w:r>
      <w:r>
        <w:rPr>
          <w:rFonts w:ascii="Arial" w:eastAsia="宋体" w:hAnsi="Arial" w:cs="Arial"/>
          <w:color w:val="000000"/>
          <w:sz w:val="20"/>
          <w:szCs w:val="20"/>
        </w:rPr>
        <w:t xml:space="preserve"> U.S. to impose approximately $7.50 billion in annual tariffs on EU products in connection with the EU’s provision of eight instances of launch aid subsidies to Airbus. On October 13, 2020, the WTO announced that it intends to authorize the EU to impose ap</w:t>
      </w:r>
      <w:r>
        <w:rPr>
          <w:rFonts w:ascii="Arial" w:eastAsia="宋体" w:hAnsi="Arial" w:cs="Arial"/>
          <w:color w:val="000000"/>
          <w:sz w:val="20"/>
          <w:szCs w:val="20"/>
        </w:rPr>
        <w:t xml:space="preserve">proximately $3.99 billion in annual tariffs on U.S. products in connection with a tax incentive used by Boeing in Washington state that has since been repealed. We will monitor developments arising from ongoing discussions between trade authorities in the </w:t>
      </w:r>
      <w:r>
        <w:rPr>
          <w:rFonts w:ascii="Arial" w:eastAsia="宋体" w:hAnsi="Arial" w:cs="Arial"/>
          <w:color w:val="000000"/>
          <w:sz w:val="20"/>
          <w:szCs w:val="20"/>
        </w:rPr>
        <w:t xml:space="preserve">U.S. and EU regarding this matter, as well as assess the impact of any tariffs that the EU might impose in the future. </w:t>
      </w:r>
    </w:p>
    <w:p w14:paraId="4090F729" w14:textId="77777777" w:rsidR="00833634" w:rsidRDefault="00E15D51">
      <w:pPr>
        <w:spacing w:before="180" w:after="180"/>
        <w:jc w:val="both"/>
      </w:pPr>
      <w:r>
        <w:rPr>
          <w:rFonts w:ascii="Arial" w:eastAsia="宋体" w:hAnsi="Arial" w:cs="Arial"/>
          <w:b/>
          <w:bCs/>
          <w:color w:val="000000"/>
          <w:sz w:val="20"/>
          <w:szCs w:val="20"/>
        </w:rPr>
        <w:t>Segment Results of Operations and Financial Condition</w:t>
      </w:r>
    </w:p>
    <w:p w14:paraId="4090F72A" w14:textId="77777777" w:rsidR="00833634" w:rsidRDefault="00E15D51">
      <w:pPr>
        <w:spacing w:after="180"/>
        <w:jc w:val="both"/>
      </w:pPr>
      <w:r>
        <w:rPr>
          <w:rFonts w:ascii="Arial" w:eastAsia="宋体" w:hAnsi="Arial" w:cs="Arial"/>
          <w:b/>
          <w:bCs/>
          <w:color w:val="000000"/>
          <w:sz w:val="20"/>
          <w:szCs w:val="20"/>
        </w:rPr>
        <w:t>Commercial Airplanes</w:t>
      </w:r>
    </w:p>
    <w:p w14:paraId="4090F72B" w14:textId="77777777" w:rsidR="00833634" w:rsidRDefault="00E15D51">
      <w:pPr>
        <w:spacing w:after="180"/>
        <w:jc w:val="both"/>
      </w:pPr>
      <w:r>
        <w:rPr>
          <w:rFonts w:ascii="Arial" w:eastAsia="宋体" w:hAnsi="Arial" w:cs="Arial"/>
          <w:b/>
          <w:bCs/>
          <w:color w:val="000000"/>
          <w:sz w:val="20"/>
          <w:szCs w:val="20"/>
        </w:rPr>
        <w:t>Business Environment and Trends</w:t>
      </w:r>
    </w:p>
    <w:p w14:paraId="4090F72C" w14:textId="77777777" w:rsidR="00833634" w:rsidRDefault="00E15D51">
      <w:pPr>
        <w:spacing w:after="180"/>
        <w:jc w:val="both"/>
      </w:pPr>
      <w:r>
        <w:rPr>
          <w:rFonts w:ascii="Arial" w:eastAsia="宋体" w:hAnsi="Arial" w:cs="Arial"/>
          <w:color w:val="000000"/>
          <w:sz w:val="20"/>
          <w:szCs w:val="20"/>
        </w:rPr>
        <w:t xml:space="preserve">See Overview to Management’s </w:t>
      </w:r>
      <w:r>
        <w:rPr>
          <w:rFonts w:ascii="Arial" w:eastAsia="宋体" w:hAnsi="Arial" w:cs="Arial"/>
          <w:color w:val="000000"/>
          <w:sz w:val="20"/>
          <w:szCs w:val="20"/>
        </w:rPr>
        <w:t xml:space="preserve">Discussion and Analysis of Financial Condition and Results of Operations for a discussion of the impacts of COVID-19 on the airline industry environment. </w:t>
      </w:r>
    </w:p>
    <w:p w14:paraId="4090F72D" w14:textId="77777777" w:rsidR="00833634" w:rsidRDefault="00E15D51">
      <w:pPr>
        <w:spacing w:after="180"/>
        <w:jc w:val="center"/>
      </w:pPr>
      <w:r>
        <w:rPr>
          <w:rFonts w:ascii="Arial" w:eastAsia="宋体" w:hAnsi="Arial" w:cs="Arial"/>
          <w:color w:val="000000"/>
          <w:sz w:val="18"/>
          <w:szCs w:val="18"/>
        </w:rPr>
        <w:t>46</w:t>
      </w:r>
    </w:p>
    <w:p w14:paraId="4090F72E" w14:textId="77777777" w:rsidR="00833634" w:rsidRDefault="00E15D51">
      <w:r>
        <w:pict w14:anchorId="4090FE4E">
          <v:rect id="_x0000_i1072" style="width:415.3pt;height:1.5pt" o:hralign="center" o:hrstd="t" o:hr="t" fillcolor="#a0a0a0" stroked="f"/>
        </w:pict>
      </w:r>
    </w:p>
    <w:p w14:paraId="4090F72F" w14:textId="77777777" w:rsidR="00833634" w:rsidRDefault="00E15D51">
      <w:pPr>
        <w:spacing w:after="180"/>
        <w:jc w:val="both"/>
      </w:pPr>
      <w:hyperlink r:id="rId149" w:anchor="i8d805bfb1e1c4815a1dcd5b6d1e0b117_10" w:history="1">
        <w:r>
          <w:rPr>
            <w:rStyle w:val="a5"/>
            <w:rFonts w:ascii="Arial" w:eastAsia="宋体" w:hAnsi="Arial" w:cs="Arial"/>
            <w:sz w:val="18"/>
            <w:szCs w:val="18"/>
          </w:rPr>
          <w:t>Table of Contents</w:t>
        </w:r>
      </w:hyperlink>
    </w:p>
    <w:p w14:paraId="4090F730" w14:textId="77777777" w:rsidR="00833634" w:rsidRDefault="00E15D51">
      <w:pPr>
        <w:spacing w:before="180"/>
        <w:jc w:val="both"/>
      </w:pPr>
      <w:r>
        <w:rPr>
          <w:rFonts w:ascii="Arial" w:eastAsia="宋体" w:hAnsi="Arial" w:cs="Arial"/>
          <w:b/>
          <w:bCs/>
          <w:color w:val="000000"/>
          <w:sz w:val="20"/>
          <w:szCs w:val="20"/>
        </w:rPr>
        <w:t>Results of Operations</w:t>
      </w:r>
    </w:p>
    <w:tbl>
      <w:tblPr>
        <w:tblW w:w="4984" w:type="pct"/>
        <w:tblCellMar>
          <w:top w:w="15" w:type="dxa"/>
          <w:left w:w="15" w:type="dxa"/>
          <w:bottom w:w="15" w:type="dxa"/>
          <w:right w:w="15" w:type="dxa"/>
        </w:tblCellMar>
        <w:tblLook w:val="04A0" w:firstRow="1" w:lastRow="0" w:firstColumn="1" w:lastColumn="0" w:noHBand="0" w:noVBand="1"/>
      </w:tblPr>
      <w:tblGrid>
        <w:gridCol w:w="38"/>
        <w:gridCol w:w="4015"/>
        <w:gridCol w:w="37"/>
        <w:gridCol w:w="69"/>
        <w:gridCol w:w="749"/>
        <w:gridCol w:w="199"/>
        <w:gridCol w:w="37"/>
        <w:gridCol w:w="36"/>
        <w:gridCol w:w="36"/>
        <w:gridCol w:w="69"/>
        <w:gridCol w:w="731"/>
        <w:gridCol w:w="198"/>
        <w:gridCol w:w="36"/>
        <w:gridCol w:w="36"/>
        <w:gridCol w:w="36"/>
        <w:gridCol w:w="66"/>
        <w:gridCol w:w="700"/>
        <w:gridCol w:w="199"/>
        <w:gridCol w:w="36"/>
        <w:gridCol w:w="36"/>
        <w:gridCol w:w="36"/>
        <w:gridCol w:w="60"/>
        <w:gridCol w:w="656"/>
        <w:gridCol w:w="198"/>
      </w:tblGrid>
      <w:tr w:rsidR="00833634" w14:paraId="4090F749" w14:textId="77777777">
        <w:tc>
          <w:tcPr>
            <w:tcW w:w="50" w:type="pct"/>
            <w:shd w:val="clear" w:color="auto" w:fill="auto"/>
          </w:tcPr>
          <w:p w14:paraId="4090F731" w14:textId="77777777" w:rsidR="00833634" w:rsidRDefault="00833634">
            <w:pPr>
              <w:rPr>
                <w:rFonts w:ascii="宋体"/>
              </w:rPr>
            </w:pPr>
          </w:p>
        </w:tc>
        <w:tc>
          <w:tcPr>
            <w:tcW w:w="2477" w:type="pct"/>
            <w:shd w:val="clear" w:color="auto" w:fill="auto"/>
          </w:tcPr>
          <w:p w14:paraId="4090F732" w14:textId="77777777" w:rsidR="00833634" w:rsidRDefault="00833634">
            <w:pPr>
              <w:rPr>
                <w:rFonts w:ascii="宋体"/>
              </w:rPr>
            </w:pPr>
          </w:p>
        </w:tc>
        <w:tc>
          <w:tcPr>
            <w:tcW w:w="5" w:type="pct"/>
            <w:shd w:val="clear" w:color="auto" w:fill="auto"/>
          </w:tcPr>
          <w:p w14:paraId="4090F733" w14:textId="77777777" w:rsidR="00833634" w:rsidRDefault="00833634">
            <w:pPr>
              <w:rPr>
                <w:rFonts w:ascii="宋体"/>
              </w:rPr>
            </w:pPr>
          </w:p>
        </w:tc>
        <w:tc>
          <w:tcPr>
            <w:tcW w:w="50" w:type="pct"/>
            <w:shd w:val="clear" w:color="auto" w:fill="auto"/>
          </w:tcPr>
          <w:p w14:paraId="4090F734" w14:textId="77777777" w:rsidR="00833634" w:rsidRDefault="00833634">
            <w:pPr>
              <w:rPr>
                <w:rFonts w:ascii="宋体"/>
              </w:rPr>
            </w:pPr>
          </w:p>
        </w:tc>
        <w:tc>
          <w:tcPr>
            <w:tcW w:w="531" w:type="pct"/>
            <w:shd w:val="clear" w:color="auto" w:fill="auto"/>
          </w:tcPr>
          <w:p w14:paraId="4090F735" w14:textId="77777777" w:rsidR="00833634" w:rsidRDefault="00833634">
            <w:pPr>
              <w:rPr>
                <w:rFonts w:ascii="宋体"/>
              </w:rPr>
            </w:pPr>
          </w:p>
        </w:tc>
        <w:tc>
          <w:tcPr>
            <w:tcW w:w="5" w:type="pct"/>
            <w:shd w:val="clear" w:color="auto" w:fill="auto"/>
          </w:tcPr>
          <w:p w14:paraId="4090F736" w14:textId="77777777" w:rsidR="00833634" w:rsidRDefault="00833634">
            <w:pPr>
              <w:rPr>
                <w:rFonts w:ascii="宋体"/>
              </w:rPr>
            </w:pPr>
          </w:p>
        </w:tc>
        <w:tc>
          <w:tcPr>
            <w:tcW w:w="5" w:type="pct"/>
            <w:shd w:val="clear" w:color="auto" w:fill="auto"/>
          </w:tcPr>
          <w:p w14:paraId="4090F737" w14:textId="77777777" w:rsidR="00833634" w:rsidRDefault="00833634">
            <w:pPr>
              <w:rPr>
                <w:rFonts w:ascii="宋体"/>
              </w:rPr>
            </w:pPr>
          </w:p>
        </w:tc>
        <w:tc>
          <w:tcPr>
            <w:tcW w:w="30" w:type="pct"/>
            <w:shd w:val="clear" w:color="auto" w:fill="auto"/>
          </w:tcPr>
          <w:p w14:paraId="4090F738" w14:textId="77777777" w:rsidR="00833634" w:rsidRDefault="00833634">
            <w:pPr>
              <w:rPr>
                <w:rFonts w:ascii="宋体"/>
              </w:rPr>
            </w:pPr>
          </w:p>
        </w:tc>
        <w:tc>
          <w:tcPr>
            <w:tcW w:w="5" w:type="pct"/>
            <w:shd w:val="clear" w:color="auto" w:fill="auto"/>
          </w:tcPr>
          <w:p w14:paraId="4090F739" w14:textId="77777777" w:rsidR="00833634" w:rsidRDefault="00833634">
            <w:pPr>
              <w:rPr>
                <w:rFonts w:ascii="宋体"/>
              </w:rPr>
            </w:pPr>
          </w:p>
        </w:tc>
        <w:tc>
          <w:tcPr>
            <w:tcW w:w="50" w:type="pct"/>
            <w:shd w:val="clear" w:color="auto" w:fill="auto"/>
          </w:tcPr>
          <w:p w14:paraId="4090F73A" w14:textId="77777777" w:rsidR="00833634" w:rsidRDefault="00833634">
            <w:pPr>
              <w:rPr>
                <w:rFonts w:ascii="宋体"/>
              </w:rPr>
            </w:pPr>
          </w:p>
        </w:tc>
        <w:tc>
          <w:tcPr>
            <w:tcW w:w="531" w:type="pct"/>
            <w:shd w:val="clear" w:color="auto" w:fill="auto"/>
          </w:tcPr>
          <w:p w14:paraId="4090F73B" w14:textId="77777777" w:rsidR="00833634" w:rsidRDefault="00833634">
            <w:pPr>
              <w:rPr>
                <w:rFonts w:ascii="宋体"/>
              </w:rPr>
            </w:pPr>
          </w:p>
        </w:tc>
        <w:tc>
          <w:tcPr>
            <w:tcW w:w="5" w:type="pct"/>
            <w:shd w:val="clear" w:color="auto" w:fill="auto"/>
          </w:tcPr>
          <w:p w14:paraId="4090F73C" w14:textId="77777777" w:rsidR="00833634" w:rsidRDefault="00833634">
            <w:pPr>
              <w:rPr>
                <w:rFonts w:ascii="宋体"/>
              </w:rPr>
            </w:pPr>
          </w:p>
        </w:tc>
        <w:tc>
          <w:tcPr>
            <w:tcW w:w="5" w:type="pct"/>
            <w:shd w:val="clear" w:color="auto" w:fill="auto"/>
          </w:tcPr>
          <w:p w14:paraId="4090F73D" w14:textId="77777777" w:rsidR="00833634" w:rsidRDefault="00833634">
            <w:pPr>
              <w:rPr>
                <w:rFonts w:ascii="宋体"/>
              </w:rPr>
            </w:pPr>
          </w:p>
        </w:tc>
        <w:tc>
          <w:tcPr>
            <w:tcW w:w="30" w:type="pct"/>
            <w:shd w:val="clear" w:color="auto" w:fill="auto"/>
          </w:tcPr>
          <w:p w14:paraId="4090F73E" w14:textId="77777777" w:rsidR="00833634" w:rsidRDefault="00833634">
            <w:pPr>
              <w:rPr>
                <w:rFonts w:ascii="宋体"/>
              </w:rPr>
            </w:pPr>
          </w:p>
        </w:tc>
        <w:tc>
          <w:tcPr>
            <w:tcW w:w="5" w:type="pct"/>
            <w:shd w:val="clear" w:color="auto" w:fill="auto"/>
          </w:tcPr>
          <w:p w14:paraId="4090F73F" w14:textId="77777777" w:rsidR="00833634" w:rsidRDefault="00833634">
            <w:pPr>
              <w:rPr>
                <w:rFonts w:ascii="宋体"/>
              </w:rPr>
            </w:pPr>
          </w:p>
        </w:tc>
        <w:tc>
          <w:tcPr>
            <w:tcW w:w="50" w:type="pct"/>
            <w:shd w:val="clear" w:color="auto" w:fill="auto"/>
          </w:tcPr>
          <w:p w14:paraId="4090F740" w14:textId="77777777" w:rsidR="00833634" w:rsidRDefault="00833634">
            <w:pPr>
              <w:rPr>
                <w:rFonts w:ascii="宋体"/>
              </w:rPr>
            </w:pPr>
          </w:p>
        </w:tc>
        <w:tc>
          <w:tcPr>
            <w:tcW w:w="531" w:type="pct"/>
            <w:shd w:val="clear" w:color="auto" w:fill="auto"/>
          </w:tcPr>
          <w:p w14:paraId="4090F741" w14:textId="77777777" w:rsidR="00833634" w:rsidRDefault="00833634">
            <w:pPr>
              <w:rPr>
                <w:rFonts w:ascii="宋体"/>
              </w:rPr>
            </w:pPr>
          </w:p>
        </w:tc>
        <w:tc>
          <w:tcPr>
            <w:tcW w:w="5" w:type="pct"/>
            <w:shd w:val="clear" w:color="auto" w:fill="auto"/>
          </w:tcPr>
          <w:p w14:paraId="4090F742" w14:textId="77777777" w:rsidR="00833634" w:rsidRDefault="00833634">
            <w:pPr>
              <w:rPr>
                <w:rFonts w:ascii="宋体"/>
              </w:rPr>
            </w:pPr>
          </w:p>
        </w:tc>
        <w:tc>
          <w:tcPr>
            <w:tcW w:w="5" w:type="pct"/>
            <w:shd w:val="clear" w:color="auto" w:fill="auto"/>
          </w:tcPr>
          <w:p w14:paraId="4090F743" w14:textId="77777777" w:rsidR="00833634" w:rsidRDefault="00833634">
            <w:pPr>
              <w:rPr>
                <w:rFonts w:ascii="宋体"/>
              </w:rPr>
            </w:pPr>
          </w:p>
        </w:tc>
        <w:tc>
          <w:tcPr>
            <w:tcW w:w="30" w:type="pct"/>
            <w:shd w:val="clear" w:color="auto" w:fill="auto"/>
          </w:tcPr>
          <w:p w14:paraId="4090F744" w14:textId="77777777" w:rsidR="00833634" w:rsidRDefault="00833634">
            <w:pPr>
              <w:rPr>
                <w:rFonts w:ascii="宋体"/>
              </w:rPr>
            </w:pPr>
          </w:p>
        </w:tc>
        <w:tc>
          <w:tcPr>
            <w:tcW w:w="5" w:type="pct"/>
            <w:shd w:val="clear" w:color="auto" w:fill="auto"/>
          </w:tcPr>
          <w:p w14:paraId="4090F745" w14:textId="77777777" w:rsidR="00833634" w:rsidRDefault="00833634">
            <w:pPr>
              <w:rPr>
                <w:rFonts w:ascii="宋体"/>
              </w:rPr>
            </w:pPr>
          </w:p>
        </w:tc>
        <w:tc>
          <w:tcPr>
            <w:tcW w:w="50" w:type="pct"/>
            <w:shd w:val="clear" w:color="auto" w:fill="auto"/>
          </w:tcPr>
          <w:p w14:paraId="4090F746" w14:textId="77777777" w:rsidR="00833634" w:rsidRDefault="00833634">
            <w:pPr>
              <w:rPr>
                <w:rFonts w:ascii="宋体"/>
              </w:rPr>
            </w:pPr>
          </w:p>
        </w:tc>
        <w:tc>
          <w:tcPr>
            <w:tcW w:w="532" w:type="pct"/>
            <w:shd w:val="clear" w:color="auto" w:fill="auto"/>
          </w:tcPr>
          <w:p w14:paraId="4090F747" w14:textId="77777777" w:rsidR="00833634" w:rsidRDefault="00833634">
            <w:pPr>
              <w:rPr>
                <w:rFonts w:ascii="宋体"/>
              </w:rPr>
            </w:pPr>
          </w:p>
        </w:tc>
        <w:tc>
          <w:tcPr>
            <w:tcW w:w="5" w:type="pct"/>
            <w:shd w:val="clear" w:color="auto" w:fill="auto"/>
          </w:tcPr>
          <w:p w14:paraId="4090F748" w14:textId="77777777" w:rsidR="00833634" w:rsidRDefault="00833634">
            <w:pPr>
              <w:rPr>
                <w:rFonts w:ascii="宋体"/>
              </w:rPr>
            </w:pPr>
          </w:p>
        </w:tc>
      </w:tr>
      <w:tr w:rsidR="00833634" w14:paraId="4090F74E" w14:textId="77777777">
        <w:tc>
          <w:tcPr>
            <w:tcW w:w="0" w:type="auto"/>
            <w:gridSpan w:val="3"/>
            <w:shd w:val="clear" w:color="auto" w:fill="auto"/>
            <w:tcMar>
              <w:top w:w="40" w:type="dxa"/>
              <w:left w:w="20" w:type="dxa"/>
              <w:bottom w:w="40" w:type="dxa"/>
              <w:right w:w="20" w:type="dxa"/>
            </w:tcMar>
            <w:vAlign w:val="bottom"/>
          </w:tcPr>
          <w:p w14:paraId="4090F74A"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74B"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74C"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74D"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757"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74F"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750" w14:textId="77777777" w:rsidR="00833634" w:rsidRDefault="00E15D51">
            <w:pPr>
              <w:jc w:val="center"/>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751"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752" w14:textId="77777777" w:rsidR="00833634" w:rsidRDefault="00E15D51">
            <w:pPr>
              <w:jc w:val="center"/>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753"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754" w14:textId="77777777" w:rsidR="00833634" w:rsidRDefault="00E15D51">
            <w:pPr>
              <w:jc w:val="center"/>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755"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756" w14:textId="77777777" w:rsidR="00833634" w:rsidRDefault="00E15D51">
            <w:pPr>
              <w:jc w:val="center"/>
              <w:textAlignment w:val="bottom"/>
            </w:pPr>
            <w:r>
              <w:rPr>
                <w:rFonts w:ascii="Arial" w:eastAsia="宋体" w:hAnsi="Arial" w:cs="Arial"/>
                <w:color w:val="000000"/>
                <w:sz w:val="20"/>
                <w:szCs w:val="20"/>
              </w:rPr>
              <w:t>2019</w:t>
            </w:r>
          </w:p>
        </w:tc>
      </w:tr>
      <w:tr w:rsidR="00833634" w14:paraId="4090F764"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758" w14:textId="77777777" w:rsidR="00833634" w:rsidRDefault="00E15D51">
            <w:pPr>
              <w:textAlignment w:val="bottom"/>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59" w14:textId="77777777" w:rsidR="00833634" w:rsidRDefault="00E15D51">
            <w:pPr>
              <w:jc w:val="right"/>
              <w:textAlignment w:val="bottom"/>
            </w:pPr>
            <w:r>
              <w:rPr>
                <w:rFonts w:ascii="Arial" w:eastAsia="宋体" w:hAnsi="Arial" w:cs="Arial"/>
                <w:b/>
                <w:bCs/>
                <w:color w:val="000000"/>
                <w:sz w:val="20"/>
                <w:szCs w:val="20"/>
              </w:rPr>
              <w:t>$11,434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5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75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5C" w14:textId="77777777" w:rsidR="00833634" w:rsidRDefault="00E15D51">
            <w:pPr>
              <w:jc w:val="right"/>
              <w:textAlignment w:val="bottom"/>
            </w:pPr>
            <w:r>
              <w:rPr>
                <w:rFonts w:ascii="Arial" w:eastAsia="宋体" w:hAnsi="Arial" w:cs="Arial"/>
                <w:color w:val="000000"/>
                <w:sz w:val="20"/>
                <w:szCs w:val="20"/>
              </w:rPr>
              <w:t>$24,793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5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75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5F" w14:textId="77777777" w:rsidR="00833634" w:rsidRDefault="00E15D51">
            <w:pPr>
              <w:jc w:val="right"/>
              <w:textAlignment w:val="bottom"/>
            </w:pPr>
            <w:r>
              <w:rPr>
                <w:rFonts w:ascii="Arial" w:eastAsia="宋体" w:hAnsi="Arial" w:cs="Arial"/>
                <w:b/>
                <w:bCs/>
                <w:color w:val="000000"/>
                <w:sz w:val="20"/>
                <w:szCs w:val="20"/>
              </w:rPr>
              <w:t>$3,596</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6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76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62" w14:textId="77777777" w:rsidR="00833634" w:rsidRDefault="00E15D51">
            <w:pPr>
              <w:jc w:val="right"/>
              <w:textAlignment w:val="bottom"/>
            </w:pPr>
            <w:r>
              <w:rPr>
                <w:rFonts w:ascii="Arial" w:eastAsia="宋体" w:hAnsi="Arial" w:cs="Arial"/>
                <w:color w:val="000000"/>
                <w:sz w:val="20"/>
                <w:szCs w:val="20"/>
              </w:rPr>
              <w:t>$8,249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63" w14:textId="77777777" w:rsidR="00833634" w:rsidRDefault="00833634">
            <w:pPr>
              <w:jc w:val="right"/>
              <w:rPr>
                <w:rFonts w:ascii="宋体"/>
              </w:rPr>
            </w:pPr>
          </w:p>
        </w:tc>
      </w:tr>
      <w:tr w:rsidR="00833634" w14:paraId="4090F771" w14:textId="77777777">
        <w:tc>
          <w:tcPr>
            <w:tcW w:w="0" w:type="auto"/>
            <w:gridSpan w:val="3"/>
            <w:shd w:val="clear" w:color="auto" w:fill="FFFFFF"/>
            <w:tcMar>
              <w:top w:w="40" w:type="dxa"/>
              <w:left w:w="20" w:type="dxa"/>
              <w:bottom w:w="40" w:type="dxa"/>
              <w:right w:w="20" w:type="dxa"/>
            </w:tcMar>
            <w:vAlign w:val="bottom"/>
          </w:tcPr>
          <w:p w14:paraId="4090F765" w14:textId="77777777" w:rsidR="00833634" w:rsidRDefault="00E15D51">
            <w:pPr>
              <w:textAlignment w:val="bottom"/>
            </w:pPr>
            <w:r>
              <w:rPr>
                <w:rFonts w:ascii="Arial" w:eastAsia="宋体" w:hAnsi="Arial" w:cs="Arial"/>
                <w:color w:val="000000"/>
                <w:sz w:val="20"/>
                <w:szCs w:val="20"/>
              </w:rPr>
              <w:t>Loss from operations</w:t>
            </w:r>
          </w:p>
        </w:tc>
        <w:tc>
          <w:tcPr>
            <w:tcW w:w="0" w:type="auto"/>
            <w:gridSpan w:val="2"/>
            <w:shd w:val="clear" w:color="auto" w:fill="FFFFFF"/>
            <w:tcMar>
              <w:top w:w="40" w:type="dxa"/>
              <w:left w:w="20" w:type="dxa"/>
              <w:bottom w:w="40" w:type="dxa"/>
              <w:right w:w="0" w:type="dxa"/>
            </w:tcMar>
            <w:vAlign w:val="bottom"/>
          </w:tcPr>
          <w:p w14:paraId="4090F766" w14:textId="77777777" w:rsidR="00833634" w:rsidRDefault="00E15D51">
            <w:pPr>
              <w:jc w:val="right"/>
              <w:textAlignment w:val="bottom"/>
            </w:pPr>
            <w:r>
              <w:rPr>
                <w:rFonts w:ascii="Arial" w:eastAsia="宋体" w:hAnsi="Arial" w:cs="Arial"/>
                <w:b/>
                <w:bCs/>
                <w:color w:val="000000"/>
                <w:sz w:val="20"/>
                <w:szCs w:val="20"/>
              </w:rPr>
              <w:t>($6,199)</w:t>
            </w:r>
          </w:p>
        </w:tc>
        <w:tc>
          <w:tcPr>
            <w:tcW w:w="0" w:type="auto"/>
            <w:shd w:val="clear" w:color="auto" w:fill="FFFFFF"/>
            <w:tcMar>
              <w:top w:w="40" w:type="dxa"/>
              <w:left w:w="0" w:type="dxa"/>
              <w:bottom w:w="40" w:type="dxa"/>
              <w:right w:w="20" w:type="dxa"/>
            </w:tcMar>
            <w:vAlign w:val="bottom"/>
          </w:tcPr>
          <w:p w14:paraId="4090F76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76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769" w14:textId="77777777" w:rsidR="00833634" w:rsidRDefault="00E15D51">
            <w:pPr>
              <w:jc w:val="right"/>
              <w:textAlignment w:val="bottom"/>
            </w:pPr>
            <w:r>
              <w:rPr>
                <w:rFonts w:ascii="Arial" w:eastAsia="宋体" w:hAnsi="Arial" w:cs="Arial"/>
                <w:color w:val="000000"/>
                <w:sz w:val="20"/>
                <w:szCs w:val="20"/>
              </w:rPr>
              <w:t>($3,813)</w:t>
            </w:r>
          </w:p>
        </w:tc>
        <w:tc>
          <w:tcPr>
            <w:tcW w:w="0" w:type="auto"/>
            <w:shd w:val="clear" w:color="auto" w:fill="FFFFFF"/>
            <w:tcMar>
              <w:top w:w="40" w:type="dxa"/>
              <w:left w:w="0" w:type="dxa"/>
              <w:bottom w:w="40" w:type="dxa"/>
              <w:right w:w="20" w:type="dxa"/>
            </w:tcMar>
            <w:vAlign w:val="bottom"/>
          </w:tcPr>
          <w:p w14:paraId="4090F76A"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76B"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76C" w14:textId="77777777" w:rsidR="00833634" w:rsidRDefault="00E15D51">
            <w:pPr>
              <w:jc w:val="right"/>
              <w:textAlignment w:val="bottom"/>
            </w:pPr>
            <w:r>
              <w:rPr>
                <w:rFonts w:ascii="Arial" w:eastAsia="宋体" w:hAnsi="Arial" w:cs="Arial"/>
                <w:b/>
                <w:bCs/>
                <w:color w:val="000000"/>
                <w:sz w:val="20"/>
                <w:szCs w:val="20"/>
              </w:rPr>
              <w:t>($1,369)</w:t>
            </w:r>
          </w:p>
        </w:tc>
        <w:tc>
          <w:tcPr>
            <w:tcW w:w="0" w:type="auto"/>
            <w:shd w:val="clear" w:color="auto" w:fill="FFFFFF"/>
            <w:tcMar>
              <w:top w:w="40" w:type="dxa"/>
              <w:left w:w="0" w:type="dxa"/>
              <w:bottom w:w="40" w:type="dxa"/>
              <w:right w:w="20" w:type="dxa"/>
            </w:tcMar>
            <w:vAlign w:val="bottom"/>
          </w:tcPr>
          <w:p w14:paraId="4090F76D"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76E"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76F" w14:textId="77777777" w:rsidR="00833634" w:rsidRDefault="00E15D51">
            <w:pPr>
              <w:jc w:val="right"/>
              <w:textAlignment w:val="bottom"/>
            </w:pPr>
            <w:r>
              <w:rPr>
                <w:rFonts w:ascii="Arial" w:eastAsia="宋体" w:hAnsi="Arial" w:cs="Arial"/>
                <w:color w:val="000000"/>
                <w:sz w:val="20"/>
                <w:szCs w:val="20"/>
              </w:rPr>
              <w:t>($40)</w:t>
            </w:r>
          </w:p>
        </w:tc>
        <w:tc>
          <w:tcPr>
            <w:tcW w:w="0" w:type="auto"/>
            <w:shd w:val="clear" w:color="auto" w:fill="FFFFFF"/>
            <w:tcMar>
              <w:top w:w="40" w:type="dxa"/>
              <w:left w:w="0" w:type="dxa"/>
              <w:bottom w:w="40" w:type="dxa"/>
              <w:right w:w="20" w:type="dxa"/>
            </w:tcMar>
            <w:vAlign w:val="bottom"/>
          </w:tcPr>
          <w:p w14:paraId="4090F770" w14:textId="77777777" w:rsidR="00833634" w:rsidRDefault="00833634">
            <w:pPr>
              <w:jc w:val="right"/>
              <w:rPr>
                <w:rFonts w:ascii="宋体"/>
              </w:rPr>
            </w:pPr>
          </w:p>
        </w:tc>
      </w:tr>
      <w:tr w:rsidR="00833634" w14:paraId="4090F77E"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F772" w14:textId="77777777" w:rsidR="00833634" w:rsidRDefault="00E15D51">
            <w:pPr>
              <w:textAlignment w:val="bottom"/>
            </w:pPr>
            <w:r>
              <w:rPr>
                <w:rFonts w:ascii="Arial" w:eastAsia="宋体" w:hAnsi="Arial" w:cs="Arial"/>
                <w:color w:val="000000"/>
                <w:sz w:val="20"/>
                <w:szCs w:val="20"/>
              </w:rPr>
              <w:t>Operating margins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773" w14:textId="77777777" w:rsidR="00833634" w:rsidRDefault="00E15D51">
            <w:pPr>
              <w:jc w:val="right"/>
              <w:textAlignment w:val="bottom"/>
            </w:pPr>
            <w:r>
              <w:rPr>
                <w:rFonts w:ascii="Arial" w:eastAsia="宋体" w:hAnsi="Arial" w:cs="Arial"/>
                <w:b/>
                <w:bCs/>
                <w:color w:val="000000"/>
                <w:sz w:val="20"/>
                <w:szCs w:val="20"/>
              </w:rPr>
              <w:t>(54.2)</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774"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775"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776" w14:textId="77777777" w:rsidR="00833634" w:rsidRDefault="00E15D51">
            <w:pPr>
              <w:jc w:val="right"/>
              <w:textAlignment w:val="bottom"/>
            </w:pPr>
            <w:r>
              <w:rPr>
                <w:rFonts w:ascii="Arial" w:eastAsia="宋体" w:hAnsi="Arial" w:cs="Arial"/>
                <w:color w:val="000000"/>
                <w:sz w:val="20"/>
                <w:szCs w:val="20"/>
              </w:rPr>
              <w:t>(15.4)</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777" w14:textId="77777777" w:rsidR="00833634" w:rsidRDefault="00E15D51">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778"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779" w14:textId="77777777" w:rsidR="00833634" w:rsidRDefault="00E15D51">
            <w:pPr>
              <w:jc w:val="right"/>
              <w:textAlignment w:val="bottom"/>
            </w:pPr>
            <w:r>
              <w:rPr>
                <w:rFonts w:ascii="Arial" w:eastAsia="宋体" w:hAnsi="Arial" w:cs="Arial"/>
                <w:b/>
                <w:bCs/>
                <w:color w:val="000000"/>
                <w:sz w:val="20"/>
                <w:szCs w:val="20"/>
              </w:rPr>
              <w:t>(38.1)</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77A"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77B"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77C" w14:textId="77777777" w:rsidR="00833634" w:rsidRDefault="00E15D51">
            <w:pPr>
              <w:jc w:val="right"/>
              <w:textAlignment w:val="bottom"/>
            </w:pPr>
            <w:r>
              <w:rPr>
                <w:rFonts w:ascii="Arial" w:eastAsia="宋体" w:hAnsi="Arial" w:cs="Arial"/>
                <w:color w:val="000000"/>
                <w:sz w:val="20"/>
                <w:szCs w:val="20"/>
              </w:rPr>
              <w:t>(0.5)</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77D" w14:textId="77777777" w:rsidR="00833634" w:rsidRDefault="00E15D51">
            <w:pPr>
              <w:jc w:val="right"/>
              <w:textAlignment w:val="bottom"/>
            </w:pPr>
            <w:r>
              <w:rPr>
                <w:rFonts w:ascii="Arial" w:eastAsia="宋体" w:hAnsi="Arial" w:cs="Arial"/>
                <w:color w:val="000000"/>
                <w:sz w:val="20"/>
                <w:szCs w:val="20"/>
              </w:rPr>
              <w:t>%</w:t>
            </w:r>
          </w:p>
        </w:tc>
      </w:tr>
    </w:tbl>
    <w:p w14:paraId="4090F77F" w14:textId="77777777" w:rsidR="00833634" w:rsidRDefault="00E15D51">
      <w:pPr>
        <w:spacing w:after="180"/>
        <w:jc w:val="both"/>
      </w:pPr>
      <w:r>
        <w:rPr>
          <w:rFonts w:ascii="Arial" w:eastAsia="宋体" w:hAnsi="Arial" w:cs="Arial"/>
          <w:b/>
          <w:bCs/>
          <w:color w:val="000000"/>
          <w:sz w:val="20"/>
          <w:szCs w:val="20"/>
        </w:rPr>
        <w:t>Revenues</w:t>
      </w:r>
    </w:p>
    <w:p w14:paraId="4090F780" w14:textId="77777777" w:rsidR="00833634" w:rsidRDefault="00E15D51">
      <w:pPr>
        <w:spacing w:after="180"/>
        <w:jc w:val="both"/>
      </w:pPr>
      <w:r>
        <w:rPr>
          <w:rFonts w:ascii="Arial" w:eastAsia="宋体" w:hAnsi="Arial" w:cs="Arial"/>
          <w:color w:val="000000"/>
          <w:sz w:val="20"/>
          <w:szCs w:val="20"/>
        </w:rPr>
        <w:t>Revenues for the nine months ended September 30, 2020 decreased by $13,359 million compared with the same period in 2019 due to lower deliveries primarily driven by the impacts of the COVID-19 pandemic and the 737 MAX grounding. This was partially offset b</w:t>
      </w:r>
      <w:r>
        <w:rPr>
          <w:rFonts w:ascii="Arial" w:eastAsia="宋体" w:hAnsi="Arial" w:cs="Arial"/>
          <w:color w:val="000000"/>
          <w:sz w:val="20"/>
          <w:szCs w:val="20"/>
        </w:rPr>
        <w:t xml:space="preserve">y lower charges related to estimated potential concessions and other considerations to 737 MAX customers of $370 million in 2020 as compared with $5,610 million for the same period in 2019. </w:t>
      </w:r>
    </w:p>
    <w:p w14:paraId="4090F781" w14:textId="77777777" w:rsidR="00833634" w:rsidRDefault="00E15D51">
      <w:pPr>
        <w:spacing w:after="180"/>
        <w:jc w:val="both"/>
      </w:pPr>
      <w:r>
        <w:rPr>
          <w:rFonts w:ascii="Arial" w:eastAsia="宋体" w:hAnsi="Arial" w:cs="Arial"/>
          <w:color w:val="000000"/>
          <w:sz w:val="20"/>
          <w:szCs w:val="20"/>
        </w:rPr>
        <w:t xml:space="preserve">Revenues for the three months ended September 30, 2020 decreased </w:t>
      </w:r>
      <w:r>
        <w:rPr>
          <w:rFonts w:ascii="Arial" w:eastAsia="宋体" w:hAnsi="Arial" w:cs="Arial"/>
          <w:color w:val="000000"/>
          <w:sz w:val="20"/>
          <w:szCs w:val="20"/>
        </w:rPr>
        <w:t>by $4,653 million compared with the same period in 2019 primarily due to lower wide-body deliveries driven by the impacts of the COVID-19 pandemic and 787 quality issues and associated rework. Revenues in both periods were adversely impacted by the 737 MAX</w:t>
      </w:r>
      <w:r>
        <w:rPr>
          <w:rFonts w:ascii="Arial" w:eastAsia="宋体" w:hAnsi="Arial" w:cs="Arial"/>
          <w:color w:val="000000"/>
          <w:sz w:val="20"/>
          <w:szCs w:val="20"/>
        </w:rPr>
        <w:t xml:space="preserve"> grounding. </w:t>
      </w:r>
    </w:p>
    <w:p w14:paraId="4090F782" w14:textId="77777777" w:rsidR="00833634" w:rsidRDefault="00E15D51">
      <w:pPr>
        <w:spacing w:after="180"/>
        <w:jc w:val="both"/>
      </w:pPr>
      <w:r>
        <w:rPr>
          <w:rFonts w:ascii="Arial" w:eastAsia="宋体" w:hAnsi="Arial" w:cs="Arial"/>
          <w:color w:val="000000"/>
          <w:sz w:val="20"/>
          <w:szCs w:val="20"/>
        </w:rPr>
        <w:t>The 737 MAX grounding will continue to have a significant impact on future revenues until deliveries resume, and COVID-19 will continue to have a significant impact on future revenues until the commercial airline industry recovers.</w:t>
      </w:r>
    </w:p>
    <w:p w14:paraId="4090F783" w14:textId="77777777" w:rsidR="00833634" w:rsidRDefault="00E15D51">
      <w:pPr>
        <w:jc w:val="both"/>
      </w:pPr>
      <w:r>
        <w:rPr>
          <w:rFonts w:ascii="Arial" w:eastAsia="宋体" w:hAnsi="Arial" w:cs="Arial"/>
          <w:color w:val="000000"/>
          <w:sz w:val="20"/>
          <w:szCs w:val="20"/>
        </w:rPr>
        <w:t xml:space="preserve">Commercial </w:t>
      </w:r>
      <w:r>
        <w:rPr>
          <w:rFonts w:ascii="Arial" w:eastAsia="宋体" w:hAnsi="Arial" w:cs="Arial"/>
          <w:color w:val="000000"/>
          <w:sz w:val="20"/>
          <w:szCs w:val="20"/>
        </w:rPr>
        <w:t>airplane deliveries, including intercompany deliveries, were as follows:</w:t>
      </w:r>
    </w:p>
    <w:tbl>
      <w:tblPr>
        <w:tblW w:w="4992" w:type="pct"/>
        <w:tblCellMar>
          <w:top w:w="15" w:type="dxa"/>
          <w:left w:w="15" w:type="dxa"/>
          <w:bottom w:w="15" w:type="dxa"/>
          <w:right w:w="15" w:type="dxa"/>
        </w:tblCellMar>
        <w:tblLook w:val="04A0" w:firstRow="1" w:lastRow="0" w:firstColumn="1" w:lastColumn="0" w:noHBand="0" w:noVBand="1"/>
      </w:tblPr>
      <w:tblGrid>
        <w:gridCol w:w="65"/>
        <w:gridCol w:w="3566"/>
        <w:gridCol w:w="37"/>
        <w:gridCol w:w="82"/>
        <w:gridCol w:w="495"/>
        <w:gridCol w:w="36"/>
        <w:gridCol w:w="71"/>
        <w:gridCol w:w="194"/>
        <w:gridCol w:w="36"/>
        <w:gridCol w:w="78"/>
        <w:gridCol w:w="499"/>
        <w:gridCol w:w="36"/>
        <w:gridCol w:w="36"/>
        <w:gridCol w:w="36"/>
        <w:gridCol w:w="36"/>
        <w:gridCol w:w="82"/>
        <w:gridCol w:w="495"/>
        <w:gridCol w:w="36"/>
        <w:gridCol w:w="71"/>
        <w:gridCol w:w="194"/>
        <w:gridCol w:w="36"/>
        <w:gridCol w:w="82"/>
        <w:gridCol w:w="495"/>
        <w:gridCol w:w="36"/>
        <w:gridCol w:w="66"/>
        <w:gridCol w:w="127"/>
        <w:gridCol w:w="36"/>
        <w:gridCol w:w="58"/>
        <w:gridCol w:w="484"/>
        <w:gridCol w:w="36"/>
        <w:gridCol w:w="36"/>
        <w:gridCol w:w="36"/>
        <w:gridCol w:w="36"/>
        <w:gridCol w:w="74"/>
        <w:gridCol w:w="468"/>
        <w:gridCol w:w="36"/>
      </w:tblGrid>
      <w:tr w:rsidR="00833634" w14:paraId="4090F7A8" w14:textId="77777777">
        <w:tc>
          <w:tcPr>
            <w:tcW w:w="50" w:type="pct"/>
            <w:shd w:val="clear" w:color="auto" w:fill="auto"/>
          </w:tcPr>
          <w:p w14:paraId="4090F784" w14:textId="77777777" w:rsidR="00833634" w:rsidRDefault="00833634">
            <w:pPr>
              <w:rPr>
                <w:rFonts w:ascii="宋体"/>
              </w:rPr>
            </w:pPr>
          </w:p>
        </w:tc>
        <w:tc>
          <w:tcPr>
            <w:tcW w:w="2152" w:type="pct"/>
            <w:shd w:val="clear" w:color="auto" w:fill="auto"/>
          </w:tcPr>
          <w:p w14:paraId="4090F785" w14:textId="77777777" w:rsidR="00833634" w:rsidRDefault="00833634">
            <w:pPr>
              <w:rPr>
                <w:rFonts w:ascii="宋体"/>
              </w:rPr>
            </w:pPr>
          </w:p>
        </w:tc>
        <w:tc>
          <w:tcPr>
            <w:tcW w:w="5" w:type="pct"/>
            <w:shd w:val="clear" w:color="auto" w:fill="auto"/>
          </w:tcPr>
          <w:p w14:paraId="4090F786" w14:textId="77777777" w:rsidR="00833634" w:rsidRDefault="00833634">
            <w:pPr>
              <w:rPr>
                <w:rFonts w:ascii="宋体"/>
              </w:rPr>
            </w:pPr>
          </w:p>
        </w:tc>
        <w:tc>
          <w:tcPr>
            <w:tcW w:w="50" w:type="pct"/>
            <w:shd w:val="clear" w:color="auto" w:fill="auto"/>
          </w:tcPr>
          <w:p w14:paraId="4090F787" w14:textId="77777777" w:rsidR="00833634" w:rsidRDefault="00833634">
            <w:pPr>
              <w:rPr>
                <w:rFonts w:ascii="宋体"/>
              </w:rPr>
            </w:pPr>
          </w:p>
        </w:tc>
        <w:tc>
          <w:tcPr>
            <w:tcW w:w="306" w:type="pct"/>
            <w:shd w:val="clear" w:color="auto" w:fill="auto"/>
          </w:tcPr>
          <w:p w14:paraId="4090F788" w14:textId="77777777" w:rsidR="00833634" w:rsidRDefault="00833634">
            <w:pPr>
              <w:rPr>
                <w:rFonts w:ascii="宋体"/>
              </w:rPr>
            </w:pPr>
          </w:p>
        </w:tc>
        <w:tc>
          <w:tcPr>
            <w:tcW w:w="5" w:type="pct"/>
            <w:shd w:val="clear" w:color="auto" w:fill="auto"/>
          </w:tcPr>
          <w:p w14:paraId="4090F789" w14:textId="77777777" w:rsidR="00833634" w:rsidRDefault="00833634">
            <w:pPr>
              <w:rPr>
                <w:rFonts w:ascii="宋体"/>
              </w:rPr>
            </w:pPr>
          </w:p>
        </w:tc>
        <w:tc>
          <w:tcPr>
            <w:tcW w:w="50" w:type="pct"/>
            <w:shd w:val="clear" w:color="auto" w:fill="auto"/>
          </w:tcPr>
          <w:p w14:paraId="4090F78A" w14:textId="77777777" w:rsidR="00833634" w:rsidRDefault="00833634">
            <w:pPr>
              <w:rPr>
                <w:rFonts w:ascii="宋体"/>
              </w:rPr>
            </w:pPr>
          </w:p>
        </w:tc>
        <w:tc>
          <w:tcPr>
            <w:tcW w:w="137" w:type="pct"/>
            <w:shd w:val="clear" w:color="auto" w:fill="auto"/>
          </w:tcPr>
          <w:p w14:paraId="4090F78B" w14:textId="77777777" w:rsidR="00833634" w:rsidRDefault="00833634">
            <w:pPr>
              <w:rPr>
                <w:rFonts w:ascii="宋体"/>
              </w:rPr>
            </w:pPr>
          </w:p>
        </w:tc>
        <w:tc>
          <w:tcPr>
            <w:tcW w:w="5" w:type="pct"/>
            <w:shd w:val="clear" w:color="auto" w:fill="auto"/>
          </w:tcPr>
          <w:p w14:paraId="4090F78C" w14:textId="77777777" w:rsidR="00833634" w:rsidRDefault="00833634">
            <w:pPr>
              <w:rPr>
                <w:rFonts w:ascii="宋体"/>
              </w:rPr>
            </w:pPr>
          </w:p>
        </w:tc>
        <w:tc>
          <w:tcPr>
            <w:tcW w:w="50" w:type="pct"/>
            <w:shd w:val="clear" w:color="auto" w:fill="auto"/>
          </w:tcPr>
          <w:p w14:paraId="4090F78D" w14:textId="77777777" w:rsidR="00833634" w:rsidRDefault="00833634">
            <w:pPr>
              <w:rPr>
                <w:rFonts w:ascii="宋体"/>
              </w:rPr>
            </w:pPr>
          </w:p>
        </w:tc>
        <w:tc>
          <w:tcPr>
            <w:tcW w:w="322" w:type="pct"/>
            <w:shd w:val="clear" w:color="auto" w:fill="auto"/>
          </w:tcPr>
          <w:p w14:paraId="4090F78E" w14:textId="77777777" w:rsidR="00833634" w:rsidRDefault="00833634">
            <w:pPr>
              <w:rPr>
                <w:rFonts w:ascii="宋体"/>
              </w:rPr>
            </w:pPr>
          </w:p>
        </w:tc>
        <w:tc>
          <w:tcPr>
            <w:tcW w:w="5" w:type="pct"/>
            <w:shd w:val="clear" w:color="auto" w:fill="auto"/>
          </w:tcPr>
          <w:p w14:paraId="4090F78F" w14:textId="77777777" w:rsidR="00833634" w:rsidRDefault="00833634">
            <w:pPr>
              <w:rPr>
                <w:rFonts w:ascii="宋体"/>
              </w:rPr>
            </w:pPr>
          </w:p>
        </w:tc>
        <w:tc>
          <w:tcPr>
            <w:tcW w:w="5" w:type="pct"/>
            <w:shd w:val="clear" w:color="auto" w:fill="auto"/>
          </w:tcPr>
          <w:p w14:paraId="4090F790" w14:textId="77777777" w:rsidR="00833634" w:rsidRDefault="00833634">
            <w:pPr>
              <w:rPr>
                <w:rFonts w:ascii="宋体"/>
              </w:rPr>
            </w:pPr>
          </w:p>
        </w:tc>
        <w:tc>
          <w:tcPr>
            <w:tcW w:w="30" w:type="pct"/>
            <w:shd w:val="clear" w:color="auto" w:fill="auto"/>
          </w:tcPr>
          <w:p w14:paraId="4090F791" w14:textId="77777777" w:rsidR="00833634" w:rsidRDefault="00833634">
            <w:pPr>
              <w:rPr>
                <w:rFonts w:ascii="宋体"/>
              </w:rPr>
            </w:pPr>
          </w:p>
        </w:tc>
        <w:tc>
          <w:tcPr>
            <w:tcW w:w="5" w:type="pct"/>
            <w:shd w:val="clear" w:color="auto" w:fill="auto"/>
          </w:tcPr>
          <w:p w14:paraId="4090F792" w14:textId="77777777" w:rsidR="00833634" w:rsidRDefault="00833634">
            <w:pPr>
              <w:rPr>
                <w:rFonts w:ascii="宋体"/>
              </w:rPr>
            </w:pPr>
          </w:p>
        </w:tc>
        <w:tc>
          <w:tcPr>
            <w:tcW w:w="50" w:type="pct"/>
            <w:shd w:val="clear" w:color="auto" w:fill="auto"/>
          </w:tcPr>
          <w:p w14:paraId="4090F793" w14:textId="77777777" w:rsidR="00833634" w:rsidRDefault="00833634">
            <w:pPr>
              <w:rPr>
                <w:rFonts w:ascii="宋体"/>
              </w:rPr>
            </w:pPr>
          </w:p>
        </w:tc>
        <w:tc>
          <w:tcPr>
            <w:tcW w:w="306" w:type="pct"/>
            <w:shd w:val="clear" w:color="auto" w:fill="auto"/>
          </w:tcPr>
          <w:p w14:paraId="4090F794" w14:textId="77777777" w:rsidR="00833634" w:rsidRDefault="00833634">
            <w:pPr>
              <w:rPr>
                <w:rFonts w:ascii="宋体"/>
              </w:rPr>
            </w:pPr>
          </w:p>
        </w:tc>
        <w:tc>
          <w:tcPr>
            <w:tcW w:w="5" w:type="pct"/>
            <w:shd w:val="clear" w:color="auto" w:fill="auto"/>
          </w:tcPr>
          <w:p w14:paraId="4090F795" w14:textId="77777777" w:rsidR="00833634" w:rsidRDefault="00833634">
            <w:pPr>
              <w:rPr>
                <w:rFonts w:ascii="宋体"/>
              </w:rPr>
            </w:pPr>
          </w:p>
        </w:tc>
        <w:tc>
          <w:tcPr>
            <w:tcW w:w="50" w:type="pct"/>
            <w:shd w:val="clear" w:color="auto" w:fill="auto"/>
          </w:tcPr>
          <w:p w14:paraId="4090F796" w14:textId="77777777" w:rsidR="00833634" w:rsidRDefault="00833634">
            <w:pPr>
              <w:rPr>
                <w:rFonts w:ascii="宋体"/>
              </w:rPr>
            </w:pPr>
          </w:p>
        </w:tc>
        <w:tc>
          <w:tcPr>
            <w:tcW w:w="137" w:type="pct"/>
            <w:shd w:val="clear" w:color="auto" w:fill="auto"/>
          </w:tcPr>
          <w:p w14:paraId="4090F797" w14:textId="77777777" w:rsidR="00833634" w:rsidRDefault="00833634">
            <w:pPr>
              <w:rPr>
                <w:rFonts w:ascii="宋体"/>
              </w:rPr>
            </w:pPr>
          </w:p>
        </w:tc>
        <w:tc>
          <w:tcPr>
            <w:tcW w:w="5" w:type="pct"/>
            <w:shd w:val="clear" w:color="auto" w:fill="auto"/>
          </w:tcPr>
          <w:p w14:paraId="4090F798" w14:textId="77777777" w:rsidR="00833634" w:rsidRDefault="00833634">
            <w:pPr>
              <w:rPr>
                <w:rFonts w:ascii="宋体"/>
              </w:rPr>
            </w:pPr>
          </w:p>
        </w:tc>
        <w:tc>
          <w:tcPr>
            <w:tcW w:w="50" w:type="pct"/>
            <w:shd w:val="clear" w:color="auto" w:fill="auto"/>
          </w:tcPr>
          <w:p w14:paraId="4090F799" w14:textId="77777777" w:rsidR="00833634" w:rsidRDefault="00833634">
            <w:pPr>
              <w:rPr>
                <w:rFonts w:ascii="宋体"/>
              </w:rPr>
            </w:pPr>
          </w:p>
        </w:tc>
        <w:tc>
          <w:tcPr>
            <w:tcW w:w="306" w:type="pct"/>
            <w:shd w:val="clear" w:color="auto" w:fill="auto"/>
          </w:tcPr>
          <w:p w14:paraId="4090F79A" w14:textId="77777777" w:rsidR="00833634" w:rsidRDefault="00833634">
            <w:pPr>
              <w:rPr>
                <w:rFonts w:ascii="宋体"/>
              </w:rPr>
            </w:pPr>
          </w:p>
        </w:tc>
        <w:tc>
          <w:tcPr>
            <w:tcW w:w="5" w:type="pct"/>
            <w:shd w:val="clear" w:color="auto" w:fill="auto"/>
          </w:tcPr>
          <w:p w14:paraId="4090F79B" w14:textId="77777777" w:rsidR="00833634" w:rsidRDefault="00833634">
            <w:pPr>
              <w:rPr>
                <w:rFonts w:ascii="宋体"/>
              </w:rPr>
            </w:pPr>
          </w:p>
        </w:tc>
        <w:tc>
          <w:tcPr>
            <w:tcW w:w="50" w:type="pct"/>
            <w:shd w:val="clear" w:color="auto" w:fill="auto"/>
          </w:tcPr>
          <w:p w14:paraId="4090F79C" w14:textId="77777777" w:rsidR="00833634" w:rsidRDefault="00833634">
            <w:pPr>
              <w:rPr>
                <w:rFonts w:ascii="宋体"/>
              </w:rPr>
            </w:pPr>
          </w:p>
        </w:tc>
        <w:tc>
          <w:tcPr>
            <w:tcW w:w="97" w:type="pct"/>
            <w:shd w:val="clear" w:color="auto" w:fill="auto"/>
          </w:tcPr>
          <w:p w14:paraId="4090F79D" w14:textId="77777777" w:rsidR="00833634" w:rsidRDefault="00833634">
            <w:pPr>
              <w:rPr>
                <w:rFonts w:ascii="宋体"/>
              </w:rPr>
            </w:pPr>
          </w:p>
        </w:tc>
        <w:tc>
          <w:tcPr>
            <w:tcW w:w="5" w:type="pct"/>
            <w:shd w:val="clear" w:color="auto" w:fill="auto"/>
          </w:tcPr>
          <w:p w14:paraId="4090F79E" w14:textId="77777777" w:rsidR="00833634" w:rsidRDefault="00833634">
            <w:pPr>
              <w:rPr>
                <w:rFonts w:ascii="宋体"/>
              </w:rPr>
            </w:pPr>
          </w:p>
        </w:tc>
        <w:tc>
          <w:tcPr>
            <w:tcW w:w="50" w:type="pct"/>
            <w:shd w:val="clear" w:color="auto" w:fill="auto"/>
          </w:tcPr>
          <w:p w14:paraId="4090F79F" w14:textId="77777777" w:rsidR="00833634" w:rsidRDefault="00833634">
            <w:pPr>
              <w:rPr>
                <w:rFonts w:ascii="宋体"/>
              </w:rPr>
            </w:pPr>
          </w:p>
        </w:tc>
        <w:tc>
          <w:tcPr>
            <w:tcW w:w="306" w:type="pct"/>
            <w:shd w:val="clear" w:color="auto" w:fill="auto"/>
          </w:tcPr>
          <w:p w14:paraId="4090F7A0" w14:textId="77777777" w:rsidR="00833634" w:rsidRDefault="00833634">
            <w:pPr>
              <w:rPr>
                <w:rFonts w:ascii="宋体"/>
              </w:rPr>
            </w:pPr>
          </w:p>
        </w:tc>
        <w:tc>
          <w:tcPr>
            <w:tcW w:w="5" w:type="pct"/>
            <w:shd w:val="clear" w:color="auto" w:fill="auto"/>
          </w:tcPr>
          <w:p w14:paraId="4090F7A1" w14:textId="77777777" w:rsidR="00833634" w:rsidRDefault="00833634">
            <w:pPr>
              <w:rPr>
                <w:rFonts w:ascii="宋体"/>
              </w:rPr>
            </w:pPr>
          </w:p>
        </w:tc>
        <w:tc>
          <w:tcPr>
            <w:tcW w:w="5" w:type="pct"/>
            <w:shd w:val="clear" w:color="auto" w:fill="auto"/>
          </w:tcPr>
          <w:p w14:paraId="4090F7A2" w14:textId="77777777" w:rsidR="00833634" w:rsidRDefault="00833634">
            <w:pPr>
              <w:rPr>
                <w:rFonts w:ascii="宋体"/>
              </w:rPr>
            </w:pPr>
          </w:p>
        </w:tc>
        <w:tc>
          <w:tcPr>
            <w:tcW w:w="30" w:type="pct"/>
            <w:shd w:val="clear" w:color="auto" w:fill="auto"/>
          </w:tcPr>
          <w:p w14:paraId="4090F7A3" w14:textId="77777777" w:rsidR="00833634" w:rsidRDefault="00833634">
            <w:pPr>
              <w:rPr>
                <w:rFonts w:ascii="宋体"/>
              </w:rPr>
            </w:pPr>
          </w:p>
        </w:tc>
        <w:tc>
          <w:tcPr>
            <w:tcW w:w="5" w:type="pct"/>
            <w:shd w:val="clear" w:color="auto" w:fill="auto"/>
          </w:tcPr>
          <w:p w14:paraId="4090F7A4" w14:textId="77777777" w:rsidR="00833634" w:rsidRDefault="00833634">
            <w:pPr>
              <w:rPr>
                <w:rFonts w:ascii="宋体"/>
              </w:rPr>
            </w:pPr>
          </w:p>
        </w:tc>
        <w:tc>
          <w:tcPr>
            <w:tcW w:w="50" w:type="pct"/>
            <w:shd w:val="clear" w:color="auto" w:fill="auto"/>
          </w:tcPr>
          <w:p w14:paraId="4090F7A5" w14:textId="77777777" w:rsidR="00833634" w:rsidRDefault="00833634">
            <w:pPr>
              <w:rPr>
                <w:rFonts w:ascii="宋体"/>
              </w:rPr>
            </w:pPr>
          </w:p>
        </w:tc>
        <w:tc>
          <w:tcPr>
            <w:tcW w:w="298" w:type="pct"/>
            <w:shd w:val="clear" w:color="auto" w:fill="auto"/>
          </w:tcPr>
          <w:p w14:paraId="4090F7A6" w14:textId="77777777" w:rsidR="00833634" w:rsidRDefault="00833634">
            <w:pPr>
              <w:rPr>
                <w:rFonts w:ascii="宋体"/>
              </w:rPr>
            </w:pPr>
          </w:p>
        </w:tc>
        <w:tc>
          <w:tcPr>
            <w:tcW w:w="5" w:type="pct"/>
            <w:shd w:val="clear" w:color="auto" w:fill="auto"/>
          </w:tcPr>
          <w:p w14:paraId="4090F7A7" w14:textId="77777777" w:rsidR="00833634" w:rsidRDefault="00833634">
            <w:pPr>
              <w:rPr>
                <w:rFonts w:ascii="宋体"/>
              </w:rPr>
            </w:pPr>
          </w:p>
        </w:tc>
      </w:tr>
      <w:tr w:rsidR="00833634" w14:paraId="4090F7BA" w14:textId="77777777">
        <w:tc>
          <w:tcPr>
            <w:tcW w:w="0" w:type="auto"/>
            <w:gridSpan w:val="3"/>
            <w:shd w:val="clear" w:color="auto" w:fill="auto"/>
            <w:tcMar>
              <w:top w:w="0" w:type="dxa"/>
              <w:left w:w="20" w:type="dxa"/>
              <w:bottom w:w="0" w:type="dxa"/>
              <w:right w:w="20" w:type="dxa"/>
            </w:tcMar>
          </w:tcPr>
          <w:p w14:paraId="4090F7A9"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7AA" w14:textId="77777777" w:rsidR="00833634" w:rsidRDefault="00E15D51">
            <w:pPr>
              <w:jc w:val="right"/>
              <w:textAlignment w:val="bottom"/>
            </w:pPr>
            <w:r>
              <w:rPr>
                <w:rFonts w:ascii="Arial" w:eastAsia="宋体" w:hAnsi="Arial" w:cs="Arial"/>
                <w:b/>
                <w:bCs/>
                <w:color w:val="000000"/>
                <w:sz w:val="20"/>
                <w:szCs w:val="20"/>
              </w:rPr>
              <w:t>737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7AB" w14:textId="77777777" w:rsidR="00833634" w:rsidRDefault="00833634">
            <w:pPr>
              <w:jc w:val="right"/>
              <w:rPr>
                <w:rFonts w:ascii="宋体"/>
              </w:rPr>
            </w:pPr>
          </w:p>
        </w:tc>
        <w:tc>
          <w:tcPr>
            <w:tcW w:w="0" w:type="auto"/>
            <w:gridSpan w:val="3"/>
            <w:shd w:val="clear" w:color="auto" w:fill="auto"/>
            <w:tcMar>
              <w:top w:w="40" w:type="dxa"/>
              <w:left w:w="20" w:type="dxa"/>
              <w:bottom w:w="40" w:type="dxa"/>
              <w:right w:w="20" w:type="dxa"/>
            </w:tcMar>
            <w:vAlign w:val="center"/>
          </w:tcPr>
          <w:p w14:paraId="4090F7AC" w14:textId="77777777" w:rsidR="00833634" w:rsidRDefault="00E15D51">
            <w:pPr>
              <w:jc w:val="center"/>
              <w:textAlignment w:val="center"/>
            </w:pPr>
            <w:r>
              <w:rPr>
                <w:rFonts w:ascii="Arial" w:eastAsia="宋体" w:hAnsi="Arial" w:cs="Arial"/>
                <w:color w:val="000000"/>
              </w:rPr>
              <w:t>*</w:t>
            </w:r>
          </w:p>
        </w:tc>
        <w:tc>
          <w:tcPr>
            <w:tcW w:w="0" w:type="auto"/>
            <w:gridSpan w:val="2"/>
            <w:shd w:val="clear" w:color="auto" w:fill="auto"/>
            <w:tcMar>
              <w:top w:w="40" w:type="dxa"/>
              <w:left w:w="20" w:type="dxa"/>
              <w:bottom w:w="40" w:type="dxa"/>
              <w:right w:w="0" w:type="dxa"/>
            </w:tcMar>
            <w:vAlign w:val="bottom"/>
          </w:tcPr>
          <w:p w14:paraId="4090F7AD" w14:textId="77777777" w:rsidR="00833634" w:rsidRDefault="00E15D51">
            <w:pPr>
              <w:jc w:val="right"/>
              <w:textAlignment w:val="bottom"/>
            </w:pPr>
            <w:r>
              <w:rPr>
                <w:rFonts w:ascii="Arial" w:eastAsia="宋体" w:hAnsi="Arial" w:cs="Arial"/>
                <w:b/>
                <w:bCs/>
                <w:color w:val="000000"/>
                <w:sz w:val="20"/>
                <w:szCs w:val="20"/>
              </w:rPr>
              <w:t>747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7AE"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7AF"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7B0" w14:textId="77777777" w:rsidR="00833634" w:rsidRDefault="00E15D51">
            <w:pPr>
              <w:jc w:val="right"/>
              <w:textAlignment w:val="bottom"/>
            </w:pPr>
            <w:r>
              <w:rPr>
                <w:rFonts w:ascii="Arial" w:eastAsia="宋体" w:hAnsi="Arial" w:cs="Arial"/>
                <w:b/>
                <w:bCs/>
                <w:color w:val="000000"/>
                <w:sz w:val="20"/>
                <w:szCs w:val="20"/>
              </w:rPr>
              <w:t>767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7B1" w14:textId="77777777" w:rsidR="00833634" w:rsidRDefault="00833634">
            <w:pPr>
              <w:jc w:val="right"/>
              <w:rPr>
                <w:rFonts w:ascii="宋体"/>
              </w:rPr>
            </w:pPr>
          </w:p>
        </w:tc>
        <w:tc>
          <w:tcPr>
            <w:tcW w:w="0" w:type="auto"/>
            <w:gridSpan w:val="3"/>
            <w:shd w:val="clear" w:color="auto" w:fill="auto"/>
            <w:tcMar>
              <w:top w:w="40" w:type="dxa"/>
              <w:left w:w="20" w:type="dxa"/>
              <w:bottom w:w="40" w:type="dxa"/>
              <w:right w:w="20" w:type="dxa"/>
            </w:tcMar>
            <w:vAlign w:val="bottom"/>
          </w:tcPr>
          <w:p w14:paraId="4090F7B2" w14:textId="77777777" w:rsidR="00833634" w:rsidRDefault="00E15D51">
            <w:pPr>
              <w:jc w:val="center"/>
              <w:textAlignment w:val="bottom"/>
            </w:pPr>
            <w:r>
              <w:rPr>
                <w:rFonts w:ascii="Arial" w:eastAsia="宋体" w:hAnsi="Arial" w:cs="Arial"/>
                <w:color w:val="000000"/>
              </w:rPr>
              <w:t>*</w:t>
            </w:r>
          </w:p>
        </w:tc>
        <w:tc>
          <w:tcPr>
            <w:tcW w:w="0" w:type="auto"/>
            <w:gridSpan w:val="2"/>
            <w:shd w:val="clear" w:color="auto" w:fill="auto"/>
            <w:tcMar>
              <w:top w:w="40" w:type="dxa"/>
              <w:left w:w="20" w:type="dxa"/>
              <w:bottom w:w="40" w:type="dxa"/>
              <w:right w:w="0" w:type="dxa"/>
            </w:tcMar>
            <w:vAlign w:val="bottom"/>
          </w:tcPr>
          <w:p w14:paraId="4090F7B3" w14:textId="77777777" w:rsidR="00833634" w:rsidRDefault="00E15D51">
            <w:pPr>
              <w:jc w:val="right"/>
              <w:textAlignment w:val="bottom"/>
            </w:pPr>
            <w:r>
              <w:rPr>
                <w:rFonts w:ascii="Arial" w:eastAsia="宋体" w:hAnsi="Arial" w:cs="Arial"/>
                <w:b/>
                <w:bCs/>
                <w:color w:val="000000"/>
                <w:sz w:val="20"/>
                <w:szCs w:val="20"/>
              </w:rPr>
              <w:t>777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7B4" w14:textId="77777777" w:rsidR="00833634" w:rsidRDefault="00833634">
            <w:pPr>
              <w:jc w:val="right"/>
              <w:rPr>
                <w:rFonts w:ascii="宋体"/>
              </w:rPr>
            </w:pPr>
          </w:p>
        </w:tc>
        <w:tc>
          <w:tcPr>
            <w:tcW w:w="0" w:type="auto"/>
            <w:gridSpan w:val="3"/>
            <w:shd w:val="clear" w:color="auto" w:fill="auto"/>
            <w:tcMar>
              <w:top w:w="40" w:type="dxa"/>
              <w:left w:w="20" w:type="dxa"/>
              <w:bottom w:w="40" w:type="dxa"/>
              <w:right w:w="20" w:type="dxa"/>
            </w:tcMar>
            <w:vAlign w:val="center"/>
          </w:tcPr>
          <w:p w14:paraId="4090F7B5" w14:textId="77777777" w:rsidR="00833634" w:rsidRDefault="00E15D51">
            <w:pPr>
              <w:jc w:val="center"/>
              <w:textAlignment w:val="center"/>
            </w:pPr>
            <w:r>
              <w:rPr>
                <w:rFonts w:ascii="Arial" w:eastAsia="宋体" w:hAnsi="Arial" w:cs="Arial"/>
                <w:color w:val="000000"/>
                <w:sz w:val="20"/>
                <w:szCs w:val="20"/>
              </w:rPr>
              <w:t>†</w:t>
            </w:r>
          </w:p>
        </w:tc>
        <w:tc>
          <w:tcPr>
            <w:tcW w:w="0" w:type="auto"/>
            <w:gridSpan w:val="2"/>
            <w:shd w:val="clear" w:color="auto" w:fill="auto"/>
            <w:tcMar>
              <w:top w:w="40" w:type="dxa"/>
              <w:left w:w="20" w:type="dxa"/>
              <w:bottom w:w="40" w:type="dxa"/>
              <w:right w:w="0" w:type="dxa"/>
            </w:tcMar>
            <w:vAlign w:val="bottom"/>
          </w:tcPr>
          <w:p w14:paraId="4090F7B6" w14:textId="77777777" w:rsidR="00833634" w:rsidRDefault="00E15D51">
            <w:pPr>
              <w:jc w:val="right"/>
              <w:textAlignment w:val="bottom"/>
            </w:pPr>
            <w:r>
              <w:rPr>
                <w:rFonts w:ascii="Arial" w:eastAsia="宋体" w:hAnsi="Arial" w:cs="Arial"/>
                <w:b/>
                <w:bCs/>
                <w:color w:val="000000"/>
                <w:sz w:val="20"/>
                <w:szCs w:val="20"/>
              </w:rPr>
              <w:t>787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7B7"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7B8"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7B9" w14:textId="77777777" w:rsidR="00833634" w:rsidRDefault="00E15D51">
            <w:pPr>
              <w:jc w:val="right"/>
              <w:textAlignment w:val="bottom"/>
            </w:pPr>
            <w:r>
              <w:rPr>
                <w:rFonts w:ascii="Arial" w:eastAsia="宋体" w:hAnsi="Arial" w:cs="Arial"/>
                <w:b/>
                <w:bCs/>
                <w:color w:val="000000"/>
                <w:sz w:val="20"/>
                <w:szCs w:val="20"/>
              </w:rPr>
              <w:t>Total</w:t>
            </w:r>
          </w:p>
        </w:tc>
      </w:tr>
      <w:tr w:rsidR="00833634" w14:paraId="4090F7CD"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7BB" w14:textId="77777777" w:rsidR="00833634" w:rsidRDefault="00E15D51">
            <w:pPr>
              <w:textAlignment w:val="bottom"/>
            </w:pPr>
            <w:r>
              <w:rPr>
                <w:rFonts w:ascii="Arial" w:eastAsia="宋体" w:hAnsi="Arial" w:cs="Arial"/>
                <w:color w:val="000000"/>
                <w:sz w:val="20"/>
                <w:szCs w:val="20"/>
              </w:rPr>
              <w:t>Deliveries during the first nine months of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BC" w14:textId="77777777" w:rsidR="00833634" w:rsidRDefault="00E15D51">
            <w:pPr>
              <w:jc w:val="right"/>
              <w:textAlignment w:val="bottom"/>
            </w:pPr>
            <w:r>
              <w:rPr>
                <w:rFonts w:ascii="Arial" w:eastAsia="宋体" w:hAnsi="Arial" w:cs="Arial"/>
                <w:color w:val="000000"/>
                <w:sz w:val="20"/>
                <w:szCs w:val="20"/>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B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090F7BE" w14:textId="77777777" w:rsidR="00833634" w:rsidRDefault="00E15D51">
            <w:pPr>
              <w:jc w:val="center"/>
              <w:textAlignment w:val="center"/>
            </w:pPr>
            <w:r>
              <w:rPr>
                <w:rFonts w:ascii="Arial" w:eastAsia="宋体" w:hAnsi="Arial" w:cs="Arial"/>
                <w:color w:val="000000"/>
                <w:sz w:val="13"/>
                <w:szCs w:val="13"/>
              </w:rPr>
              <w:t>(10)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BF" w14:textId="77777777" w:rsidR="00833634" w:rsidRDefault="00E15D51">
            <w:pPr>
              <w:jc w:val="right"/>
              <w:textAlignment w:val="bottom"/>
            </w:pPr>
            <w:r>
              <w:rPr>
                <w:rFonts w:ascii="Arial" w:eastAsia="宋体" w:hAnsi="Arial" w:cs="Arial"/>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C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7C1"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C2" w14:textId="77777777" w:rsidR="00833634" w:rsidRDefault="00E15D51">
            <w:pPr>
              <w:jc w:val="right"/>
              <w:textAlignment w:val="bottom"/>
            </w:pPr>
            <w:r>
              <w:rPr>
                <w:rFonts w:ascii="Arial" w:eastAsia="宋体" w:hAnsi="Arial" w:cs="Arial"/>
                <w:color w:val="000000"/>
                <w:sz w:val="20"/>
                <w:szCs w:val="20"/>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C3" w14:textId="77777777" w:rsidR="00833634" w:rsidRDefault="00833634">
            <w:pPr>
              <w:jc w:val="right"/>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4090F7C4" w14:textId="77777777" w:rsidR="00833634" w:rsidRDefault="00E15D51">
            <w:pPr>
              <w:jc w:val="center"/>
              <w:textAlignment w:val="center"/>
            </w:pPr>
            <w:r>
              <w:rPr>
                <w:rFonts w:ascii="Arial" w:eastAsia="宋体" w:hAnsi="Arial" w:cs="Arial"/>
                <w:color w:val="000000"/>
                <w:sz w:val="13"/>
                <w:szCs w:val="13"/>
              </w:rPr>
              <w:t>(8)</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C5" w14:textId="77777777" w:rsidR="00833634" w:rsidRDefault="00E15D51">
            <w:pPr>
              <w:jc w:val="right"/>
              <w:textAlignment w:val="bottom"/>
            </w:pPr>
            <w:r>
              <w:rPr>
                <w:rFonts w:ascii="Arial" w:eastAsia="宋体" w:hAnsi="Arial" w:cs="Arial"/>
                <w:color w:val="000000"/>
                <w:sz w:val="20"/>
                <w:szCs w:val="20"/>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C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7C7"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C8" w14:textId="77777777" w:rsidR="00833634" w:rsidRDefault="00E15D51">
            <w:pPr>
              <w:jc w:val="right"/>
              <w:textAlignment w:val="bottom"/>
            </w:pPr>
            <w:r>
              <w:rPr>
                <w:rFonts w:ascii="Arial" w:eastAsia="宋体" w:hAnsi="Arial" w:cs="Arial"/>
                <w:color w:val="000000"/>
                <w:sz w:val="20"/>
                <w:szCs w:val="20"/>
              </w:rPr>
              <w:t>49 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C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7C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7CB" w14:textId="77777777" w:rsidR="00833634" w:rsidRDefault="00E15D51">
            <w:pPr>
              <w:jc w:val="right"/>
              <w:textAlignment w:val="bottom"/>
            </w:pPr>
            <w:r>
              <w:rPr>
                <w:rFonts w:ascii="Arial" w:eastAsia="宋体" w:hAnsi="Arial" w:cs="Arial"/>
                <w:color w:val="000000"/>
                <w:sz w:val="20"/>
                <w:szCs w:val="20"/>
              </w:rPr>
              <w:t>98 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7CC" w14:textId="77777777" w:rsidR="00833634" w:rsidRDefault="00833634">
            <w:pPr>
              <w:jc w:val="right"/>
              <w:rPr>
                <w:rFonts w:ascii="宋体"/>
              </w:rPr>
            </w:pPr>
          </w:p>
        </w:tc>
      </w:tr>
      <w:tr w:rsidR="00833634" w14:paraId="4090F7E0" w14:textId="77777777">
        <w:tc>
          <w:tcPr>
            <w:tcW w:w="0" w:type="auto"/>
            <w:gridSpan w:val="3"/>
            <w:shd w:val="clear" w:color="auto" w:fill="FFFFFF"/>
            <w:tcMar>
              <w:top w:w="40" w:type="dxa"/>
              <w:left w:w="20" w:type="dxa"/>
              <w:bottom w:w="40" w:type="dxa"/>
              <w:right w:w="20" w:type="dxa"/>
            </w:tcMar>
            <w:vAlign w:val="bottom"/>
          </w:tcPr>
          <w:p w14:paraId="4090F7CE" w14:textId="77777777" w:rsidR="00833634" w:rsidRDefault="00E15D51">
            <w:pPr>
              <w:textAlignment w:val="bottom"/>
            </w:pPr>
            <w:r>
              <w:rPr>
                <w:rFonts w:ascii="Arial" w:eastAsia="宋体" w:hAnsi="Arial" w:cs="Arial"/>
                <w:color w:val="000000"/>
                <w:sz w:val="20"/>
                <w:szCs w:val="20"/>
              </w:rPr>
              <w:t>Deliveries during the first nine months of 2019</w:t>
            </w:r>
          </w:p>
        </w:tc>
        <w:tc>
          <w:tcPr>
            <w:tcW w:w="0" w:type="auto"/>
            <w:gridSpan w:val="2"/>
            <w:shd w:val="clear" w:color="auto" w:fill="FFFFFF"/>
            <w:tcMar>
              <w:top w:w="40" w:type="dxa"/>
              <w:left w:w="20" w:type="dxa"/>
              <w:bottom w:w="40" w:type="dxa"/>
              <w:right w:w="0" w:type="dxa"/>
            </w:tcMar>
            <w:vAlign w:val="bottom"/>
          </w:tcPr>
          <w:p w14:paraId="4090F7CF" w14:textId="77777777" w:rsidR="00833634" w:rsidRDefault="00E15D51">
            <w:pPr>
              <w:jc w:val="right"/>
              <w:textAlignment w:val="bottom"/>
            </w:pPr>
            <w:r>
              <w:rPr>
                <w:rFonts w:ascii="Arial" w:eastAsia="宋体" w:hAnsi="Arial" w:cs="Arial"/>
                <w:color w:val="000000"/>
                <w:sz w:val="20"/>
                <w:szCs w:val="20"/>
              </w:rPr>
              <w:t>118 </w:t>
            </w:r>
          </w:p>
        </w:tc>
        <w:tc>
          <w:tcPr>
            <w:tcW w:w="0" w:type="auto"/>
            <w:shd w:val="clear" w:color="auto" w:fill="FFFFFF"/>
            <w:tcMar>
              <w:top w:w="40" w:type="dxa"/>
              <w:left w:w="0" w:type="dxa"/>
              <w:bottom w:w="40" w:type="dxa"/>
              <w:right w:w="20" w:type="dxa"/>
            </w:tcMar>
            <w:vAlign w:val="bottom"/>
          </w:tcPr>
          <w:p w14:paraId="4090F7D0" w14:textId="77777777" w:rsidR="00833634" w:rsidRDefault="00833634">
            <w:pPr>
              <w:jc w:val="right"/>
              <w:rPr>
                <w:rFonts w:ascii="宋体"/>
              </w:rPr>
            </w:pPr>
          </w:p>
        </w:tc>
        <w:tc>
          <w:tcPr>
            <w:tcW w:w="0" w:type="auto"/>
            <w:gridSpan w:val="3"/>
            <w:shd w:val="clear" w:color="auto" w:fill="FFFFFF"/>
            <w:tcMar>
              <w:top w:w="40" w:type="dxa"/>
              <w:left w:w="20" w:type="dxa"/>
              <w:bottom w:w="40" w:type="dxa"/>
              <w:right w:w="20" w:type="dxa"/>
            </w:tcMar>
            <w:vAlign w:val="center"/>
          </w:tcPr>
          <w:p w14:paraId="4090F7D1" w14:textId="77777777" w:rsidR="00833634" w:rsidRDefault="00E15D51">
            <w:pPr>
              <w:jc w:val="center"/>
              <w:textAlignment w:val="center"/>
            </w:pPr>
            <w:r>
              <w:rPr>
                <w:rFonts w:ascii="Arial" w:eastAsia="宋体" w:hAnsi="Arial" w:cs="Arial"/>
                <w:color w:val="000000"/>
                <w:sz w:val="13"/>
                <w:szCs w:val="13"/>
              </w:rPr>
              <w:t>(15)</w:t>
            </w:r>
          </w:p>
        </w:tc>
        <w:tc>
          <w:tcPr>
            <w:tcW w:w="0" w:type="auto"/>
            <w:gridSpan w:val="2"/>
            <w:shd w:val="clear" w:color="auto" w:fill="FFFFFF"/>
            <w:tcMar>
              <w:top w:w="40" w:type="dxa"/>
              <w:left w:w="20" w:type="dxa"/>
              <w:bottom w:w="40" w:type="dxa"/>
              <w:right w:w="0" w:type="dxa"/>
            </w:tcMar>
            <w:vAlign w:val="bottom"/>
          </w:tcPr>
          <w:p w14:paraId="4090F7D2" w14:textId="77777777" w:rsidR="00833634" w:rsidRDefault="00E15D51">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4090F7D3"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7D4"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7D5" w14:textId="77777777" w:rsidR="00833634" w:rsidRDefault="00E15D51">
            <w:pPr>
              <w:jc w:val="right"/>
              <w:textAlignment w:val="bottom"/>
            </w:pPr>
            <w:r>
              <w:rPr>
                <w:rFonts w:ascii="Arial" w:eastAsia="宋体" w:hAnsi="Arial" w:cs="Arial"/>
                <w:color w:val="000000"/>
                <w:sz w:val="20"/>
                <w:szCs w:val="20"/>
              </w:rPr>
              <w:t>32 </w:t>
            </w:r>
          </w:p>
        </w:tc>
        <w:tc>
          <w:tcPr>
            <w:tcW w:w="0" w:type="auto"/>
            <w:shd w:val="clear" w:color="auto" w:fill="FFFFFF"/>
            <w:tcMar>
              <w:top w:w="40" w:type="dxa"/>
              <w:left w:w="0" w:type="dxa"/>
              <w:bottom w:w="40" w:type="dxa"/>
              <w:right w:w="20" w:type="dxa"/>
            </w:tcMar>
            <w:vAlign w:val="bottom"/>
          </w:tcPr>
          <w:p w14:paraId="4090F7D6" w14:textId="77777777" w:rsidR="00833634" w:rsidRDefault="00833634">
            <w:pPr>
              <w:jc w:val="right"/>
              <w:rPr>
                <w:rFonts w:ascii="宋体"/>
              </w:rPr>
            </w:pPr>
          </w:p>
        </w:tc>
        <w:tc>
          <w:tcPr>
            <w:tcW w:w="0" w:type="auto"/>
            <w:gridSpan w:val="3"/>
            <w:shd w:val="clear" w:color="auto" w:fill="FFFFFF"/>
            <w:tcMar>
              <w:top w:w="40" w:type="dxa"/>
              <w:left w:w="20" w:type="dxa"/>
              <w:bottom w:w="40" w:type="dxa"/>
              <w:right w:w="20" w:type="dxa"/>
            </w:tcMar>
            <w:vAlign w:val="center"/>
          </w:tcPr>
          <w:p w14:paraId="4090F7D7" w14:textId="77777777" w:rsidR="00833634" w:rsidRDefault="00E15D51">
            <w:pPr>
              <w:jc w:val="center"/>
              <w:textAlignment w:val="center"/>
            </w:pPr>
            <w:r>
              <w:rPr>
                <w:rFonts w:ascii="Arial" w:eastAsia="宋体" w:hAnsi="Arial" w:cs="Arial"/>
                <w:color w:val="000000"/>
                <w:sz w:val="13"/>
                <w:szCs w:val="13"/>
              </w:rPr>
              <w:t>(18)</w:t>
            </w:r>
          </w:p>
        </w:tc>
        <w:tc>
          <w:tcPr>
            <w:tcW w:w="0" w:type="auto"/>
            <w:gridSpan w:val="2"/>
            <w:shd w:val="clear" w:color="auto" w:fill="FFFFFF"/>
            <w:tcMar>
              <w:top w:w="40" w:type="dxa"/>
              <w:left w:w="20" w:type="dxa"/>
              <w:bottom w:w="40" w:type="dxa"/>
              <w:right w:w="0" w:type="dxa"/>
            </w:tcMar>
            <w:vAlign w:val="bottom"/>
          </w:tcPr>
          <w:p w14:paraId="4090F7D8" w14:textId="77777777" w:rsidR="00833634" w:rsidRDefault="00E15D51">
            <w:pPr>
              <w:jc w:val="right"/>
              <w:textAlignment w:val="bottom"/>
            </w:pPr>
            <w:r>
              <w:rPr>
                <w:rFonts w:ascii="Arial" w:eastAsia="宋体" w:hAnsi="Arial" w:cs="Arial"/>
                <w:color w:val="000000"/>
                <w:sz w:val="20"/>
                <w:szCs w:val="20"/>
              </w:rPr>
              <w:t>33 </w:t>
            </w:r>
          </w:p>
        </w:tc>
        <w:tc>
          <w:tcPr>
            <w:tcW w:w="0" w:type="auto"/>
            <w:shd w:val="clear" w:color="auto" w:fill="FFFFFF"/>
            <w:tcMar>
              <w:top w:w="40" w:type="dxa"/>
              <w:left w:w="0" w:type="dxa"/>
              <w:bottom w:w="40" w:type="dxa"/>
              <w:right w:w="20" w:type="dxa"/>
            </w:tcMar>
            <w:vAlign w:val="bottom"/>
          </w:tcPr>
          <w:p w14:paraId="4090F7D9" w14:textId="77777777" w:rsidR="00833634" w:rsidRDefault="00833634">
            <w:pPr>
              <w:jc w:val="right"/>
              <w:rPr>
                <w:rFonts w:ascii="宋体"/>
              </w:rPr>
            </w:pPr>
          </w:p>
        </w:tc>
        <w:tc>
          <w:tcPr>
            <w:tcW w:w="0" w:type="auto"/>
            <w:gridSpan w:val="3"/>
            <w:shd w:val="clear" w:color="auto" w:fill="FFFFFF"/>
            <w:tcMar>
              <w:top w:w="40" w:type="dxa"/>
              <w:left w:w="20" w:type="dxa"/>
              <w:bottom w:w="40" w:type="dxa"/>
              <w:right w:w="20" w:type="dxa"/>
            </w:tcMar>
            <w:vAlign w:val="center"/>
          </w:tcPr>
          <w:p w14:paraId="4090F7DA" w14:textId="77777777" w:rsidR="00833634" w:rsidRDefault="00E15D51">
            <w:pPr>
              <w:jc w:val="center"/>
              <w:textAlignment w:val="center"/>
            </w:pP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090F7DB" w14:textId="77777777" w:rsidR="00833634" w:rsidRDefault="00E15D51">
            <w:pPr>
              <w:jc w:val="right"/>
              <w:textAlignment w:val="bottom"/>
            </w:pPr>
            <w:r>
              <w:rPr>
                <w:rFonts w:ascii="Arial" w:eastAsia="宋体" w:hAnsi="Arial" w:cs="Arial"/>
                <w:color w:val="000000"/>
                <w:sz w:val="20"/>
                <w:szCs w:val="20"/>
              </w:rPr>
              <w:t>113 </w:t>
            </w:r>
          </w:p>
        </w:tc>
        <w:tc>
          <w:tcPr>
            <w:tcW w:w="0" w:type="auto"/>
            <w:shd w:val="clear" w:color="auto" w:fill="FFFFFF"/>
            <w:tcMar>
              <w:top w:w="40" w:type="dxa"/>
              <w:left w:w="0" w:type="dxa"/>
              <w:bottom w:w="40" w:type="dxa"/>
              <w:right w:w="20" w:type="dxa"/>
            </w:tcMar>
            <w:vAlign w:val="bottom"/>
          </w:tcPr>
          <w:p w14:paraId="4090F7DC"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7DD"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7DE" w14:textId="77777777" w:rsidR="00833634" w:rsidRDefault="00E15D51">
            <w:pPr>
              <w:jc w:val="right"/>
              <w:textAlignment w:val="bottom"/>
            </w:pPr>
            <w:r>
              <w:rPr>
                <w:rFonts w:ascii="Arial" w:eastAsia="宋体" w:hAnsi="Arial" w:cs="Arial"/>
                <w:color w:val="000000"/>
                <w:sz w:val="20"/>
                <w:szCs w:val="20"/>
              </w:rPr>
              <w:t>301 </w:t>
            </w:r>
          </w:p>
        </w:tc>
        <w:tc>
          <w:tcPr>
            <w:tcW w:w="0" w:type="auto"/>
            <w:shd w:val="clear" w:color="auto" w:fill="FFFFFF"/>
            <w:tcMar>
              <w:top w:w="40" w:type="dxa"/>
              <w:left w:w="0" w:type="dxa"/>
              <w:bottom w:w="40" w:type="dxa"/>
              <w:right w:w="20" w:type="dxa"/>
            </w:tcMar>
            <w:vAlign w:val="bottom"/>
          </w:tcPr>
          <w:p w14:paraId="4090F7DF" w14:textId="77777777" w:rsidR="00833634" w:rsidRDefault="00833634">
            <w:pPr>
              <w:jc w:val="right"/>
              <w:rPr>
                <w:rFonts w:ascii="宋体"/>
              </w:rPr>
            </w:pPr>
          </w:p>
        </w:tc>
      </w:tr>
      <w:tr w:rsidR="00833634" w14:paraId="4090F7F3" w14:textId="77777777">
        <w:tc>
          <w:tcPr>
            <w:tcW w:w="0" w:type="auto"/>
            <w:gridSpan w:val="3"/>
            <w:shd w:val="clear" w:color="auto" w:fill="CCEEFF"/>
            <w:tcMar>
              <w:top w:w="40" w:type="dxa"/>
              <w:left w:w="20" w:type="dxa"/>
              <w:bottom w:w="40" w:type="dxa"/>
              <w:right w:w="20" w:type="dxa"/>
            </w:tcMar>
            <w:vAlign w:val="bottom"/>
          </w:tcPr>
          <w:p w14:paraId="4090F7E1" w14:textId="77777777" w:rsidR="00833634" w:rsidRDefault="00E15D51">
            <w:pPr>
              <w:textAlignment w:val="bottom"/>
            </w:pPr>
            <w:r>
              <w:rPr>
                <w:rFonts w:ascii="Arial" w:eastAsia="宋体" w:hAnsi="Arial" w:cs="Arial"/>
                <w:color w:val="000000"/>
                <w:sz w:val="20"/>
                <w:szCs w:val="20"/>
              </w:rPr>
              <w:t>Deliveries during the third quarter of 2020</w:t>
            </w:r>
          </w:p>
        </w:tc>
        <w:tc>
          <w:tcPr>
            <w:tcW w:w="0" w:type="auto"/>
            <w:gridSpan w:val="2"/>
            <w:shd w:val="clear" w:color="auto" w:fill="CCEEFF"/>
            <w:tcMar>
              <w:top w:w="40" w:type="dxa"/>
              <w:left w:w="20" w:type="dxa"/>
              <w:bottom w:w="40" w:type="dxa"/>
              <w:right w:w="0" w:type="dxa"/>
            </w:tcMar>
            <w:vAlign w:val="bottom"/>
          </w:tcPr>
          <w:p w14:paraId="4090F7E2" w14:textId="77777777" w:rsidR="00833634" w:rsidRDefault="00E15D51">
            <w:pPr>
              <w:jc w:val="right"/>
              <w:textAlignment w:val="bottom"/>
            </w:pPr>
            <w:r>
              <w:rPr>
                <w:rFonts w:ascii="Arial" w:eastAsia="宋体" w:hAnsi="Arial" w:cs="Arial"/>
                <w:color w:val="000000"/>
                <w:sz w:val="20"/>
                <w:szCs w:val="20"/>
              </w:rPr>
              <w:t>3 </w:t>
            </w:r>
          </w:p>
        </w:tc>
        <w:tc>
          <w:tcPr>
            <w:tcW w:w="0" w:type="auto"/>
            <w:shd w:val="clear" w:color="auto" w:fill="CCEEFF"/>
            <w:tcMar>
              <w:top w:w="40" w:type="dxa"/>
              <w:left w:w="0" w:type="dxa"/>
              <w:bottom w:w="40" w:type="dxa"/>
              <w:right w:w="20" w:type="dxa"/>
            </w:tcMar>
            <w:vAlign w:val="bottom"/>
          </w:tcPr>
          <w:p w14:paraId="4090F7E3" w14:textId="77777777" w:rsidR="00833634" w:rsidRDefault="00833634">
            <w:pPr>
              <w:jc w:val="right"/>
              <w:rPr>
                <w:rFonts w:ascii="宋体"/>
              </w:rPr>
            </w:pPr>
          </w:p>
        </w:tc>
        <w:tc>
          <w:tcPr>
            <w:tcW w:w="0" w:type="auto"/>
            <w:gridSpan w:val="3"/>
            <w:shd w:val="clear" w:color="auto" w:fill="CCEEFF"/>
            <w:tcMar>
              <w:top w:w="40" w:type="dxa"/>
              <w:left w:w="20" w:type="dxa"/>
              <w:bottom w:w="40" w:type="dxa"/>
              <w:right w:w="20" w:type="dxa"/>
            </w:tcMar>
            <w:vAlign w:val="center"/>
          </w:tcPr>
          <w:p w14:paraId="4090F7E4" w14:textId="77777777" w:rsidR="00833634" w:rsidRDefault="00E15D51">
            <w:pPr>
              <w:jc w:val="center"/>
              <w:textAlignment w:val="center"/>
            </w:pPr>
            <w:r>
              <w:rPr>
                <w:rFonts w:ascii="Arial" w:eastAsia="宋体" w:hAnsi="Arial" w:cs="Arial"/>
                <w:color w:val="000000"/>
                <w:sz w:val="13"/>
                <w:szCs w:val="13"/>
              </w:rPr>
              <w:t>(3)</w:t>
            </w:r>
          </w:p>
        </w:tc>
        <w:tc>
          <w:tcPr>
            <w:tcW w:w="0" w:type="auto"/>
            <w:gridSpan w:val="2"/>
            <w:shd w:val="clear" w:color="auto" w:fill="CCEEFF"/>
            <w:tcMar>
              <w:top w:w="40" w:type="dxa"/>
              <w:left w:w="20" w:type="dxa"/>
              <w:bottom w:w="40" w:type="dxa"/>
              <w:right w:w="0" w:type="dxa"/>
            </w:tcMar>
            <w:vAlign w:val="bottom"/>
          </w:tcPr>
          <w:p w14:paraId="4090F7E5" w14:textId="77777777" w:rsidR="00833634" w:rsidRDefault="00E15D51">
            <w:pPr>
              <w:jc w:val="right"/>
              <w:textAlignment w:val="bottom"/>
            </w:pPr>
            <w:r>
              <w:rPr>
                <w:rFonts w:ascii="Arial" w:eastAsia="宋体" w:hAnsi="Arial" w:cs="Arial"/>
                <w:color w:val="000000"/>
                <w:sz w:val="20"/>
                <w:szCs w:val="20"/>
              </w:rPr>
              <w:t>1 </w:t>
            </w:r>
          </w:p>
        </w:tc>
        <w:tc>
          <w:tcPr>
            <w:tcW w:w="0" w:type="auto"/>
            <w:shd w:val="clear" w:color="auto" w:fill="CCEEFF"/>
            <w:tcMar>
              <w:top w:w="40" w:type="dxa"/>
              <w:left w:w="0" w:type="dxa"/>
              <w:bottom w:w="40" w:type="dxa"/>
              <w:right w:w="20" w:type="dxa"/>
            </w:tcMar>
            <w:vAlign w:val="bottom"/>
          </w:tcPr>
          <w:p w14:paraId="4090F7E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7E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7E8" w14:textId="77777777" w:rsidR="00833634" w:rsidRDefault="00E15D51">
            <w:pPr>
              <w:jc w:val="right"/>
              <w:textAlignment w:val="bottom"/>
            </w:pPr>
            <w:r>
              <w:rPr>
                <w:rFonts w:ascii="Arial" w:eastAsia="宋体" w:hAnsi="Arial" w:cs="Arial"/>
                <w:color w:val="000000"/>
                <w:sz w:val="20"/>
                <w:szCs w:val="20"/>
              </w:rPr>
              <w:t>6 </w:t>
            </w:r>
          </w:p>
        </w:tc>
        <w:tc>
          <w:tcPr>
            <w:tcW w:w="0" w:type="auto"/>
            <w:shd w:val="clear" w:color="auto" w:fill="CCEEFF"/>
            <w:tcMar>
              <w:top w:w="40" w:type="dxa"/>
              <w:left w:w="0" w:type="dxa"/>
              <w:bottom w:w="40" w:type="dxa"/>
              <w:right w:w="20" w:type="dxa"/>
            </w:tcMar>
            <w:vAlign w:val="bottom"/>
          </w:tcPr>
          <w:p w14:paraId="4090F7E9" w14:textId="77777777" w:rsidR="00833634" w:rsidRDefault="00833634">
            <w:pPr>
              <w:jc w:val="right"/>
              <w:rPr>
                <w:rFonts w:ascii="宋体"/>
              </w:rPr>
            </w:pPr>
          </w:p>
        </w:tc>
        <w:tc>
          <w:tcPr>
            <w:tcW w:w="0" w:type="auto"/>
            <w:gridSpan w:val="3"/>
            <w:shd w:val="clear" w:color="auto" w:fill="CCEEFF"/>
            <w:tcMar>
              <w:top w:w="40" w:type="dxa"/>
              <w:left w:w="20" w:type="dxa"/>
              <w:bottom w:w="40" w:type="dxa"/>
              <w:right w:w="20" w:type="dxa"/>
            </w:tcMar>
            <w:vAlign w:val="center"/>
          </w:tcPr>
          <w:p w14:paraId="4090F7EA" w14:textId="77777777" w:rsidR="00833634" w:rsidRDefault="00E15D51">
            <w:pPr>
              <w:jc w:val="center"/>
              <w:textAlignment w:val="center"/>
            </w:pP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4090F7EB" w14:textId="77777777" w:rsidR="00833634" w:rsidRDefault="00E15D51">
            <w:pPr>
              <w:jc w:val="right"/>
              <w:textAlignment w:val="bottom"/>
            </w:pPr>
            <w:r>
              <w:rPr>
                <w:rFonts w:ascii="Arial" w:eastAsia="宋体" w:hAnsi="Arial" w:cs="Arial"/>
                <w:color w:val="000000"/>
                <w:sz w:val="20"/>
                <w:szCs w:val="20"/>
              </w:rPr>
              <w:t>5 </w:t>
            </w:r>
          </w:p>
        </w:tc>
        <w:tc>
          <w:tcPr>
            <w:tcW w:w="0" w:type="auto"/>
            <w:shd w:val="clear" w:color="auto" w:fill="CCEEFF"/>
            <w:tcMar>
              <w:top w:w="40" w:type="dxa"/>
              <w:left w:w="0" w:type="dxa"/>
              <w:bottom w:w="40" w:type="dxa"/>
              <w:right w:w="20" w:type="dxa"/>
            </w:tcMar>
            <w:vAlign w:val="bottom"/>
          </w:tcPr>
          <w:p w14:paraId="4090F7E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7E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7EE" w14:textId="77777777" w:rsidR="00833634" w:rsidRDefault="00E15D51">
            <w:pPr>
              <w:jc w:val="right"/>
              <w:textAlignment w:val="bottom"/>
            </w:pPr>
            <w:r>
              <w:rPr>
                <w:rFonts w:ascii="Arial" w:eastAsia="宋体" w:hAnsi="Arial" w:cs="Arial"/>
                <w:color w:val="000000"/>
                <w:sz w:val="20"/>
                <w:szCs w:val="20"/>
              </w:rPr>
              <w:t>13 </w:t>
            </w:r>
          </w:p>
        </w:tc>
        <w:tc>
          <w:tcPr>
            <w:tcW w:w="0" w:type="auto"/>
            <w:shd w:val="clear" w:color="auto" w:fill="CCEEFF"/>
            <w:tcMar>
              <w:top w:w="40" w:type="dxa"/>
              <w:left w:w="0" w:type="dxa"/>
              <w:bottom w:w="40" w:type="dxa"/>
              <w:right w:w="20" w:type="dxa"/>
            </w:tcMar>
            <w:vAlign w:val="bottom"/>
          </w:tcPr>
          <w:p w14:paraId="4090F7E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7F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7F1" w14:textId="77777777" w:rsidR="00833634" w:rsidRDefault="00E15D51">
            <w:pPr>
              <w:jc w:val="right"/>
              <w:textAlignment w:val="bottom"/>
            </w:pPr>
            <w:r>
              <w:rPr>
                <w:rFonts w:ascii="Arial" w:eastAsia="宋体" w:hAnsi="Arial" w:cs="Arial"/>
                <w:color w:val="000000"/>
                <w:sz w:val="20"/>
                <w:szCs w:val="20"/>
              </w:rPr>
              <w:t>28 </w:t>
            </w:r>
          </w:p>
        </w:tc>
        <w:tc>
          <w:tcPr>
            <w:tcW w:w="0" w:type="auto"/>
            <w:shd w:val="clear" w:color="auto" w:fill="CCEEFF"/>
            <w:tcMar>
              <w:top w:w="40" w:type="dxa"/>
              <w:left w:w="0" w:type="dxa"/>
              <w:bottom w:w="40" w:type="dxa"/>
              <w:right w:w="20" w:type="dxa"/>
            </w:tcMar>
            <w:vAlign w:val="bottom"/>
          </w:tcPr>
          <w:p w14:paraId="4090F7F2" w14:textId="77777777" w:rsidR="00833634" w:rsidRDefault="00833634">
            <w:pPr>
              <w:jc w:val="right"/>
              <w:rPr>
                <w:rFonts w:ascii="宋体"/>
              </w:rPr>
            </w:pPr>
          </w:p>
        </w:tc>
      </w:tr>
      <w:tr w:rsidR="00833634" w14:paraId="4090F806" w14:textId="77777777">
        <w:tc>
          <w:tcPr>
            <w:tcW w:w="0" w:type="auto"/>
            <w:gridSpan w:val="3"/>
            <w:shd w:val="clear" w:color="auto" w:fill="FFFFFF"/>
            <w:tcMar>
              <w:top w:w="40" w:type="dxa"/>
              <w:left w:w="20" w:type="dxa"/>
              <w:bottom w:w="40" w:type="dxa"/>
              <w:right w:w="20" w:type="dxa"/>
            </w:tcMar>
            <w:vAlign w:val="bottom"/>
          </w:tcPr>
          <w:p w14:paraId="4090F7F4" w14:textId="77777777" w:rsidR="00833634" w:rsidRDefault="00E15D51">
            <w:pPr>
              <w:textAlignment w:val="bottom"/>
            </w:pPr>
            <w:r>
              <w:rPr>
                <w:rFonts w:ascii="Arial" w:eastAsia="宋体" w:hAnsi="Arial" w:cs="Arial"/>
                <w:color w:val="000000"/>
                <w:sz w:val="20"/>
                <w:szCs w:val="20"/>
              </w:rPr>
              <w:t>Deliveries during the third quarter of 2019</w:t>
            </w:r>
          </w:p>
        </w:tc>
        <w:tc>
          <w:tcPr>
            <w:tcW w:w="0" w:type="auto"/>
            <w:gridSpan w:val="2"/>
            <w:shd w:val="clear" w:color="auto" w:fill="FFFFFF"/>
            <w:tcMar>
              <w:top w:w="40" w:type="dxa"/>
              <w:left w:w="20" w:type="dxa"/>
              <w:bottom w:w="40" w:type="dxa"/>
              <w:right w:w="0" w:type="dxa"/>
            </w:tcMar>
            <w:vAlign w:val="bottom"/>
          </w:tcPr>
          <w:p w14:paraId="4090F7F5" w14:textId="77777777" w:rsidR="00833634" w:rsidRDefault="00E15D51">
            <w:pPr>
              <w:jc w:val="right"/>
              <w:textAlignment w:val="bottom"/>
            </w:pPr>
            <w:r>
              <w:rPr>
                <w:rFonts w:ascii="Arial" w:eastAsia="宋体" w:hAnsi="Arial" w:cs="Arial"/>
                <w:color w:val="000000"/>
                <w:sz w:val="20"/>
                <w:szCs w:val="20"/>
              </w:rPr>
              <w:t>5 </w:t>
            </w:r>
          </w:p>
        </w:tc>
        <w:tc>
          <w:tcPr>
            <w:tcW w:w="0" w:type="auto"/>
            <w:shd w:val="clear" w:color="auto" w:fill="FFFFFF"/>
            <w:tcMar>
              <w:top w:w="40" w:type="dxa"/>
              <w:left w:w="0" w:type="dxa"/>
              <w:bottom w:w="40" w:type="dxa"/>
              <w:right w:w="20" w:type="dxa"/>
            </w:tcMar>
            <w:vAlign w:val="bottom"/>
          </w:tcPr>
          <w:p w14:paraId="4090F7F6" w14:textId="77777777" w:rsidR="00833634" w:rsidRDefault="00833634">
            <w:pPr>
              <w:jc w:val="right"/>
              <w:rPr>
                <w:rFonts w:ascii="宋体"/>
              </w:rPr>
            </w:pPr>
          </w:p>
        </w:tc>
        <w:tc>
          <w:tcPr>
            <w:tcW w:w="0" w:type="auto"/>
            <w:gridSpan w:val="3"/>
            <w:shd w:val="clear" w:color="auto" w:fill="FFFFFF"/>
            <w:tcMar>
              <w:top w:w="40" w:type="dxa"/>
              <w:left w:w="20" w:type="dxa"/>
              <w:bottom w:w="40" w:type="dxa"/>
              <w:right w:w="20" w:type="dxa"/>
            </w:tcMar>
            <w:vAlign w:val="center"/>
          </w:tcPr>
          <w:p w14:paraId="4090F7F7" w14:textId="77777777" w:rsidR="00833634" w:rsidRDefault="00E15D51">
            <w:pPr>
              <w:jc w:val="center"/>
              <w:textAlignment w:val="center"/>
            </w:pPr>
            <w:r>
              <w:rPr>
                <w:rFonts w:ascii="Arial" w:eastAsia="宋体" w:hAnsi="Arial" w:cs="Arial"/>
                <w:color w:val="000000"/>
                <w:sz w:val="13"/>
                <w:szCs w:val="13"/>
              </w:rPr>
              <w:t>(5)</w:t>
            </w:r>
          </w:p>
        </w:tc>
        <w:tc>
          <w:tcPr>
            <w:tcW w:w="0" w:type="auto"/>
            <w:gridSpan w:val="2"/>
            <w:shd w:val="clear" w:color="auto" w:fill="FFFFFF"/>
            <w:tcMar>
              <w:top w:w="40" w:type="dxa"/>
              <w:left w:w="20" w:type="dxa"/>
              <w:bottom w:w="40" w:type="dxa"/>
              <w:right w:w="0" w:type="dxa"/>
            </w:tcMar>
            <w:vAlign w:val="bottom"/>
          </w:tcPr>
          <w:p w14:paraId="4090F7F8" w14:textId="77777777" w:rsidR="00833634" w:rsidRDefault="00E15D51">
            <w:pPr>
              <w:jc w:val="right"/>
              <w:textAlignment w:val="bottom"/>
            </w:pPr>
            <w:r>
              <w:rPr>
                <w:rFonts w:ascii="Arial" w:eastAsia="宋体" w:hAnsi="Arial" w:cs="Arial"/>
                <w:color w:val="000000"/>
                <w:sz w:val="20"/>
                <w:szCs w:val="20"/>
              </w:rPr>
              <w:t>1 </w:t>
            </w:r>
          </w:p>
        </w:tc>
        <w:tc>
          <w:tcPr>
            <w:tcW w:w="0" w:type="auto"/>
            <w:shd w:val="clear" w:color="auto" w:fill="FFFFFF"/>
            <w:tcMar>
              <w:top w:w="40" w:type="dxa"/>
              <w:left w:w="0" w:type="dxa"/>
              <w:bottom w:w="40" w:type="dxa"/>
              <w:right w:w="20" w:type="dxa"/>
            </w:tcMar>
            <w:vAlign w:val="bottom"/>
          </w:tcPr>
          <w:p w14:paraId="4090F7F9"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7FA"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7FB" w14:textId="77777777" w:rsidR="00833634" w:rsidRDefault="00E15D51">
            <w:pPr>
              <w:jc w:val="right"/>
              <w:textAlignment w:val="bottom"/>
            </w:pPr>
            <w:r>
              <w:rPr>
                <w:rFonts w:ascii="Arial" w:eastAsia="宋体" w:hAnsi="Arial" w:cs="Arial"/>
                <w:color w:val="000000"/>
                <w:sz w:val="20"/>
                <w:szCs w:val="20"/>
              </w:rPr>
              <w:t>10 </w:t>
            </w:r>
          </w:p>
        </w:tc>
        <w:tc>
          <w:tcPr>
            <w:tcW w:w="0" w:type="auto"/>
            <w:shd w:val="clear" w:color="auto" w:fill="FFFFFF"/>
            <w:tcMar>
              <w:top w:w="40" w:type="dxa"/>
              <w:left w:w="0" w:type="dxa"/>
              <w:bottom w:w="40" w:type="dxa"/>
              <w:right w:w="20" w:type="dxa"/>
            </w:tcMar>
            <w:vAlign w:val="bottom"/>
          </w:tcPr>
          <w:p w14:paraId="4090F7FC" w14:textId="77777777" w:rsidR="00833634" w:rsidRDefault="00833634">
            <w:pPr>
              <w:jc w:val="right"/>
              <w:rPr>
                <w:rFonts w:ascii="宋体"/>
              </w:rPr>
            </w:pPr>
          </w:p>
        </w:tc>
        <w:tc>
          <w:tcPr>
            <w:tcW w:w="0" w:type="auto"/>
            <w:gridSpan w:val="3"/>
            <w:shd w:val="clear" w:color="auto" w:fill="FFFFFF"/>
            <w:tcMar>
              <w:top w:w="40" w:type="dxa"/>
              <w:left w:w="20" w:type="dxa"/>
              <w:bottom w:w="40" w:type="dxa"/>
              <w:right w:w="20" w:type="dxa"/>
            </w:tcMar>
            <w:vAlign w:val="center"/>
          </w:tcPr>
          <w:p w14:paraId="4090F7FD" w14:textId="77777777" w:rsidR="00833634" w:rsidRDefault="00E15D51">
            <w:pPr>
              <w:jc w:val="center"/>
              <w:textAlignment w:val="center"/>
            </w:pPr>
            <w:r>
              <w:rPr>
                <w:rFonts w:ascii="Arial" w:eastAsia="宋体" w:hAnsi="Arial" w:cs="Arial"/>
                <w:color w:val="000000"/>
                <w:sz w:val="13"/>
                <w:szCs w:val="13"/>
              </w:rPr>
              <w:t>(4)</w:t>
            </w:r>
          </w:p>
        </w:tc>
        <w:tc>
          <w:tcPr>
            <w:tcW w:w="0" w:type="auto"/>
            <w:gridSpan w:val="2"/>
            <w:shd w:val="clear" w:color="auto" w:fill="FFFFFF"/>
            <w:tcMar>
              <w:top w:w="40" w:type="dxa"/>
              <w:left w:w="20" w:type="dxa"/>
              <w:bottom w:w="40" w:type="dxa"/>
              <w:right w:w="0" w:type="dxa"/>
            </w:tcMar>
            <w:vAlign w:val="bottom"/>
          </w:tcPr>
          <w:p w14:paraId="4090F7FE" w14:textId="77777777" w:rsidR="00833634" w:rsidRDefault="00E15D51">
            <w:pPr>
              <w:jc w:val="right"/>
              <w:textAlignment w:val="bottom"/>
            </w:pPr>
            <w:r>
              <w:rPr>
                <w:rFonts w:ascii="Arial" w:eastAsia="宋体" w:hAnsi="Arial" w:cs="Arial"/>
                <w:color w:val="000000"/>
                <w:sz w:val="20"/>
                <w:szCs w:val="20"/>
              </w:rPr>
              <w:t>11 </w:t>
            </w:r>
          </w:p>
        </w:tc>
        <w:tc>
          <w:tcPr>
            <w:tcW w:w="0" w:type="auto"/>
            <w:shd w:val="clear" w:color="auto" w:fill="FFFFFF"/>
            <w:tcMar>
              <w:top w:w="40" w:type="dxa"/>
              <w:left w:w="0" w:type="dxa"/>
              <w:bottom w:w="40" w:type="dxa"/>
              <w:right w:w="20" w:type="dxa"/>
            </w:tcMar>
            <w:vAlign w:val="bottom"/>
          </w:tcPr>
          <w:p w14:paraId="4090F7F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80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801" w14:textId="77777777" w:rsidR="00833634" w:rsidRDefault="00E15D51">
            <w:pPr>
              <w:jc w:val="right"/>
              <w:textAlignment w:val="bottom"/>
            </w:pPr>
            <w:r>
              <w:rPr>
                <w:rFonts w:ascii="Arial" w:eastAsia="宋体" w:hAnsi="Arial" w:cs="Arial"/>
                <w:color w:val="000000"/>
                <w:sz w:val="20"/>
                <w:szCs w:val="20"/>
              </w:rPr>
              <w:t>35 </w:t>
            </w:r>
          </w:p>
        </w:tc>
        <w:tc>
          <w:tcPr>
            <w:tcW w:w="0" w:type="auto"/>
            <w:shd w:val="clear" w:color="auto" w:fill="FFFFFF"/>
            <w:tcMar>
              <w:top w:w="40" w:type="dxa"/>
              <w:left w:w="0" w:type="dxa"/>
              <w:bottom w:w="40" w:type="dxa"/>
              <w:right w:w="20" w:type="dxa"/>
            </w:tcMar>
            <w:vAlign w:val="bottom"/>
          </w:tcPr>
          <w:p w14:paraId="4090F80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80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804" w14:textId="77777777" w:rsidR="00833634" w:rsidRDefault="00E15D51">
            <w:pPr>
              <w:jc w:val="right"/>
              <w:textAlignment w:val="bottom"/>
            </w:pPr>
            <w:r>
              <w:rPr>
                <w:rFonts w:ascii="Arial" w:eastAsia="宋体" w:hAnsi="Arial" w:cs="Arial"/>
                <w:color w:val="000000"/>
                <w:sz w:val="20"/>
                <w:szCs w:val="20"/>
              </w:rPr>
              <w:t>62 </w:t>
            </w:r>
          </w:p>
        </w:tc>
        <w:tc>
          <w:tcPr>
            <w:tcW w:w="0" w:type="auto"/>
            <w:shd w:val="clear" w:color="auto" w:fill="FFFFFF"/>
            <w:tcMar>
              <w:top w:w="40" w:type="dxa"/>
              <w:left w:w="0" w:type="dxa"/>
              <w:bottom w:w="40" w:type="dxa"/>
              <w:right w:w="20" w:type="dxa"/>
            </w:tcMar>
            <w:vAlign w:val="bottom"/>
          </w:tcPr>
          <w:p w14:paraId="4090F805" w14:textId="77777777" w:rsidR="00833634" w:rsidRDefault="00833634">
            <w:pPr>
              <w:jc w:val="right"/>
              <w:rPr>
                <w:rFonts w:ascii="宋体"/>
              </w:rPr>
            </w:pPr>
          </w:p>
        </w:tc>
      </w:tr>
      <w:tr w:rsidR="00833634" w14:paraId="4090F818" w14:textId="77777777">
        <w:tc>
          <w:tcPr>
            <w:tcW w:w="0" w:type="auto"/>
            <w:gridSpan w:val="3"/>
            <w:shd w:val="clear" w:color="auto" w:fill="CCEEFF"/>
            <w:tcMar>
              <w:top w:w="40" w:type="dxa"/>
              <w:left w:w="20" w:type="dxa"/>
              <w:bottom w:w="40" w:type="dxa"/>
              <w:right w:w="20" w:type="dxa"/>
            </w:tcMar>
            <w:vAlign w:val="bottom"/>
          </w:tcPr>
          <w:p w14:paraId="4090F807" w14:textId="77777777" w:rsidR="00833634" w:rsidRDefault="00E15D51">
            <w:pPr>
              <w:textAlignment w:val="bottom"/>
            </w:pPr>
            <w:r>
              <w:rPr>
                <w:rFonts w:ascii="Arial" w:eastAsia="宋体" w:hAnsi="Arial" w:cs="Arial"/>
                <w:color w:val="000000"/>
                <w:sz w:val="20"/>
                <w:szCs w:val="20"/>
              </w:rPr>
              <w:t>Cumulative deliveries as of 9/30/2020</w:t>
            </w:r>
          </w:p>
        </w:tc>
        <w:tc>
          <w:tcPr>
            <w:tcW w:w="0" w:type="auto"/>
            <w:gridSpan w:val="2"/>
            <w:shd w:val="clear" w:color="auto" w:fill="CCEEFF"/>
            <w:tcMar>
              <w:top w:w="40" w:type="dxa"/>
              <w:left w:w="20" w:type="dxa"/>
              <w:bottom w:w="40" w:type="dxa"/>
              <w:right w:w="0" w:type="dxa"/>
            </w:tcMar>
            <w:vAlign w:val="bottom"/>
          </w:tcPr>
          <w:p w14:paraId="4090F808" w14:textId="77777777" w:rsidR="00833634" w:rsidRDefault="00E15D51">
            <w:pPr>
              <w:jc w:val="right"/>
              <w:textAlignment w:val="bottom"/>
            </w:pPr>
            <w:r>
              <w:rPr>
                <w:rFonts w:ascii="Arial" w:eastAsia="宋体" w:hAnsi="Arial" w:cs="Arial"/>
                <w:color w:val="000000"/>
                <w:sz w:val="20"/>
                <w:szCs w:val="20"/>
              </w:rPr>
              <w:t>7,451 </w:t>
            </w:r>
          </w:p>
        </w:tc>
        <w:tc>
          <w:tcPr>
            <w:tcW w:w="0" w:type="auto"/>
            <w:shd w:val="clear" w:color="auto" w:fill="CCEEFF"/>
            <w:tcMar>
              <w:top w:w="40" w:type="dxa"/>
              <w:left w:w="0" w:type="dxa"/>
              <w:bottom w:w="40" w:type="dxa"/>
              <w:right w:w="20" w:type="dxa"/>
            </w:tcMar>
            <w:vAlign w:val="bottom"/>
          </w:tcPr>
          <w:p w14:paraId="4090F80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0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80B" w14:textId="77777777" w:rsidR="00833634" w:rsidRDefault="00E15D51">
            <w:pPr>
              <w:jc w:val="right"/>
              <w:textAlignment w:val="bottom"/>
            </w:pPr>
            <w:r>
              <w:rPr>
                <w:rFonts w:ascii="Arial" w:eastAsia="宋体" w:hAnsi="Arial" w:cs="Arial"/>
                <w:color w:val="000000"/>
                <w:sz w:val="20"/>
                <w:szCs w:val="20"/>
              </w:rPr>
              <w:t>1,557 </w:t>
            </w:r>
          </w:p>
        </w:tc>
        <w:tc>
          <w:tcPr>
            <w:tcW w:w="0" w:type="auto"/>
            <w:shd w:val="clear" w:color="auto" w:fill="CCEEFF"/>
            <w:tcMar>
              <w:top w:w="40" w:type="dxa"/>
              <w:left w:w="0" w:type="dxa"/>
              <w:bottom w:w="40" w:type="dxa"/>
              <w:right w:w="20" w:type="dxa"/>
            </w:tcMar>
            <w:vAlign w:val="bottom"/>
          </w:tcPr>
          <w:p w14:paraId="4090F80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0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80E" w14:textId="77777777" w:rsidR="00833634" w:rsidRDefault="00E15D51">
            <w:pPr>
              <w:jc w:val="right"/>
              <w:textAlignment w:val="bottom"/>
            </w:pPr>
            <w:r>
              <w:rPr>
                <w:rFonts w:ascii="Arial" w:eastAsia="宋体" w:hAnsi="Arial" w:cs="Arial"/>
                <w:color w:val="000000"/>
                <w:sz w:val="20"/>
                <w:szCs w:val="20"/>
              </w:rPr>
              <w:t>1,196 </w:t>
            </w:r>
          </w:p>
        </w:tc>
        <w:tc>
          <w:tcPr>
            <w:tcW w:w="0" w:type="auto"/>
            <w:shd w:val="clear" w:color="auto" w:fill="CCEEFF"/>
            <w:tcMar>
              <w:top w:w="40" w:type="dxa"/>
              <w:left w:w="0" w:type="dxa"/>
              <w:bottom w:w="40" w:type="dxa"/>
              <w:right w:w="20" w:type="dxa"/>
            </w:tcMar>
            <w:vAlign w:val="bottom"/>
          </w:tcPr>
          <w:p w14:paraId="4090F80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1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811" w14:textId="77777777" w:rsidR="00833634" w:rsidRDefault="00E15D51">
            <w:pPr>
              <w:jc w:val="right"/>
              <w:textAlignment w:val="bottom"/>
            </w:pPr>
            <w:r>
              <w:rPr>
                <w:rFonts w:ascii="Arial" w:eastAsia="宋体" w:hAnsi="Arial" w:cs="Arial"/>
                <w:color w:val="000000"/>
                <w:sz w:val="20"/>
                <w:szCs w:val="20"/>
              </w:rPr>
              <w:t>1,642 </w:t>
            </w:r>
          </w:p>
        </w:tc>
        <w:tc>
          <w:tcPr>
            <w:tcW w:w="0" w:type="auto"/>
            <w:shd w:val="clear" w:color="auto" w:fill="CCEEFF"/>
            <w:tcMar>
              <w:top w:w="40" w:type="dxa"/>
              <w:left w:w="0" w:type="dxa"/>
              <w:bottom w:w="40" w:type="dxa"/>
              <w:right w:w="20" w:type="dxa"/>
            </w:tcMar>
            <w:vAlign w:val="bottom"/>
          </w:tcPr>
          <w:p w14:paraId="4090F81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1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814" w14:textId="77777777" w:rsidR="00833634" w:rsidRDefault="00E15D51">
            <w:pPr>
              <w:jc w:val="right"/>
              <w:textAlignment w:val="bottom"/>
            </w:pPr>
            <w:r>
              <w:rPr>
                <w:rFonts w:ascii="Arial" w:eastAsia="宋体" w:hAnsi="Arial" w:cs="Arial"/>
                <w:color w:val="000000"/>
                <w:sz w:val="20"/>
                <w:szCs w:val="20"/>
              </w:rPr>
              <w:t>988 </w:t>
            </w:r>
          </w:p>
        </w:tc>
        <w:tc>
          <w:tcPr>
            <w:tcW w:w="0" w:type="auto"/>
            <w:shd w:val="clear" w:color="auto" w:fill="CCEEFF"/>
            <w:tcMar>
              <w:top w:w="40" w:type="dxa"/>
              <w:left w:w="0" w:type="dxa"/>
              <w:bottom w:w="40" w:type="dxa"/>
              <w:right w:w="20" w:type="dxa"/>
            </w:tcMar>
            <w:vAlign w:val="bottom"/>
          </w:tcPr>
          <w:p w14:paraId="4090F81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1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817" w14:textId="77777777" w:rsidR="00833634" w:rsidRDefault="00833634">
            <w:pPr>
              <w:rPr>
                <w:rFonts w:ascii="宋体"/>
              </w:rPr>
            </w:pPr>
          </w:p>
        </w:tc>
      </w:tr>
      <w:tr w:rsidR="00833634" w14:paraId="4090F82A" w14:textId="77777777">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4090F819" w14:textId="77777777" w:rsidR="00833634" w:rsidRDefault="00E15D51">
            <w:pPr>
              <w:textAlignment w:val="bottom"/>
            </w:pPr>
            <w:r>
              <w:rPr>
                <w:rFonts w:ascii="Arial" w:eastAsia="宋体" w:hAnsi="Arial" w:cs="Arial"/>
                <w:color w:val="000000"/>
                <w:sz w:val="20"/>
                <w:szCs w:val="20"/>
              </w:rPr>
              <w:t>Cumulative deliveries as of 12/31/2019</w:t>
            </w:r>
          </w:p>
        </w:tc>
        <w:tc>
          <w:tcPr>
            <w:tcW w:w="0" w:type="auto"/>
            <w:gridSpan w:val="2"/>
            <w:tcBorders>
              <w:bottom w:val="single" w:sz="8" w:space="0" w:color="000000"/>
            </w:tcBorders>
            <w:shd w:val="clear" w:color="auto" w:fill="auto"/>
            <w:tcMar>
              <w:top w:w="40" w:type="dxa"/>
              <w:left w:w="20" w:type="dxa"/>
              <w:bottom w:w="40" w:type="dxa"/>
              <w:right w:w="0" w:type="dxa"/>
            </w:tcMar>
            <w:vAlign w:val="bottom"/>
          </w:tcPr>
          <w:p w14:paraId="4090F81A" w14:textId="77777777" w:rsidR="00833634" w:rsidRDefault="00E15D51">
            <w:pPr>
              <w:jc w:val="right"/>
              <w:textAlignment w:val="bottom"/>
            </w:pPr>
            <w:r>
              <w:rPr>
                <w:rFonts w:ascii="Arial" w:eastAsia="宋体" w:hAnsi="Arial" w:cs="Arial"/>
                <w:color w:val="000000"/>
                <w:sz w:val="20"/>
                <w:szCs w:val="20"/>
              </w:rPr>
              <w:t>7,439 </w:t>
            </w:r>
          </w:p>
        </w:tc>
        <w:tc>
          <w:tcPr>
            <w:tcW w:w="0" w:type="auto"/>
            <w:tcBorders>
              <w:bottom w:val="single" w:sz="8" w:space="0" w:color="000000"/>
            </w:tcBorders>
            <w:shd w:val="clear" w:color="auto" w:fill="auto"/>
            <w:tcMar>
              <w:top w:w="40" w:type="dxa"/>
              <w:left w:w="0" w:type="dxa"/>
              <w:bottom w:w="40" w:type="dxa"/>
              <w:right w:w="20" w:type="dxa"/>
            </w:tcMar>
            <w:vAlign w:val="bottom"/>
          </w:tcPr>
          <w:p w14:paraId="4090F81B" w14:textId="77777777" w:rsidR="00833634" w:rsidRDefault="00833634">
            <w:pPr>
              <w:jc w:val="right"/>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4090F81C" w14:textId="77777777" w:rsidR="00833634" w:rsidRDefault="00833634">
            <w:pPr>
              <w:rPr>
                <w:rFonts w:ascii="宋体"/>
              </w:rPr>
            </w:pPr>
          </w:p>
        </w:tc>
        <w:tc>
          <w:tcPr>
            <w:tcW w:w="0" w:type="auto"/>
            <w:gridSpan w:val="2"/>
            <w:tcBorders>
              <w:bottom w:val="single" w:sz="8" w:space="0" w:color="000000"/>
            </w:tcBorders>
            <w:shd w:val="clear" w:color="auto" w:fill="auto"/>
            <w:tcMar>
              <w:top w:w="40" w:type="dxa"/>
              <w:left w:w="20" w:type="dxa"/>
              <w:bottom w:w="40" w:type="dxa"/>
              <w:right w:w="0" w:type="dxa"/>
            </w:tcMar>
            <w:vAlign w:val="bottom"/>
          </w:tcPr>
          <w:p w14:paraId="4090F81D" w14:textId="77777777" w:rsidR="00833634" w:rsidRDefault="00E15D51">
            <w:pPr>
              <w:jc w:val="right"/>
              <w:textAlignment w:val="bottom"/>
            </w:pPr>
            <w:r>
              <w:rPr>
                <w:rFonts w:ascii="Arial" w:eastAsia="宋体" w:hAnsi="Arial" w:cs="Arial"/>
                <w:color w:val="000000"/>
                <w:sz w:val="20"/>
                <w:szCs w:val="20"/>
              </w:rPr>
              <w:t>1,555 </w:t>
            </w:r>
          </w:p>
        </w:tc>
        <w:tc>
          <w:tcPr>
            <w:tcW w:w="0" w:type="auto"/>
            <w:tcBorders>
              <w:bottom w:val="single" w:sz="8" w:space="0" w:color="000000"/>
            </w:tcBorders>
            <w:shd w:val="clear" w:color="auto" w:fill="auto"/>
            <w:tcMar>
              <w:top w:w="40" w:type="dxa"/>
              <w:left w:w="0" w:type="dxa"/>
              <w:bottom w:w="40" w:type="dxa"/>
              <w:right w:w="20" w:type="dxa"/>
            </w:tcMar>
            <w:vAlign w:val="bottom"/>
          </w:tcPr>
          <w:p w14:paraId="4090F81E" w14:textId="77777777" w:rsidR="00833634" w:rsidRDefault="00833634">
            <w:pPr>
              <w:jc w:val="right"/>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4090F81F" w14:textId="77777777" w:rsidR="00833634" w:rsidRDefault="00833634">
            <w:pPr>
              <w:rPr>
                <w:rFonts w:ascii="宋体"/>
              </w:rPr>
            </w:pPr>
          </w:p>
        </w:tc>
        <w:tc>
          <w:tcPr>
            <w:tcW w:w="0" w:type="auto"/>
            <w:gridSpan w:val="2"/>
            <w:tcBorders>
              <w:bottom w:val="single" w:sz="8" w:space="0" w:color="000000"/>
            </w:tcBorders>
            <w:shd w:val="clear" w:color="auto" w:fill="auto"/>
            <w:tcMar>
              <w:top w:w="40" w:type="dxa"/>
              <w:left w:w="20" w:type="dxa"/>
              <w:bottom w:w="40" w:type="dxa"/>
              <w:right w:w="0" w:type="dxa"/>
            </w:tcMar>
            <w:vAlign w:val="bottom"/>
          </w:tcPr>
          <w:p w14:paraId="4090F820" w14:textId="77777777" w:rsidR="00833634" w:rsidRDefault="00E15D51">
            <w:pPr>
              <w:jc w:val="right"/>
              <w:textAlignment w:val="bottom"/>
            </w:pPr>
            <w:r>
              <w:rPr>
                <w:rFonts w:ascii="Arial" w:eastAsia="宋体" w:hAnsi="Arial" w:cs="Arial"/>
                <w:color w:val="000000"/>
                <w:sz w:val="20"/>
                <w:szCs w:val="20"/>
              </w:rPr>
              <w:t>1,176 </w:t>
            </w:r>
          </w:p>
        </w:tc>
        <w:tc>
          <w:tcPr>
            <w:tcW w:w="0" w:type="auto"/>
            <w:tcBorders>
              <w:bottom w:val="single" w:sz="8" w:space="0" w:color="000000"/>
            </w:tcBorders>
            <w:shd w:val="clear" w:color="auto" w:fill="auto"/>
            <w:tcMar>
              <w:top w:w="40" w:type="dxa"/>
              <w:left w:w="0" w:type="dxa"/>
              <w:bottom w:w="40" w:type="dxa"/>
              <w:right w:w="20" w:type="dxa"/>
            </w:tcMar>
            <w:vAlign w:val="bottom"/>
          </w:tcPr>
          <w:p w14:paraId="4090F821" w14:textId="77777777" w:rsidR="00833634" w:rsidRDefault="00833634">
            <w:pPr>
              <w:jc w:val="right"/>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4090F822" w14:textId="77777777" w:rsidR="00833634" w:rsidRDefault="00833634">
            <w:pPr>
              <w:rPr>
                <w:rFonts w:ascii="宋体"/>
              </w:rPr>
            </w:pPr>
          </w:p>
        </w:tc>
        <w:tc>
          <w:tcPr>
            <w:tcW w:w="0" w:type="auto"/>
            <w:gridSpan w:val="2"/>
            <w:tcBorders>
              <w:bottom w:val="single" w:sz="8" w:space="0" w:color="000000"/>
            </w:tcBorders>
            <w:shd w:val="clear" w:color="auto" w:fill="auto"/>
            <w:tcMar>
              <w:top w:w="40" w:type="dxa"/>
              <w:left w:w="20" w:type="dxa"/>
              <w:bottom w:w="40" w:type="dxa"/>
              <w:right w:w="0" w:type="dxa"/>
            </w:tcMar>
            <w:vAlign w:val="bottom"/>
          </w:tcPr>
          <w:p w14:paraId="4090F823" w14:textId="77777777" w:rsidR="00833634" w:rsidRDefault="00E15D51">
            <w:pPr>
              <w:jc w:val="right"/>
              <w:textAlignment w:val="bottom"/>
            </w:pPr>
            <w:r>
              <w:rPr>
                <w:rFonts w:ascii="Arial" w:eastAsia="宋体" w:hAnsi="Arial" w:cs="Arial"/>
                <w:color w:val="000000"/>
                <w:sz w:val="20"/>
                <w:szCs w:val="20"/>
              </w:rPr>
              <w:t>1,627 </w:t>
            </w:r>
          </w:p>
        </w:tc>
        <w:tc>
          <w:tcPr>
            <w:tcW w:w="0" w:type="auto"/>
            <w:tcBorders>
              <w:bottom w:val="single" w:sz="8" w:space="0" w:color="000000"/>
            </w:tcBorders>
            <w:shd w:val="clear" w:color="auto" w:fill="auto"/>
            <w:tcMar>
              <w:top w:w="40" w:type="dxa"/>
              <w:left w:w="0" w:type="dxa"/>
              <w:bottom w:w="40" w:type="dxa"/>
              <w:right w:w="20" w:type="dxa"/>
            </w:tcMar>
            <w:vAlign w:val="bottom"/>
          </w:tcPr>
          <w:p w14:paraId="4090F824" w14:textId="77777777" w:rsidR="00833634" w:rsidRDefault="00833634">
            <w:pPr>
              <w:jc w:val="right"/>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4090F825" w14:textId="77777777" w:rsidR="00833634" w:rsidRDefault="00833634">
            <w:pPr>
              <w:rPr>
                <w:rFonts w:ascii="宋体"/>
              </w:rPr>
            </w:pPr>
          </w:p>
        </w:tc>
        <w:tc>
          <w:tcPr>
            <w:tcW w:w="0" w:type="auto"/>
            <w:gridSpan w:val="2"/>
            <w:tcBorders>
              <w:bottom w:val="single" w:sz="8" w:space="0" w:color="000000"/>
            </w:tcBorders>
            <w:shd w:val="clear" w:color="auto" w:fill="auto"/>
            <w:tcMar>
              <w:top w:w="40" w:type="dxa"/>
              <w:left w:w="20" w:type="dxa"/>
              <w:bottom w:w="40" w:type="dxa"/>
              <w:right w:w="0" w:type="dxa"/>
            </w:tcMar>
            <w:vAlign w:val="bottom"/>
          </w:tcPr>
          <w:p w14:paraId="4090F826" w14:textId="77777777" w:rsidR="00833634" w:rsidRDefault="00E15D51">
            <w:pPr>
              <w:jc w:val="right"/>
              <w:textAlignment w:val="bottom"/>
            </w:pPr>
            <w:r>
              <w:rPr>
                <w:rFonts w:ascii="Arial" w:eastAsia="宋体" w:hAnsi="Arial" w:cs="Arial"/>
                <w:color w:val="000000"/>
                <w:sz w:val="20"/>
                <w:szCs w:val="20"/>
              </w:rPr>
              <w:t>939 </w:t>
            </w:r>
          </w:p>
        </w:tc>
        <w:tc>
          <w:tcPr>
            <w:tcW w:w="0" w:type="auto"/>
            <w:tcBorders>
              <w:bottom w:val="single" w:sz="8" w:space="0" w:color="000000"/>
            </w:tcBorders>
            <w:shd w:val="clear" w:color="auto" w:fill="auto"/>
            <w:tcMar>
              <w:top w:w="40" w:type="dxa"/>
              <w:left w:w="0" w:type="dxa"/>
              <w:bottom w:w="40" w:type="dxa"/>
              <w:right w:w="20" w:type="dxa"/>
            </w:tcMar>
            <w:vAlign w:val="bottom"/>
          </w:tcPr>
          <w:p w14:paraId="4090F827" w14:textId="77777777" w:rsidR="00833634" w:rsidRDefault="00833634">
            <w:pPr>
              <w:jc w:val="right"/>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4090F828" w14:textId="77777777" w:rsidR="00833634" w:rsidRDefault="00833634">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tcPr>
          <w:p w14:paraId="4090F829" w14:textId="77777777" w:rsidR="00833634" w:rsidRDefault="00833634">
            <w:pPr>
              <w:rPr>
                <w:rFonts w:ascii="宋体"/>
              </w:rPr>
            </w:pPr>
          </w:p>
        </w:tc>
      </w:tr>
    </w:tbl>
    <w:p w14:paraId="4090F82B" w14:textId="77777777" w:rsidR="00833634" w:rsidRDefault="00E15D51">
      <w:pPr>
        <w:spacing w:after="60"/>
        <w:jc w:val="both"/>
      </w:pPr>
      <w:r>
        <w:rPr>
          <w:rFonts w:ascii="Arial" w:eastAsia="宋体" w:hAnsi="Arial" w:cs="Arial"/>
          <w:color w:val="000000"/>
        </w:rPr>
        <w:t>*</w:t>
      </w:r>
      <w:r>
        <w:rPr>
          <w:rFonts w:ascii="Arial" w:eastAsia="宋体" w:hAnsi="Arial" w:cs="Arial"/>
          <w:color w:val="000000"/>
          <w:sz w:val="20"/>
          <w:szCs w:val="20"/>
        </w:rPr>
        <w:t xml:space="preserve"> Intercompany deliveries identified by parentheses.</w:t>
      </w:r>
    </w:p>
    <w:p w14:paraId="4090F82C" w14:textId="77777777" w:rsidR="00833634" w:rsidRDefault="00E15D51">
      <w:pPr>
        <w:spacing w:after="180"/>
        <w:jc w:val="both"/>
      </w:pPr>
      <w:r>
        <w:rPr>
          <w:rFonts w:ascii="Arial" w:eastAsia="宋体" w:hAnsi="Arial" w:cs="Arial"/>
          <w:color w:val="000000"/>
          <w:sz w:val="20"/>
          <w:szCs w:val="20"/>
        </w:rPr>
        <w:t>† Aircraft accounted for as revenues by BCA and as operating leases in consoli</w:t>
      </w:r>
      <w:r>
        <w:rPr>
          <w:rFonts w:ascii="Arial" w:eastAsia="宋体" w:hAnsi="Arial" w:cs="Arial"/>
          <w:color w:val="000000"/>
          <w:sz w:val="20"/>
          <w:szCs w:val="20"/>
        </w:rPr>
        <w:t>dation identified by parentheses.</w:t>
      </w:r>
    </w:p>
    <w:p w14:paraId="4090F82D" w14:textId="77777777" w:rsidR="00833634" w:rsidRDefault="00E15D51">
      <w:pPr>
        <w:spacing w:after="180"/>
        <w:jc w:val="both"/>
      </w:pPr>
      <w:r>
        <w:rPr>
          <w:rFonts w:ascii="Arial" w:eastAsia="宋体" w:hAnsi="Arial" w:cs="Arial"/>
          <w:b/>
          <w:bCs/>
          <w:color w:val="000000"/>
          <w:sz w:val="20"/>
          <w:szCs w:val="20"/>
        </w:rPr>
        <w:t>Loss From Operations</w:t>
      </w:r>
    </w:p>
    <w:p w14:paraId="4090F82E" w14:textId="77777777" w:rsidR="00833634" w:rsidRDefault="00E15D51">
      <w:pPr>
        <w:spacing w:after="180"/>
        <w:jc w:val="both"/>
      </w:pPr>
      <w:r>
        <w:rPr>
          <w:rFonts w:ascii="Arial" w:eastAsia="宋体" w:hAnsi="Arial" w:cs="Arial"/>
          <w:color w:val="000000"/>
          <w:sz w:val="20"/>
          <w:szCs w:val="20"/>
        </w:rPr>
        <w:t>The loss from operations for the nine months ended September 30, 2020 of $6,199 million increased $2,386 million compared with the same period in 2019. The 2020 loss reflects the continued absence of 7</w:t>
      </w:r>
      <w:r>
        <w:rPr>
          <w:rFonts w:ascii="Arial" w:eastAsia="宋体" w:hAnsi="Arial" w:cs="Arial"/>
          <w:color w:val="000000"/>
          <w:sz w:val="20"/>
          <w:szCs w:val="20"/>
        </w:rPr>
        <w:t>37 MAX deliveries, lower wide-body deliveries and lower program margins resulting from the COVID-19 pandemic, $2,099 million of abnormal production costs related to 737 MAX, $370 million of 737 MAX customer considerations, $270 million of abnormal producti</w:t>
      </w:r>
      <w:r>
        <w:rPr>
          <w:rFonts w:ascii="Arial" w:eastAsia="宋体" w:hAnsi="Arial" w:cs="Arial"/>
          <w:color w:val="000000"/>
          <w:sz w:val="20"/>
          <w:szCs w:val="20"/>
        </w:rPr>
        <w:t xml:space="preserve">on costs in the first half of 2020 from the temporary suspension of operations in response to COVID-19, $336 million related to 737NG frame fitting component repair costs and $610 million of severance costs. Lower 787 margins reflecting a reduction in the </w:t>
      </w:r>
      <w:r>
        <w:rPr>
          <w:rFonts w:ascii="Arial" w:eastAsia="宋体" w:hAnsi="Arial" w:cs="Arial"/>
          <w:color w:val="000000"/>
          <w:sz w:val="20"/>
          <w:szCs w:val="20"/>
        </w:rPr>
        <w:t>accounting quantity in the first quarter of 2020 and lower production rates also contributed to lower earnings. The 2019 loss primarily reflects the absence of 737 MAX deliveries in the second and third quarters of 2019 and charges of $5,610 million for es</w:t>
      </w:r>
      <w:r>
        <w:rPr>
          <w:rFonts w:ascii="Arial" w:eastAsia="宋体" w:hAnsi="Arial" w:cs="Arial"/>
          <w:color w:val="000000"/>
          <w:sz w:val="20"/>
          <w:szCs w:val="20"/>
        </w:rPr>
        <w:t xml:space="preserve">timated 737 MAX customer considerations. </w:t>
      </w:r>
    </w:p>
    <w:p w14:paraId="4090F82F" w14:textId="77777777" w:rsidR="00833634" w:rsidRDefault="00E15D51">
      <w:pPr>
        <w:spacing w:after="180"/>
        <w:jc w:val="center"/>
      </w:pPr>
      <w:r>
        <w:rPr>
          <w:rFonts w:ascii="Arial" w:eastAsia="宋体" w:hAnsi="Arial" w:cs="Arial"/>
          <w:color w:val="000000"/>
          <w:sz w:val="18"/>
          <w:szCs w:val="18"/>
        </w:rPr>
        <w:t>47</w:t>
      </w:r>
    </w:p>
    <w:p w14:paraId="4090F830" w14:textId="77777777" w:rsidR="00833634" w:rsidRDefault="00E15D51">
      <w:r>
        <w:pict w14:anchorId="4090FE4F">
          <v:rect id="_x0000_i1073" style="width:415.3pt;height:1.5pt" o:hralign="center" o:hrstd="t" o:hr="t" fillcolor="#a0a0a0" stroked="f"/>
        </w:pict>
      </w:r>
    </w:p>
    <w:p w14:paraId="4090F831" w14:textId="77777777" w:rsidR="00833634" w:rsidRDefault="00E15D51">
      <w:pPr>
        <w:spacing w:after="180"/>
        <w:jc w:val="both"/>
      </w:pPr>
      <w:hyperlink r:id="rId150" w:anchor="i8d805bfb1e1c4815a1dcd5b6d1e0b117_10" w:history="1">
        <w:r>
          <w:rPr>
            <w:rStyle w:val="a5"/>
            <w:rFonts w:ascii="Arial" w:eastAsia="宋体" w:hAnsi="Arial" w:cs="Arial"/>
            <w:sz w:val="18"/>
            <w:szCs w:val="18"/>
          </w:rPr>
          <w:t>Table of Contents</w:t>
        </w:r>
      </w:hyperlink>
    </w:p>
    <w:p w14:paraId="4090F832" w14:textId="77777777" w:rsidR="00833634" w:rsidRDefault="00E15D51">
      <w:pPr>
        <w:spacing w:after="180"/>
        <w:jc w:val="both"/>
      </w:pPr>
      <w:r>
        <w:rPr>
          <w:rFonts w:ascii="Arial" w:eastAsia="宋体" w:hAnsi="Arial" w:cs="Arial"/>
          <w:color w:val="000000"/>
          <w:sz w:val="20"/>
          <w:szCs w:val="20"/>
        </w:rPr>
        <w:t xml:space="preserve">The loss from operations for the three months ended September 30, 2020 of $1,369 </w:t>
      </w:r>
      <w:r>
        <w:rPr>
          <w:rFonts w:ascii="Arial" w:eastAsia="宋体" w:hAnsi="Arial" w:cs="Arial"/>
          <w:color w:val="000000"/>
          <w:sz w:val="20"/>
          <w:szCs w:val="20"/>
        </w:rPr>
        <w:t>million increased $1,329 million compared with the same period in 2019. The losses in both periods reflect the continued absence of MAX deliveries. The 2020 loss was also driven by lower wide-body deliveries and lower program margins due to COVID-19 impact</w:t>
      </w:r>
      <w:r>
        <w:rPr>
          <w:rFonts w:ascii="Arial" w:eastAsia="宋体" w:hAnsi="Arial" w:cs="Arial"/>
          <w:color w:val="000000"/>
          <w:sz w:val="20"/>
          <w:szCs w:val="20"/>
        </w:rPr>
        <w:t>s, $590 million of abnormal production costs related to 737 MAX, $142 million of severance costs, partially offset by a $151 million favorable change in estimated 737 MAX customer considerations.</w:t>
      </w:r>
    </w:p>
    <w:p w14:paraId="4090F833" w14:textId="77777777" w:rsidR="00833634" w:rsidRDefault="00E15D51">
      <w:pPr>
        <w:spacing w:after="180"/>
        <w:jc w:val="both"/>
      </w:pPr>
      <w:r>
        <w:rPr>
          <w:rFonts w:ascii="Arial" w:eastAsia="宋体" w:hAnsi="Arial" w:cs="Arial"/>
          <w:color w:val="000000"/>
          <w:sz w:val="20"/>
          <w:szCs w:val="20"/>
        </w:rPr>
        <w:t>The 737 MAX grounding and the COVID-19 pandemic will continu</w:t>
      </w:r>
      <w:r>
        <w:rPr>
          <w:rFonts w:ascii="Arial" w:eastAsia="宋体" w:hAnsi="Arial" w:cs="Arial"/>
          <w:color w:val="000000"/>
          <w:sz w:val="20"/>
          <w:szCs w:val="20"/>
        </w:rPr>
        <w:t xml:space="preserve">e to have a significant adverse impact on future earnings and margins until 737 MAX and wide-body deliveries return to historic levels. </w:t>
      </w:r>
    </w:p>
    <w:p w14:paraId="4090F834" w14:textId="77777777" w:rsidR="00833634" w:rsidRDefault="00E15D51">
      <w:pPr>
        <w:spacing w:after="180"/>
        <w:jc w:val="both"/>
      </w:pPr>
      <w:r>
        <w:rPr>
          <w:rFonts w:ascii="Arial" w:eastAsia="宋体" w:hAnsi="Arial" w:cs="Arial"/>
          <w:b/>
          <w:bCs/>
          <w:color w:val="000000"/>
          <w:sz w:val="20"/>
          <w:szCs w:val="20"/>
        </w:rPr>
        <w:t>Backlog</w:t>
      </w:r>
    </w:p>
    <w:p w14:paraId="4090F835" w14:textId="77777777" w:rsidR="00833634" w:rsidRDefault="00E15D51">
      <w:pPr>
        <w:spacing w:after="180"/>
        <w:jc w:val="both"/>
      </w:pPr>
      <w:r>
        <w:rPr>
          <w:rFonts w:ascii="Arial" w:eastAsia="宋体" w:hAnsi="Arial" w:cs="Arial"/>
          <w:color w:val="000000"/>
          <w:sz w:val="20"/>
          <w:szCs w:val="20"/>
        </w:rPr>
        <w:t>Our total backlog represents the estimated transaction prices on unsatisfied and partially satisfied performanc</w:t>
      </w:r>
      <w:r>
        <w:rPr>
          <w:rFonts w:ascii="Arial" w:eastAsia="宋体" w:hAnsi="Arial" w:cs="Arial"/>
          <w:color w:val="000000"/>
          <w:sz w:val="20"/>
          <w:szCs w:val="20"/>
        </w:rPr>
        <w:t>e obligations to our customers where we believe it is probable that we will collect the consideration due and where no contingencies remain before we and the customer are required to perform. Backlog does not include prospective orders where customer contr</w:t>
      </w:r>
      <w:r>
        <w:rPr>
          <w:rFonts w:ascii="Arial" w:eastAsia="宋体" w:hAnsi="Arial" w:cs="Arial"/>
          <w:color w:val="000000"/>
          <w:sz w:val="20"/>
          <w:szCs w:val="20"/>
        </w:rPr>
        <w:t>olled contingencies remain, such as the customer receiving approval from its board of directors, shareholders or government or completing financing arrangements. All such contingencies must be satisfied or have expired prior to recording a new firm order e</w:t>
      </w:r>
      <w:r>
        <w:rPr>
          <w:rFonts w:ascii="Arial" w:eastAsia="宋体" w:hAnsi="Arial" w:cs="Arial"/>
          <w:color w:val="000000"/>
          <w:sz w:val="20"/>
          <w:szCs w:val="20"/>
        </w:rPr>
        <w:t>ven if satisfying such conditions is highly certain. Backlog excludes options and Boeing Capital (BCC) orders. A number of our customers may have contractual remedies, including rights to reject individual airplane deliveries if the actual delivery date is</w:t>
      </w:r>
      <w:r>
        <w:rPr>
          <w:rFonts w:ascii="Arial" w:eastAsia="宋体" w:hAnsi="Arial" w:cs="Arial"/>
          <w:color w:val="000000"/>
          <w:sz w:val="20"/>
          <w:szCs w:val="20"/>
        </w:rPr>
        <w:t xml:space="preserve"> significantly later than the contractual delivery date. We address customer claims and requests for other contractual relief as they arise. The value of orders in backlog is adjusted as changes to price and schedule are agreed to with customers and is rep</w:t>
      </w:r>
      <w:r>
        <w:rPr>
          <w:rFonts w:ascii="Arial" w:eastAsia="宋体" w:hAnsi="Arial" w:cs="Arial"/>
          <w:color w:val="000000"/>
          <w:sz w:val="20"/>
          <w:szCs w:val="20"/>
        </w:rPr>
        <w:t>orted in accordance with the requirements of Topic 606.</w:t>
      </w:r>
    </w:p>
    <w:p w14:paraId="4090F836" w14:textId="77777777" w:rsidR="00833634" w:rsidRDefault="00E15D51">
      <w:pPr>
        <w:spacing w:after="180"/>
        <w:jc w:val="both"/>
      </w:pPr>
      <w:r>
        <w:rPr>
          <w:rFonts w:ascii="Arial" w:eastAsia="宋体" w:hAnsi="Arial" w:cs="Arial"/>
          <w:color w:val="000000"/>
          <w:sz w:val="20"/>
          <w:szCs w:val="20"/>
        </w:rPr>
        <w:t>BCA total backlog decreased from $376,593 million as of December 31, 2019 to $312,684 million at September 30, 2020 reflecting aircraft order cancellations, a reduction for orders that in our assessme</w:t>
      </w:r>
      <w:r>
        <w:rPr>
          <w:rFonts w:ascii="Arial" w:eastAsia="宋体" w:hAnsi="Arial" w:cs="Arial"/>
          <w:color w:val="000000"/>
          <w:sz w:val="20"/>
          <w:szCs w:val="20"/>
        </w:rPr>
        <w:t xml:space="preserve">nt no longer meet the accounting requirements of ASC 606 for inclusion in backlog, changes in projected price escalation and deliveries in excess of new orders. Aircraft order cancellations during the nine and three months ended September 30, 2020 totaled </w:t>
      </w:r>
      <w:r>
        <w:rPr>
          <w:rFonts w:ascii="Arial" w:eastAsia="宋体" w:hAnsi="Arial" w:cs="Arial"/>
          <w:color w:val="000000"/>
          <w:sz w:val="20"/>
          <w:szCs w:val="20"/>
        </w:rPr>
        <w:t>$23,254 million and $3,499 million and primarily relate to 737 MAX aircraft. The ASC 606 adjustments for the nine and three months ended September 30, 2020 totaled $32,545 million and $8,639 million and primarily relate to 737 MAX aircraft. The ASC 606 adj</w:t>
      </w:r>
      <w:r>
        <w:rPr>
          <w:rFonts w:ascii="Arial" w:eastAsia="宋体" w:hAnsi="Arial" w:cs="Arial"/>
          <w:color w:val="000000"/>
          <w:sz w:val="20"/>
          <w:szCs w:val="20"/>
        </w:rPr>
        <w:t>ustments include aircraft orders where a customer controlled contingency now exists, as well as orders where we can no longer assert that the customer is committed to perform or that it is probable that the customer will pay the full amount of consideratio</w:t>
      </w:r>
      <w:r>
        <w:rPr>
          <w:rFonts w:ascii="Arial" w:eastAsia="宋体" w:hAnsi="Arial" w:cs="Arial"/>
          <w:color w:val="000000"/>
          <w:sz w:val="20"/>
          <w:szCs w:val="20"/>
        </w:rPr>
        <w:t>n when it is due. If 737 MAX aircraft remain grounded for an extended period of time, we may experience additional reductions to backlog and/or significant order cancellations. Additionally, we may continue to experience fewer new orders and increased canc</w:t>
      </w:r>
      <w:r>
        <w:rPr>
          <w:rFonts w:ascii="Arial" w:eastAsia="宋体" w:hAnsi="Arial" w:cs="Arial"/>
          <w:color w:val="000000"/>
          <w:sz w:val="20"/>
          <w:szCs w:val="20"/>
        </w:rPr>
        <w:t>ellations across all of our commercial airplane programs as a result the COVID-19 pandemic.</w:t>
      </w:r>
    </w:p>
    <w:p w14:paraId="4090F837" w14:textId="77777777" w:rsidR="00833634" w:rsidRDefault="00E15D51">
      <w:pPr>
        <w:spacing w:after="180"/>
        <w:jc w:val="center"/>
      </w:pPr>
      <w:r>
        <w:rPr>
          <w:rFonts w:ascii="Arial" w:eastAsia="宋体" w:hAnsi="Arial" w:cs="Arial"/>
          <w:color w:val="000000"/>
          <w:sz w:val="18"/>
          <w:szCs w:val="18"/>
        </w:rPr>
        <w:t>48</w:t>
      </w:r>
    </w:p>
    <w:p w14:paraId="4090F838" w14:textId="77777777" w:rsidR="00833634" w:rsidRDefault="00E15D51">
      <w:r>
        <w:pict w14:anchorId="4090FE50">
          <v:rect id="_x0000_i1074" style="width:415.3pt;height:1.5pt" o:hralign="center" o:hrstd="t" o:hr="t" fillcolor="#a0a0a0" stroked="f"/>
        </w:pict>
      </w:r>
    </w:p>
    <w:p w14:paraId="4090F839" w14:textId="77777777" w:rsidR="00833634" w:rsidRDefault="00E15D51">
      <w:pPr>
        <w:spacing w:after="180"/>
        <w:jc w:val="both"/>
      </w:pPr>
      <w:hyperlink r:id="rId151" w:anchor="i8d805bfb1e1c4815a1dcd5b6d1e0b117_10" w:history="1">
        <w:r>
          <w:rPr>
            <w:rStyle w:val="a5"/>
            <w:rFonts w:ascii="Arial" w:eastAsia="宋体" w:hAnsi="Arial" w:cs="Arial"/>
            <w:sz w:val="18"/>
            <w:szCs w:val="18"/>
          </w:rPr>
          <w:t>Table of C</w:t>
        </w:r>
        <w:r>
          <w:rPr>
            <w:rStyle w:val="a5"/>
            <w:rFonts w:ascii="Arial" w:eastAsia="宋体" w:hAnsi="Arial" w:cs="Arial"/>
            <w:sz w:val="18"/>
            <w:szCs w:val="18"/>
          </w:rPr>
          <w:t>ontents</w:t>
        </w:r>
      </w:hyperlink>
    </w:p>
    <w:p w14:paraId="4090F83A" w14:textId="77777777" w:rsidR="00833634" w:rsidRDefault="00E15D51">
      <w:pPr>
        <w:spacing w:after="180"/>
        <w:jc w:val="both"/>
      </w:pPr>
      <w:r>
        <w:rPr>
          <w:rFonts w:ascii="Arial" w:eastAsia="宋体" w:hAnsi="Arial" w:cs="Arial"/>
          <w:b/>
          <w:bCs/>
          <w:color w:val="000000"/>
          <w:sz w:val="20"/>
          <w:szCs w:val="20"/>
        </w:rPr>
        <w:t>Accounting Quantity</w:t>
      </w:r>
    </w:p>
    <w:p w14:paraId="4090F83B" w14:textId="77777777" w:rsidR="00833634" w:rsidRDefault="00E15D51">
      <w:pPr>
        <w:jc w:val="both"/>
      </w:pPr>
      <w:r>
        <w:rPr>
          <w:rFonts w:ascii="Arial" w:eastAsia="宋体" w:hAnsi="Arial" w:cs="Arial"/>
          <w:color w:val="000000"/>
          <w:sz w:val="20"/>
          <w:szCs w:val="20"/>
        </w:rPr>
        <w:t>The following table provides details of the accounting quantities and firm orders by program. Cumulative firm orders represent the cumulative number of commercial jet aircraft deliveries plus undelivered firm orders.</w:t>
      </w:r>
    </w:p>
    <w:tbl>
      <w:tblPr>
        <w:tblW w:w="4976" w:type="pct"/>
        <w:tblCellMar>
          <w:top w:w="15" w:type="dxa"/>
          <w:left w:w="15" w:type="dxa"/>
          <w:bottom w:w="15" w:type="dxa"/>
          <w:right w:w="15" w:type="dxa"/>
        </w:tblCellMar>
        <w:tblLook w:val="04A0" w:firstRow="1" w:lastRow="0" w:firstColumn="1" w:lastColumn="0" w:noHBand="0" w:noVBand="1"/>
      </w:tblPr>
      <w:tblGrid>
        <w:gridCol w:w="59"/>
        <w:gridCol w:w="3241"/>
        <w:gridCol w:w="38"/>
        <w:gridCol w:w="82"/>
        <w:gridCol w:w="606"/>
        <w:gridCol w:w="36"/>
        <w:gridCol w:w="36"/>
        <w:gridCol w:w="36"/>
        <w:gridCol w:w="36"/>
        <w:gridCol w:w="69"/>
        <w:gridCol w:w="537"/>
        <w:gridCol w:w="36"/>
        <w:gridCol w:w="36"/>
        <w:gridCol w:w="36"/>
        <w:gridCol w:w="36"/>
        <w:gridCol w:w="69"/>
        <w:gridCol w:w="573"/>
        <w:gridCol w:w="36"/>
        <w:gridCol w:w="36"/>
        <w:gridCol w:w="36"/>
        <w:gridCol w:w="36"/>
        <w:gridCol w:w="69"/>
        <w:gridCol w:w="573"/>
        <w:gridCol w:w="36"/>
        <w:gridCol w:w="36"/>
        <w:gridCol w:w="36"/>
        <w:gridCol w:w="36"/>
        <w:gridCol w:w="60"/>
        <w:gridCol w:w="582"/>
        <w:gridCol w:w="36"/>
        <w:gridCol w:w="36"/>
        <w:gridCol w:w="36"/>
        <w:gridCol w:w="36"/>
        <w:gridCol w:w="69"/>
        <w:gridCol w:w="573"/>
        <w:gridCol w:w="36"/>
        <w:gridCol w:w="63"/>
        <w:gridCol w:w="241"/>
        <w:gridCol w:w="36"/>
      </w:tblGrid>
      <w:tr w:rsidR="00833634" w14:paraId="4090F863" w14:textId="77777777">
        <w:tc>
          <w:tcPr>
            <w:tcW w:w="50" w:type="pct"/>
            <w:shd w:val="clear" w:color="auto" w:fill="auto"/>
          </w:tcPr>
          <w:p w14:paraId="4090F83C" w14:textId="77777777" w:rsidR="00833634" w:rsidRDefault="00833634">
            <w:pPr>
              <w:rPr>
                <w:rFonts w:ascii="宋体"/>
              </w:rPr>
            </w:pPr>
          </w:p>
        </w:tc>
        <w:tc>
          <w:tcPr>
            <w:tcW w:w="1965" w:type="pct"/>
            <w:shd w:val="clear" w:color="auto" w:fill="auto"/>
          </w:tcPr>
          <w:p w14:paraId="4090F83D" w14:textId="77777777" w:rsidR="00833634" w:rsidRDefault="00833634">
            <w:pPr>
              <w:rPr>
                <w:rFonts w:ascii="宋体"/>
              </w:rPr>
            </w:pPr>
          </w:p>
        </w:tc>
        <w:tc>
          <w:tcPr>
            <w:tcW w:w="5" w:type="pct"/>
            <w:shd w:val="clear" w:color="auto" w:fill="auto"/>
          </w:tcPr>
          <w:p w14:paraId="4090F83E" w14:textId="77777777" w:rsidR="00833634" w:rsidRDefault="00833634">
            <w:pPr>
              <w:rPr>
                <w:rFonts w:ascii="宋体"/>
              </w:rPr>
            </w:pPr>
          </w:p>
        </w:tc>
        <w:tc>
          <w:tcPr>
            <w:tcW w:w="50" w:type="pct"/>
            <w:shd w:val="clear" w:color="auto" w:fill="auto"/>
          </w:tcPr>
          <w:p w14:paraId="4090F83F" w14:textId="77777777" w:rsidR="00833634" w:rsidRDefault="00833634">
            <w:pPr>
              <w:rPr>
                <w:rFonts w:ascii="宋体"/>
              </w:rPr>
            </w:pPr>
          </w:p>
        </w:tc>
        <w:tc>
          <w:tcPr>
            <w:tcW w:w="371" w:type="pct"/>
            <w:shd w:val="clear" w:color="auto" w:fill="auto"/>
          </w:tcPr>
          <w:p w14:paraId="4090F840" w14:textId="77777777" w:rsidR="00833634" w:rsidRDefault="00833634">
            <w:pPr>
              <w:rPr>
                <w:rFonts w:ascii="宋体"/>
              </w:rPr>
            </w:pPr>
          </w:p>
        </w:tc>
        <w:tc>
          <w:tcPr>
            <w:tcW w:w="5" w:type="pct"/>
            <w:shd w:val="clear" w:color="auto" w:fill="auto"/>
          </w:tcPr>
          <w:p w14:paraId="4090F841" w14:textId="77777777" w:rsidR="00833634" w:rsidRDefault="00833634">
            <w:pPr>
              <w:rPr>
                <w:rFonts w:ascii="宋体"/>
              </w:rPr>
            </w:pPr>
          </w:p>
        </w:tc>
        <w:tc>
          <w:tcPr>
            <w:tcW w:w="5" w:type="pct"/>
            <w:shd w:val="clear" w:color="auto" w:fill="auto"/>
          </w:tcPr>
          <w:p w14:paraId="4090F842" w14:textId="77777777" w:rsidR="00833634" w:rsidRDefault="00833634">
            <w:pPr>
              <w:rPr>
                <w:rFonts w:ascii="宋体"/>
              </w:rPr>
            </w:pPr>
          </w:p>
        </w:tc>
        <w:tc>
          <w:tcPr>
            <w:tcW w:w="30" w:type="pct"/>
            <w:shd w:val="clear" w:color="auto" w:fill="auto"/>
          </w:tcPr>
          <w:p w14:paraId="4090F843" w14:textId="77777777" w:rsidR="00833634" w:rsidRDefault="00833634">
            <w:pPr>
              <w:rPr>
                <w:rFonts w:ascii="宋体"/>
              </w:rPr>
            </w:pPr>
          </w:p>
        </w:tc>
        <w:tc>
          <w:tcPr>
            <w:tcW w:w="5" w:type="pct"/>
            <w:shd w:val="clear" w:color="auto" w:fill="auto"/>
          </w:tcPr>
          <w:p w14:paraId="4090F844" w14:textId="77777777" w:rsidR="00833634" w:rsidRDefault="00833634">
            <w:pPr>
              <w:rPr>
                <w:rFonts w:ascii="宋体"/>
              </w:rPr>
            </w:pPr>
          </w:p>
        </w:tc>
        <w:tc>
          <w:tcPr>
            <w:tcW w:w="50" w:type="pct"/>
            <w:shd w:val="clear" w:color="auto" w:fill="auto"/>
          </w:tcPr>
          <w:p w14:paraId="4090F845" w14:textId="77777777" w:rsidR="00833634" w:rsidRDefault="00833634">
            <w:pPr>
              <w:rPr>
                <w:rFonts w:ascii="宋体"/>
              </w:rPr>
            </w:pPr>
          </w:p>
        </w:tc>
        <w:tc>
          <w:tcPr>
            <w:tcW w:w="371" w:type="pct"/>
            <w:shd w:val="clear" w:color="auto" w:fill="auto"/>
          </w:tcPr>
          <w:p w14:paraId="4090F846" w14:textId="77777777" w:rsidR="00833634" w:rsidRDefault="00833634">
            <w:pPr>
              <w:rPr>
                <w:rFonts w:ascii="宋体"/>
              </w:rPr>
            </w:pPr>
          </w:p>
        </w:tc>
        <w:tc>
          <w:tcPr>
            <w:tcW w:w="5" w:type="pct"/>
            <w:shd w:val="clear" w:color="auto" w:fill="auto"/>
          </w:tcPr>
          <w:p w14:paraId="4090F847" w14:textId="77777777" w:rsidR="00833634" w:rsidRDefault="00833634">
            <w:pPr>
              <w:rPr>
                <w:rFonts w:ascii="宋体"/>
              </w:rPr>
            </w:pPr>
          </w:p>
        </w:tc>
        <w:tc>
          <w:tcPr>
            <w:tcW w:w="5" w:type="pct"/>
            <w:shd w:val="clear" w:color="auto" w:fill="auto"/>
          </w:tcPr>
          <w:p w14:paraId="4090F848" w14:textId="77777777" w:rsidR="00833634" w:rsidRDefault="00833634">
            <w:pPr>
              <w:rPr>
                <w:rFonts w:ascii="宋体"/>
              </w:rPr>
            </w:pPr>
          </w:p>
        </w:tc>
        <w:tc>
          <w:tcPr>
            <w:tcW w:w="30" w:type="pct"/>
            <w:shd w:val="clear" w:color="auto" w:fill="auto"/>
          </w:tcPr>
          <w:p w14:paraId="4090F849" w14:textId="77777777" w:rsidR="00833634" w:rsidRDefault="00833634">
            <w:pPr>
              <w:rPr>
                <w:rFonts w:ascii="宋体"/>
              </w:rPr>
            </w:pPr>
          </w:p>
        </w:tc>
        <w:tc>
          <w:tcPr>
            <w:tcW w:w="5" w:type="pct"/>
            <w:shd w:val="clear" w:color="auto" w:fill="auto"/>
          </w:tcPr>
          <w:p w14:paraId="4090F84A" w14:textId="77777777" w:rsidR="00833634" w:rsidRDefault="00833634">
            <w:pPr>
              <w:rPr>
                <w:rFonts w:ascii="宋体"/>
              </w:rPr>
            </w:pPr>
          </w:p>
        </w:tc>
        <w:tc>
          <w:tcPr>
            <w:tcW w:w="50" w:type="pct"/>
            <w:shd w:val="clear" w:color="auto" w:fill="auto"/>
          </w:tcPr>
          <w:p w14:paraId="4090F84B" w14:textId="77777777" w:rsidR="00833634" w:rsidRDefault="00833634">
            <w:pPr>
              <w:rPr>
                <w:rFonts w:ascii="宋体"/>
              </w:rPr>
            </w:pPr>
          </w:p>
        </w:tc>
        <w:tc>
          <w:tcPr>
            <w:tcW w:w="371" w:type="pct"/>
            <w:shd w:val="clear" w:color="auto" w:fill="auto"/>
          </w:tcPr>
          <w:p w14:paraId="4090F84C" w14:textId="77777777" w:rsidR="00833634" w:rsidRDefault="00833634">
            <w:pPr>
              <w:rPr>
                <w:rFonts w:ascii="宋体"/>
              </w:rPr>
            </w:pPr>
          </w:p>
        </w:tc>
        <w:tc>
          <w:tcPr>
            <w:tcW w:w="5" w:type="pct"/>
            <w:shd w:val="clear" w:color="auto" w:fill="auto"/>
          </w:tcPr>
          <w:p w14:paraId="4090F84D" w14:textId="77777777" w:rsidR="00833634" w:rsidRDefault="00833634">
            <w:pPr>
              <w:rPr>
                <w:rFonts w:ascii="宋体"/>
              </w:rPr>
            </w:pPr>
          </w:p>
        </w:tc>
        <w:tc>
          <w:tcPr>
            <w:tcW w:w="5" w:type="pct"/>
            <w:shd w:val="clear" w:color="auto" w:fill="auto"/>
          </w:tcPr>
          <w:p w14:paraId="4090F84E" w14:textId="77777777" w:rsidR="00833634" w:rsidRDefault="00833634">
            <w:pPr>
              <w:rPr>
                <w:rFonts w:ascii="宋体"/>
              </w:rPr>
            </w:pPr>
          </w:p>
        </w:tc>
        <w:tc>
          <w:tcPr>
            <w:tcW w:w="30" w:type="pct"/>
            <w:shd w:val="clear" w:color="auto" w:fill="auto"/>
          </w:tcPr>
          <w:p w14:paraId="4090F84F" w14:textId="77777777" w:rsidR="00833634" w:rsidRDefault="00833634">
            <w:pPr>
              <w:rPr>
                <w:rFonts w:ascii="宋体"/>
              </w:rPr>
            </w:pPr>
          </w:p>
        </w:tc>
        <w:tc>
          <w:tcPr>
            <w:tcW w:w="5" w:type="pct"/>
            <w:shd w:val="clear" w:color="auto" w:fill="auto"/>
          </w:tcPr>
          <w:p w14:paraId="4090F850" w14:textId="77777777" w:rsidR="00833634" w:rsidRDefault="00833634">
            <w:pPr>
              <w:rPr>
                <w:rFonts w:ascii="宋体"/>
              </w:rPr>
            </w:pPr>
          </w:p>
        </w:tc>
        <w:tc>
          <w:tcPr>
            <w:tcW w:w="50" w:type="pct"/>
            <w:shd w:val="clear" w:color="auto" w:fill="auto"/>
          </w:tcPr>
          <w:p w14:paraId="4090F851" w14:textId="77777777" w:rsidR="00833634" w:rsidRDefault="00833634">
            <w:pPr>
              <w:rPr>
                <w:rFonts w:ascii="宋体"/>
              </w:rPr>
            </w:pPr>
          </w:p>
        </w:tc>
        <w:tc>
          <w:tcPr>
            <w:tcW w:w="371" w:type="pct"/>
            <w:shd w:val="clear" w:color="auto" w:fill="auto"/>
          </w:tcPr>
          <w:p w14:paraId="4090F852" w14:textId="77777777" w:rsidR="00833634" w:rsidRDefault="00833634">
            <w:pPr>
              <w:rPr>
                <w:rFonts w:ascii="宋体"/>
              </w:rPr>
            </w:pPr>
          </w:p>
        </w:tc>
        <w:tc>
          <w:tcPr>
            <w:tcW w:w="5" w:type="pct"/>
            <w:shd w:val="clear" w:color="auto" w:fill="auto"/>
          </w:tcPr>
          <w:p w14:paraId="4090F853" w14:textId="77777777" w:rsidR="00833634" w:rsidRDefault="00833634">
            <w:pPr>
              <w:rPr>
                <w:rFonts w:ascii="宋体"/>
              </w:rPr>
            </w:pPr>
          </w:p>
        </w:tc>
        <w:tc>
          <w:tcPr>
            <w:tcW w:w="5" w:type="pct"/>
            <w:shd w:val="clear" w:color="auto" w:fill="auto"/>
          </w:tcPr>
          <w:p w14:paraId="4090F854" w14:textId="77777777" w:rsidR="00833634" w:rsidRDefault="00833634">
            <w:pPr>
              <w:rPr>
                <w:rFonts w:ascii="宋体"/>
              </w:rPr>
            </w:pPr>
          </w:p>
        </w:tc>
        <w:tc>
          <w:tcPr>
            <w:tcW w:w="30" w:type="pct"/>
            <w:shd w:val="clear" w:color="auto" w:fill="auto"/>
          </w:tcPr>
          <w:p w14:paraId="4090F855" w14:textId="77777777" w:rsidR="00833634" w:rsidRDefault="00833634">
            <w:pPr>
              <w:rPr>
                <w:rFonts w:ascii="宋体"/>
              </w:rPr>
            </w:pPr>
          </w:p>
        </w:tc>
        <w:tc>
          <w:tcPr>
            <w:tcW w:w="5" w:type="pct"/>
            <w:shd w:val="clear" w:color="auto" w:fill="auto"/>
          </w:tcPr>
          <w:p w14:paraId="4090F856" w14:textId="77777777" w:rsidR="00833634" w:rsidRDefault="00833634">
            <w:pPr>
              <w:rPr>
                <w:rFonts w:ascii="宋体"/>
              </w:rPr>
            </w:pPr>
          </w:p>
        </w:tc>
        <w:tc>
          <w:tcPr>
            <w:tcW w:w="50" w:type="pct"/>
            <w:shd w:val="clear" w:color="auto" w:fill="auto"/>
          </w:tcPr>
          <w:p w14:paraId="4090F857" w14:textId="77777777" w:rsidR="00833634" w:rsidRDefault="00833634">
            <w:pPr>
              <w:rPr>
                <w:rFonts w:ascii="宋体"/>
              </w:rPr>
            </w:pPr>
          </w:p>
        </w:tc>
        <w:tc>
          <w:tcPr>
            <w:tcW w:w="371" w:type="pct"/>
            <w:shd w:val="clear" w:color="auto" w:fill="auto"/>
          </w:tcPr>
          <w:p w14:paraId="4090F858" w14:textId="77777777" w:rsidR="00833634" w:rsidRDefault="00833634">
            <w:pPr>
              <w:rPr>
                <w:rFonts w:ascii="宋体"/>
              </w:rPr>
            </w:pPr>
          </w:p>
        </w:tc>
        <w:tc>
          <w:tcPr>
            <w:tcW w:w="5" w:type="pct"/>
            <w:shd w:val="clear" w:color="auto" w:fill="auto"/>
          </w:tcPr>
          <w:p w14:paraId="4090F859" w14:textId="77777777" w:rsidR="00833634" w:rsidRDefault="00833634">
            <w:pPr>
              <w:rPr>
                <w:rFonts w:ascii="宋体"/>
              </w:rPr>
            </w:pPr>
          </w:p>
        </w:tc>
        <w:tc>
          <w:tcPr>
            <w:tcW w:w="5" w:type="pct"/>
            <w:shd w:val="clear" w:color="auto" w:fill="auto"/>
          </w:tcPr>
          <w:p w14:paraId="4090F85A" w14:textId="77777777" w:rsidR="00833634" w:rsidRDefault="00833634">
            <w:pPr>
              <w:rPr>
                <w:rFonts w:ascii="宋体"/>
              </w:rPr>
            </w:pPr>
          </w:p>
        </w:tc>
        <w:tc>
          <w:tcPr>
            <w:tcW w:w="30" w:type="pct"/>
            <w:shd w:val="clear" w:color="auto" w:fill="auto"/>
          </w:tcPr>
          <w:p w14:paraId="4090F85B" w14:textId="77777777" w:rsidR="00833634" w:rsidRDefault="00833634">
            <w:pPr>
              <w:rPr>
                <w:rFonts w:ascii="宋体"/>
              </w:rPr>
            </w:pPr>
          </w:p>
        </w:tc>
        <w:tc>
          <w:tcPr>
            <w:tcW w:w="5" w:type="pct"/>
            <w:shd w:val="clear" w:color="auto" w:fill="auto"/>
          </w:tcPr>
          <w:p w14:paraId="4090F85C" w14:textId="77777777" w:rsidR="00833634" w:rsidRDefault="00833634">
            <w:pPr>
              <w:rPr>
                <w:rFonts w:ascii="宋体"/>
              </w:rPr>
            </w:pPr>
          </w:p>
        </w:tc>
        <w:tc>
          <w:tcPr>
            <w:tcW w:w="50" w:type="pct"/>
            <w:shd w:val="clear" w:color="auto" w:fill="auto"/>
          </w:tcPr>
          <w:p w14:paraId="4090F85D" w14:textId="77777777" w:rsidR="00833634" w:rsidRDefault="00833634">
            <w:pPr>
              <w:rPr>
                <w:rFonts w:ascii="宋体"/>
              </w:rPr>
            </w:pPr>
          </w:p>
        </w:tc>
        <w:tc>
          <w:tcPr>
            <w:tcW w:w="371" w:type="pct"/>
            <w:shd w:val="clear" w:color="auto" w:fill="auto"/>
          </w:tcPr>
          <w:p w14:paraId="4090F85E" w14:textId="77777777" w:rsidR="00833634" w:rsidRDefault="00833634">
            <w:pPr>
              <w:rPr>
                <w:rFonts w:ascii="宋体"/>
              </w:rPr>
            </w:pPr>
          </w:p>
        </w:tc>
        <w:tc>
          <w:tcPr>
            <w:tcW w:w="5" w:type="pct"/>
            <w:shd w:val="clear" w:color="auto" w:fill="auto"/>
          </w:tcPr>
          <w:p w14:paraId="4090F85F" w14:textId="77777777" w:rsidR="00833634" w:rsidRDefault="00833634">
            <w:pPr>
              <w:rPr>
                <w:rFonts w:ascii="宋体"/>
              </w:rPr>
            </w:pPr>
          </w:p>
        </w:tc>
        <w:tc>
          <w:tcPr>
            <w:tcW w:w="50" w:type="pct"/>
            <w:shd w:val="clear" w:color="auto" w:fill="auto"/>
          </w:tcPr>
          <w:p w14:paraId="4090F860" w14:textId="77777777" w:rsidR="00833634" w:rsidRDefault="00833634">
            <w:pPr>
              <w:rPr>
                <w:rFonts w:ascii="宋体"/>
              </w:rPr>
            </w:pPr>
          </w:p>
        </w:tc>
        <w:tc>
          <w:tcPr>
            <w:tcW w:w="162" w:type="pct"/>
            <w:shd w:val="clear" w:color="auto" w:fill="auto"/>
          </w:tcPr>
          <w:p w14:paraId="4090F861" w14:textId="77777777" w:rsidR="00833634" w:rsidRDefault="00833634">
            <w:pPr>
              <w:rPr>
                <w:rFonts w:ascii="宋体"/>
              </w:rPr>
            </w:pPr>
          </w:p>
        </w:tc>
        <w:tc>
          <w:tcPr>
            <w:tcW w:w="5" w:type="pct"/>
            <w:shd w:val="clear" w:color="auto" w:fill="auto"/>
          </w:tcPr>
          <w:p w14:paraId="4090F862" w14:textId="77777777" w:rsidR="00833634" w:rsidRDefault="00833634">
            <w:pPr>
              <w:rPr>
                <w:rFonts w:ascii="宋体"/>
              </w:rPr>
            </w:pPr>
          </w:p>
        </w:tc>
      </w:tr>
      <w:tr w:rsidR="00833634" w14:paraId="4090F867" w14:textId="77777777">
        <w:tc>
          <w:tcPr>
            <w:tcW w:w="0" w:type="auto"/>
            <w:gridSpan w:val="3"/>
            <w:shd w:val="clear" w:color="auto" w:fill="auto"/>
            <w:tcMar>
              <w:top w:w="0" w:type="dxa"/>
              <w:left w:w="20" w:type="dxa"/>
              <w:bottom w:w="0" w:type="dxa"/>
              <w:right w:w="20" w:type="dxa"/>
            </w:tcMar>
          </w:tcPr>
          <w:p w14:paraId="4090F864" w14:textId="77777777" w:rsidR="00833634" w:rsidRDefault="00833634">
            <w:pPr>
              <w:rPr>
                <w:rFonts w:ascii="宋体"/>
              </w:rPr>
            </w:pPr>
          </w:p>
        </w:tc>
        <w:tc>
          <w:tcPr>
            <w:tcW w:w="0" w:type="auto"/>
            <w:gridSpan w:val="33"/>
            <w:shd w:val="clear" w:color="auto" w:fill="auto"/>
            <w:tcMar>
              <w:top w:w="40" w:type="dxa"/>
              <w:left w:w="20" w:type="dxa"/>
              <w:bottom w:w="40" w:type="dxa"/>
              <w:right w:w="20" w:type="dxa"/>
            </w:tcMar>
            <w:vAlign w:val="bottom"/>
          </w:tcPr>
          <w:p w14:paraId="4090F865" w14:textId="77777777" w:rsidR="00833634" w:rsidRDefault="00E15D51">
            <w:pPr>
              <w:jc w:val="center"/>
              <w:textAlignment w:val="bottom"/>
            </w:pPr>
            <w:r>
              <w:rPr>
                <w:rFonts w:ascii="Arial" w:eastAsia="宋体" w:hAnsi="Arial" w:cs="Arial"/>
                <w:b/>
                <w:bCs/>
                <w:color w:val="000000"/>
                <w:sz w:val="20"/>
                <w:szCs w:val="20"/>
              </w:rPr>
              <w:t>Program</w:t>
            </w:r>
          </w:p>
        </w:tc>
        <w:tc>
          <w:tcPr>
            <w:tcW w:w="0" w:type="auto"/>
            <w:gridSpan w:val="3"/>
            <w:shd w:val="clear" w:color="auto" w:fill="auto"/>
            <w:tcMar>
              <w:top w:w="0" w:type="dxa"/>
              <w:left w:w="20" w:type="dxa"/>
              <w:bottom w:w="0" w:type="dxa"/>
              <w:right w:w="20" w:type="dxa"/>
            </w:tcMar>
          </w:tcPr>
          <w:p w14:paraId="4090F866" w14:textId="77777777" w:rsidR="00833634" w:rsidRDefault="00833634">
            <w:pPr>
              <w:rPr>
                <w:rFonts w:ascii="宋体"/>
              </w:rPr>
            </w:pPr>
          </w:p>
        </w:tc>
      </w:tr>
      <w:tr w:rsidR="00833634" w14:paraId="4090F879"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868" w14:textId="77777777" w:rsidR="00833634" w:rsidRDefault="00E15D51">
            <w:pPr>
              <w:textAlignment w:val="bottom"/>
            </w:pPr>
            <w:r>
              <w:rPr>
                <w:rFonts w:ascii="Arial" w:eastAsia="宋体" w:hAnsi="Arial" w:cs="Arial"/>
                <w:b/>
                <w:bCs/>
                <w:color w:val="000000"/>
                <w:sz w:val="20"/>
                <w:szCs w:val="20"/>
              </w:rPr>
              <w:t>As of 9/30/2020</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869" w14:textId="77777777" w:rsidR="00833634" w:rsidRDefault="00E15D51">
            <w:pPr>
              <w:jc w:val="right"/>
              <w:textAlignment w:val="bottom"/>
            </w:pPr>
            <w:r>
              <w:rPr>
                <w:rFonts w:ascii="Arial" w:eastAsia="宋体" w:hAnsi="Arial" w:cs="Arial"/>
                <w:b/>
                <w:bCs/>
                <w:color w:val="000000"/>
                <w:sz w:val="20"/>
                <w:szCs w:val="20"/>
              </w:rPr>
              <w:t>737</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4090F86A"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6B"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86C" w14:textId="77777777" w:rsidR="00833634" w:rsidRDefault="00E15D51">
            <w:pPr>
              <w:jc w:val="right"/>
              <w:textAlignment w:val="bottom"/>
            </w:pPr>
            <w:r>
              <w:rPr>
                <w:rFonts w:ascii="Arial" w:eastAsia="宋体" w:hAnsi="Arial" w:cs="Arial"/>
                <w:b/>
                <w:bCs/>
                <w:color w:val="000000"/>
                <w:sz w:val="20"/>
                <w:szCs w:val="20"/>
              </w:rPr>
              <w:t>747*</w:t>
            </w:r>
          </w:p>
        </w:tc>
        <w:tc>
          <w:tcPr>
            <w:tcW w:w="0" w:type="auto"/>
            <w:gridSpan w:val="3"/>
            <w:tcBorders>
              <w:top w:val="single" w:sz="8" w:space="0" w:color="000000"/>
            </w:tcBorders>
            <w:shd w:val="clear" w:color="auto" w:fill="auto"/>
            <w:tcMar>
              <w:top w:w="0" w:type="dxa"/>
              <w:left w:w="20" w:type="dxa"/>
              <w:bottom w:w="0" w:type="dxa"/>
              <w:right w:w="20" w:type="dxa"/>
            </w:tcMar>
          </w:tcPr>
          <w:p w14:paraId="4090F86D"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86E" w14:textId="77777777" w:rsidR="00833634" w:rsidRDefault="00E15D51">
            <w:pPr>
              <w:jc w:val="right"/>
              <w:textAlignment w:val="bottom"/>
            </w:pPr>
            <w:r>
              <w:rPr>
                <w:rFonts w:ascii="Arial" w:eastAsia="宋体" w:hAnsi="Arial" w:cs="Arial"/>
                <w:b/>
                <w:bCs/>
                <w:color w:val="000000"/>
                <w:sz w:val="20"/>
                <w:szCs w:val="20"/>
              </w:rPr>
              <w:t>767</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4090F86F"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70"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871" w14:textId="77777777" w:rsidR="00833634" w:rsidRDefault="00E15D51">
            <w:pPr>
              <w:jc w:val="right"/>
              <w:textAlignment w:val="bottom"/>
            </w:pPr>
            <w:r>
              <w:rPr>
                <w:rFonts w:ascii="Arial" w:eastAsia="宋体" w:hAnsi="Arial" w:cs="Arial"/>
                <w:b/>
                <w:bCs/>
                <w:color w:val="000000"/>
                <w:sz w:val="20"/>
                <w:szCs w:val="20"/>
              </w:rPr>
              <w:t>777</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4090F872"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73"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874" w14:textId="77777777" w:rsidR="00833634" w:rsidRDefault="00E15D51">
            <w:pPr>
              <w:jc w:val="right"/>
              <w:textAlignment w:val="bottom"/>
            </w:pPr>
            <w:r>
              <w:rPr>
                <w:rFonts w:ascii="Arial" w:eastAsia="宋体" w:hAnsi="Arial" w:cs="Arial"/>
                <w:b/>
                <w:bCs/>
                <w:color w:val="000000"/>
                <w:sz w:val="20"/>
                <w:szCs w:val="20"/>
              </w:rPr>
              <w:t>777X</w:t>
            </w:r>
          </w:p>
        </w:tc>
        <w:tc>
          <w:tcPr>
            <w:tcW w:w="0" w:type="auto"/>
            <w:gridSpan w:val="3"/>
            <w:tcBorders>
              <w:top w:val="single" w:sz="8" w:space="0" w:color="000000"/>
            </w:tcBorders>
            <w:shd w:val="clear" w:color="auto" w:fill="auto"/>
            <w:tcMar>
              <w:top w:w="0" w:type="dxa"/>
              <w:left w:w="20" w:type="dxa"/>
              <w:bottom w:w="0" w:type="dxa"/>
              <w:right w:w="20" w:type="dxa"/>
            </w:tcMar>
          </w:tcPr>
          <w:p w14:paraId="4090F875"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876" w14:textId="77777777" w:rsidR="00833634" w:rsidRDefault="00E15D51">
            <w:pPr>
              <w:jc w:val="right"/>
              <w:textAlignment w:val="bottom"/>
            </w:pPr>
            <w:r>
              <w:rPr>
                <w:rFonts w:ascii="Arial" w:eastAsia="宋体" w:hAnsi="Arial" w:cs="Arial"/>
                <w:b/>
                <w:bCs/>
                <w:color w:val="000000"/>
                <w:sz w:val="20"/>
                <w:szCs w:val="20"/>
              </w:rPr>
              <w:t>787</w:t>
            </w:r>
            <w:r>
              <w:rPr>
                <w:rFonts w:ascii="Arial" w:eastAsia="宋体" w:hAnsi="Arial" w:cs="Arial"/>
                <w:color w:val="000000"/>
                <w:sz w:val="20"/>
                <w:szCs w:val="20"/>
              </w:rPr>
              <w:t> </w:t>
            </w:r>
          </w:p>
        </w:tc>
        <w:tc>
          <w:tcPr>
            <w:tcW w:w="0" w:type="auto"/>
            <w:tcBorders>
              <w:top w:val="single" w:sz="8" w:space="0" w:color="000000"/>
            </w:tcBorders>
            <w:shd w:val="clear" w:color="auto" w:fill="auto"/>
            <w:tcMar>
              <w:top w:w="40" w:type="dxa"/>
              <w:left w:w="0" w:type="dxa"/>
              <w:bottom w:w="40" w:type="dxa"/>
              <w:right w:w="20" w:type="dxa"/>
            </w:tcMar>
            <w:vAlign w:val="bottom"/>
          </w:tcPr>
          <w:p w14:paraId="4090F877" w14:textId="77777777" w:rsidR="00833634" w:rsidRDefault="00833634">
            <w:pPr>
              <w:jc w:val="right"/>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878" w14:textId="77777777" w:rsidR="00833634" w:rsidRDefault="00E15D51">
            <w:pPr>
              <w:jc w:val="center"/>
              <w:textAlignment w:val="bottom"/>
            </w:pPr>
            <w:r>
              <w:rPr>
                <w:rFonts w:ascii="Arial" w:eastAsia="宋体" w:hAnsi="Arial" w:cs="Arial"/>
                <w:color w:val="000000"/>
                <w:sz w:val="20"/>
                <w:szCs w:val="20"/>
              </w:rPr>
              <w:t>†</w:t>
            </w:r>
          </w:p>
        </w:tc>
      </w:tr>
      <w:tr w:rsidR="00833634" w14:paraId="4090F88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87A" w14:textId="77777777" w:rsidR="00833634" w:rsidRDefault="00E15D51">
            <w:pPr>
              <w:textAlignment w:val="bottom"/>
            </w:pPr>
            <w:r>
              <w:rPr>
                <w:rFonts w:ascii="Arial" w:eastAsia="宋体" w:hAnsi="Arial" w:cs="Arial"/>
                <w:color w:val="000000"/>
                <w:sz w:val="20"/>
                <w:szCs w:val="20"/>
              </w:rPr>
              <w:t>Program accounting quantities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7B" w14:textId="77777777" w:rsidR="00833634" w:rsidRDefault="00E15D51">
            <w:pPr>
              <w:jc w:val="right"/>
              <w:textAlignment w:val="bottom"/>
            </w:pPr>
            <w:r>
              <w:rPr>
                <w:rFonts w:ascii="Arial" w:eastAsia="宋体" w:hAnsi="Arial" w:cs="Arial"/>
                <w:b/>
                <w:bCs/>
                <w:color w:val="000000"/>
                <w:sz w:val="20"/>
                <w:szCs w:val="20"/>
              </w:rPr>
              <w:t>10,000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7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7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7E" w14:textId="77777777" w:rsidR="00833634" w:rsidRDefault="00E15D51">
            <w:pPr>
              <w:jc w:val="right"/>
              <w:textAlignment w:val="bottom"/>
            </w:pPr>
            <w:r>
              <w:rPr>
                <w:rFonts w:ascii="Arial" w:eastAsia="宋体" w:hAnsi="Arial" w:cs="Arial"/>
                <w:b/>
                <w:bCs/>
                <w:color w:val="000000"/>
                <w:sz w:val="20"/>
                <w:szCs w:val="20"/>
              </w:rPr>
              <w:t>1,574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7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8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81" w14:textId="77777777" w:rsidR="00833634" w:rsidRDefault="00E15D51">
            <w:pPr>
              <w:jc w:val="right"/>
              <w:textAlignment w:val="bottom"/>
            </w:pPr>
            <w:r>
              <w:rPr>
                <w:rFonts w:ascii="Arial" w:eastAsia="宋体" w:hAnsi="Arial" w:cs="Arial"/>
                <w:b/>
                <w:bCs/>
                <w:color w:val="000000"/>
                <w:sz w:val="20"/>
                <w:szCs w:val="20"/>
              </w:rPr>
              <w:t>1,207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8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8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84" w14:textId="77777777" w:rsidR="00833634" w:rsidRDefault="00E15D51">
            <w:pPr>
              <w:jc w:val="right"/>
              <w:textAlignment w:val="bottom"/>
            </w:pPr>
            <w:r>
              <w:rPr>
                <w:rFonts w:ascii="Arial" w:eastAsia="宋体" w:hAnsi="Arial" w:cs="Arial"/>
                <w:b/>
                <w:bCs/>
                <w:color w:val="000000"/>
                <w:sz w:val="20"/>
                <w:szCs w:val="20"/>
              </w:rPr>
              <w:t>1,690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8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86" w14:textId="77777777" w:rsidR="00833634" w:rsidRDefault="0083363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887"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4090F88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89" w14:textId="77777777" w:rsidR="00833634" w:rsidRDefault="00E15D51">
            <w:pPr>
              <w:jc w:val="right"/>
              <w:textAlignment w:val="bottom"/>
            </w:pPr>
            <w:r>
              <w:rPr>
                <w:rFonts w:ascii="Arial" w:eastAsia="宋体" w:hAnsi="Arial" w:cs="Arial"/>
                <w:b/>
                <w:bCs/>
                <w:color w:val="000000"/>
                <w:sz w:val="20"/>
                <w:szCs w:val="20"/>
              </w:rPr>
              <w:t>1,500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8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8B" w14:textId="77777777" w:rsidR="00833634" w:rsidRDefault="00833634">
            <w:pPr>
              <w:rPr>
                <w:rFonts w:ascii="宋体"/>
              </w:rPr>
            </w:pPr>
          </w:p>
        </w:tc>
      </w:tr>
      <w:tr w:rsidR="00833634" w14:paraId="4090F8A0" w14:textId="77777777">
        <w:tc>
          <w:tcPr>
            <w:tcW w:w="0" w:type="auto"/>
            <w:gridSpan w:val="3"/>
            <w:shd w:val="clear" w:color="auto" w:fill="auto"/>
            <w:tcMar>
              <w:top w:w="40" w:type="dxa"/>
              <w:left w:w="20" w:type="dxa"/>
              <w:bottom w:w="40" w:type="dxa"/>
              <w:right w:w="20" w:type="dxa"/>
            </w:tcMar>
            <w:vAlign w:val="bottom"/>
          </w:tcPr>
          <w:p w14:paraId="4090F88D" w14:textId="77777777" w:rsidR="00833634" w:rsidRDefault="00E15D51">
            <w:pPr>
              <w:textAlignment w:val="bottom"/>
            </w:pPr>
            <w:r>
              <w:rPr>
                <w:rFonts w:ascii="Arial" w:eastAsia="宋体" w:hAnsi="Arial" w:cs="Arial"/>
                <w:color w:val="000000"/>
                <w:sz w:val="20"/>
                <w:szCs w:val="20"/>
              </w:rPr>
              <w:t>Undelivered units under firm orders</w:t>
            </w:r>
          </w:p>
        </w:tc>
        <w:tc>
          <w:tcPr>
            <w:tcW w:w="0" w:type="auto"/>
            <w:gridSpan w:val="2"/>
            <w:shd w:val="clear" w:color="auto" w:fill="auto"/>
            <w:tcMar>
              <w:top w:w="40" w:type="dxa"/>
              <w:left w:w="20" w:type="dxa"/>
              <w:bottom w:w="40" w:type="dxa"/>
              <w:right w:w="0" w:type="dxa"/>
            </w:tcMar>
            <w:vAlign w:val="bottom"/>
          </w:tcPr>
          <w:p w14:paraId="4090F88E" w14:textId="77777777" w:rsidR="00833634" w:rsidRDefault="00E15D51">
            <w:pPr>
              <w:jc w:val="right"/>
              <w:textAlignment w:val="bottom"/>
            </w:pPr>
            <w:r>
              <w:rPr>
                <w:rFonts w:ascii="Arial" w:eastAsia="宋体" w:hAnsi="Arial" w:cs="Arial"/>
                <w:b/>
                <w:bCs/>
                <w:color w:val="000000"/>
                <w:sz w:val="20"/>
                <w:szCs w:val="20"/>
              </w:rPr>
              <w:t>3,403</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88F"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890"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891" w14:textId="77777777" w:rsidR="00833634" w:rsidRDefault="00E15D51">
            <w:pPr>
              <w:jc w:val="right"/>
              <w:textAlignment w:val="bottom"/>
            </w:pPr>
            <w:r>
              <w:rPr>
                <w:rFonts w:ascii="Arial" w:eastAsia="宋体" w:hAnsi="Arial" w:cs="Arial"/>
                <w:b/>
                <w:bCs/>
                <w:color w:val="000000"/>
                <w:sz w:val="20"/>
                <w:szCs w:val="20"/>
              </w:rPr>
              <w:t>11</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892"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893"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894" w14:textId="77777777" w:rsidR="00833634" w:rsidRDefault="00E15D51">
            <w:pPr>
              <w:jc w:val="right"/>
              <w:textAlignment w:val="bottom"/>
            </w:pPr>
            <w:r>
              <w:rPr>
                <w:rFonts w:ascii="Arial" w:eastAsia="宋体" w:hAnsi="Arial" w:cs="Arial"/>
                <w:b/>
                <w:bCs/>
                <w:color w:val="000000"/>
                <w:sz w:val="20"/>
                <w:szCs w:val="20"/>
              </w:rPr>
              <w:t>83</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895"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896"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897" w14:textId="77777777" w:rsidR="00833634" w:rsidRDefault="00E15D51">
            <w:pPr>
              <w:jc w:val="right"/>
              <w:textAlignment w:val="bottom"/>
            </w:pPr>
            <w:r>
              <w:rPr>
                <w:rFonts w:ascii="Arial" w:eastAsia="宋体" w:hAnsi="Arial" w:cs="Arial"/>
                <w:b/>
                <w:bCs/>
                <w:color w:val="000000"/>
                <w:sz w:val="20"/>
                <w:szCs w:val="20"/>
              </w:rPr>
              <w:t>44</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898"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899"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89A" w14:textId="77777777" w:rsidR="00833634" w:rsidRDefault="00E15D51">
            <w:pPr>
              <w:jc w:val="right"/>
              <w:textAlignment w:val="bottom"/>
            </w:pPr>
            <w:r>
              <w:rPr>
                <w:rFonts w:ascii="Arial" w:eastAsia="宋体" w:hAnsi="Arial" w:cs="Arial"/>
                <w:b/>
                <w:bCs/>
                <w:color w:val="000000"/>
                <w:sz w:val="20"/>
                <w:szCs w:val="20"/>
              </w:rPr>
              <w:t>309</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89B"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89C"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89D" w14:textId="77777777" w:rsidR="00833634" w:rsidRDefault="00E15D51">
            <w:pPr>
              <w:jc w:val="right"/>
              <w:textAlignment w:val="bottom"/>
            </w:pPr>
            <w:r>
              <w:rPr>
                <w:rFonts w:ascii="Arial" w:eastAsia="宋体" w:hAnsi="Arial" w:cs="Arial"/>
                <w:b/>
                <w:bCs/>
                <w:color w:val="000000"/>
                <w:sz w:val="20"/>
                <w:szCs w:val="20"/>
              </w:rPr>
              <w:t>475</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89E" w14:textId="77777777" w:rsidR="00833634" w:rsidRDefault="00833634">
            <w:pPr>
              <w:jc w:val="right"/>
              <w:rPr>
                <w:rFonts w:ascii="宋体"/>
              </w:rPr>
            </w:pPr>
          </w:p>
        </w:tc>
        <w:tc>
          <w:tcPr>
            <w:tcW w:w="0" w:type="auto"/>
            <w:gridSpan w:val="3"/>
            <w:shd w:val="clear" w:color="auto" w:fill="auto"/>
            <w:tcMar>
              <w:top w:w="40" w:type="dxa"/>
              <w:left w:w="20" w:type="dxa"/>
              <w:bottom w:w="40" w:type="dxa"/>
              <w:right w:w="20" w:type="dxa"/>
            </w:tcMar>
            <w:vAlign w:val="bottom"/>
          </w:tcPr>
          <w:p w14:paraId="4090F89F" w14:textId="77777777" w:rsidR="00833634" w:rsidRDefault="00E15D51">
            <w:pPr>
              <w:jc w:val="center"/>
              <w:textAlignment w:val="bottom"/>
            </w:pPr>
            <w:r>
              <w:rPr>
                <w:rFonts w:ascii="Arial" w:eastAsia="宋体" w:hAnsi="Arial" w:cs="Arial"/>
                <w:color w:val="000000"/>
                <w:sz w:val="13"/>
                <w:szCs w:val="13"/>
              </w:rPr>
              <w:t>(27)</w:t>
            </w:r>
          </w:p>
        </w:tc>
      </w:tr>
      <w:tr w:rsidR="00833634" w14:paraId="4090F8B4" w14:textId="77777777">
        <w:tc>
          <w:tcPr>
            <w:tcW w:w="0" w:type="auto"/>
            <w:gridSpan w:val="3"/>
            <w:shd w:val="clear" w:color="auto" w:fill="CCEEFF"/>
            <w:tcMar>
              <w:top w:w="40" w:type="dxa"/>
              <w:left w:w="20" w:type="dxa"/>
              <w:bottom w:w="40" w:type="dxa"/>
              <w:right w:w="20" w:type="dxa"/>
            </w:tcMar>
            <w:vAlign w:val="bottom"/>
          </w:tcPr>
          <w:p w14:paraId="4090F8A1" w14:textId="77777777" w:rsidR="00833634" w:rsidRDefault="00E15D51">
            <w:pPr>
              <w:textAlignment w:val="bottom"/>
            </w:pPr>
            <w:r>
              <w:rPr>
                <w:rFonts w:ascii="Arial" w:eastAsia="宋体" w:hAnsi="Arial" w:cs="Arial"/>
                <w:color w:val="000000"/>
                <w:sz w:val="20"/>
                <w:szCs w:val="20"/>
              </w:rPr>
              <w:t>Cumulative firm orders</w:t>
            </w:r>
          </w:p>
        </w:tc>
        <w:tc>
          <w:tcPr>
            <w:tcW w:w="0" w:type="auto"/>
            <w:gridSpan w:val="2"/>
            <w:shd w:val="clear" w:color="auto" w:fill="CCEEFF"/>
            <w:tcMar>
              <w:top w:w="40" w:type="dxa"/>
              <w:left w:w="20" w:type="dxa"/>
              <w:bottom w:w="40" w:type="dxa"/>
              <w:right w:w="0" w:type="dxa"/>
            </w:tcMar>
            <w:vAlign w:val="bottom"/>
          </w:tcPr>
          <w:p w14:paraId="4090F8A2" w14:textId="77777777" w:rsidR="00833634" w:rsidRDefault="00E15D51">
            <w:pPr>
              <w:jc w:val="right"/>
              <w:textAlignment w:val="bottom"/>
            </w:pPr>
            <w:r>
              <w:rPr>
                <w:rFonts w:ascii="Arial" w:eastAsia="宋体" w:hAnsi="Arial" w:cs="Arial"/>
                <w:b/>
                <w:bCs/>
                <w:color w:val="000000"/>
                <w:sz w:val="20"/>
                <w:szCs w:val="20"/>
              </w:rPr>
              <w:t>10,854</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8A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A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8A5" w14:textId="77777777" w:rsidR="00833634" w:rsidRDefault="00E15D51">
            <w:pPr>
              <w:jc w:val="right"/>
              <w:textAlignment w:val="bottom"/>
            </w:pPr>
            <w:r>
              <w:rPr>
                <w:rFonts w:ascii="Arial" w:eastAsia="宋体" w:hAnsi="Arial" w:cs="Arial"/>
                <w:b/>
                <w:bCs/>
                <w:color w:val="000000"/>
                <w:sz w:val="20"/>
                <w:szCs w:val="20"/>
              </w:rPr>
              <w:t>1,568</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8A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A7"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8A8" w14:textId="77777777" w:rsidR="00833634" w:rsidRDefault="00E15D51">
            <w:pPr>
              <w:jc w:val="right"/>
              <w:textAlignment w:val="bottom"/>
            </w:pPr>
            <w:r>
              <w:rPr>
                <w:rFonts w:ascii="Arial" w:eastAsia="宋体" w:hAnsi="Arial" w:cs="Arial"/>
                <w:b/>
                <w:bCs/>
                <w:color w:val="000000"/>
                <w:sz w:val="20"/>
                <w:szCs w:val="20"/>
              </w:rPr>
              <w:t>1,279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8A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A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8AB" w14:textId="77777777" w:rsidR="00833634" w:rsidRDefault="00E15D51">
            <w:pPr>
              <w:jc w:val="right"/>
              <w:textAlignment w:val="bottom"/>
            </w:pPr>
            <w:r>
              <w:rPr>
                <w:rFonts w:ascii="Arial" w:eastAsia="宋体" w:hAnsi="Arial" w:cs="Arial"/>
                <w:b/>
                <w:bCs/>
                <w:color w:val="000000"/>
                <w:sz w:val="20"/>
                <w:szCs w:val="20"/>
              </w:rPr>
              <w:t>1,686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8A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A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8AE" w14:textId="77777777" w:rsidR="00833634" w:rsidRDefault="00E15D51">
            <w:pPr>
              <w:jc w:val="right"/>
              <w:textAlignment w:val="bottom"/>
            </w:pPr>
            <w:r>
              <w:rPr>
                <w:rFonts w:ascii="Arial" w:eastAsia="宋体" w:hAnsi="Arial" w:cs="Arial"/>
                <w:b/>
                <w:bCs/>
                <w:color w:val="000000"/>
                <w:sz w:val="20"/>
                <w:szCs w:val="20"/>
              </w:rPr>
              <w:t>309</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8A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B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8B1" w14:textId="77777777" w:rsidR="00833634" w:rsidRDefault="00E15D51">
            <w:pPr>
              <w:jc w:val="right"/>
              <w:textAlignment w:val="bottom"/>
            </w:pPr>
            <w:r>
              <w:rPr>
                <w:rFonts w:ascii="Arial" w:eastAsia="宋体" w:hAnsi="Arial" w:cs="Arial"/>
                <w:b/>
                <w:bCs/>
                <w:color w:val="000000"/>
                <w:sz w:val="20"/>
                <w:szCs w:val="20"/>
              </w:rPr>
              <w:t>1,463</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8B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8B3" w14:textId="77777777" w:rsidR="00833634" w:rsidRDefault="00833634">
            <w:pPr>
              <w:rPr>
                <w:rFonts w:ascii="宋体"/>
              </w:rPr>
            </w:pPr>
          </w:p>
        </w:tc>
      </w:tr>
      <w:tr w:rsidR="00833634" w14:paraId="4090F8C2" w14:textId="77777777">
        <w:trPr>
          <w:trHeight w:val="280"/>
        </w:trPr>
        <w:tc>
          <w:tcPr>
            <w:tcW w:w="0" w:type="auto"/>
            <w:gridSpan w:val="3"/>
            <w:tcBorders>
              <w:top w:val="single" w:sz="8" w:space="0" w:color="000000"/>
            </w:tcBorders>
            <w:shd w:val="clear" w:color="auto" w:fill="auto"/>
            <w:tcMar>
              <w:top w:w="0" w:type="dxa"/>
              <w:left w:w="20" w:type="dxa"/>
              <w:bottom w:w="0" w:type="dxa"/>
              <w:right w:w="20" w:type="dxa"/>
            </w:tcMar>
          </w:tcPr>
          <w:p w14:paraId="4090F8B5"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6"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7"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8"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9"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A"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B"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C"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D"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E"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BF"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C0" w14:textId="77777777" w:rsidR="00833634" w:rsidRDefault="00833634">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C1" w14:textId="77777777" w:rsidR="00833634" w:rsidRDefault="00833634">
            <w:pPr>
              <w:rPr>
                <w:rFonts w:ascii="宋体"/>
              </w:rPr>
            </w:pPr>
          </w:p>
        </w:tc>
      </w:tr>
      <w:tr w:rsidR="00833634" w14:paraId="4090F8D5" w14:textId="77777777">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8C3" w14:textId="77777777" w:rsidR="00833634" w:rsidRDefault="00E15D51">
            <w:pPr>
              <w:textAlignment w:val="bottom"/>
            </w:pPr>
            <w:r>
              <w:rPr>
                <w:rFonts w:ascii="Arial" w:eastAsia="宋体" w:hAnsi="Arial" w:cs="Arial"/>
                <w:color w:val="000000"/>
                <w:sz w:val="20"/>
                <w:szCs w:val="20"/>
              </w:rPr>
              <w:t>As of 12/31/2019</w:t>
            </w: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8C4" w14:textId="77777777" w:rsidR="00833634" w:rsidRDefault="00E15D51">
            <w:pPr>
              <w:jc w:val="right"/>
              <w:textAlignment w:val="bottom"/>
            </w:pPr>
            <w:r>
              <w:rPr>
                <w:rFonts w:ascii="Arial" w:eastAsia="宋体" w:hAnsi="Arial" w:cs="Arial"/>
                <w:color w:val="000000"/>
                <w:sz w:val="20"/>
                <w:szCs w:val="20"/>
              </w:rPr>
              <w:t>737 </w:t>
            </w:r>
          </w:p>
        </w:tc>
        <w:tc>
          <w:tcPr>
            <w:tcW w:w="0" w:type="auto"/>
            <w:tcBorders>
              <w:top w:val="single" w:sz="8" w:space="0" w:color="000000"/>
            </w:tcBorders>
            <w:shd w:val="clear" w:color="auto" w:fill="auto"/>
            <w:tcMar>
              <w:top w:w="40" w:type="dxa"/>
              <w:left w:w="0" w:type="dxa"/>
              <w:bottom w:w="40" w:type="dxa"/>
              <w:right w:w="20" w:type="dxa"/>
            </w:tcMar>
            <w:vAlign w:val="bottom"/>
          </w:tcPr>
          <w:p w14:paraId="4090F8C5"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C6"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8C7" w14:textId="77777777" w:rsidR="00833634" w:rsidRDefault="00E15D51">
            <w:pPr>
              <w:jc w:val="right"/>
              <w:textAlignment w:val="bottom"/>
            </w:pPr>
            <w:r>
              <w:rPr>
                <w:rFonts w:ascii="Arial" w:eastAsia="宋体" w:hAnsi="Arial" w:cs="Arial"/>
                <w:color w:val="000000"/>
                <w:sz w:val="20"/>
                <w:szCs w:val="20"/>
              </w:rPr>
              <w:t>747 </w:t>
            </w:r>
          </w:p>
        </w:tc>
        <w:tc>
          <w:tcPr>
            <w:tcW w:w="0" w:type="auto"/>
            <w:tcBorders>
              <w:top w:val="single" w:sz="8" w:space="0" w:color="000000"/>
            </w:tcBorders>
            <w:shd w:val="clear" w:color="auto" w:fill="auto"/>
            <w:tcMar>
              <w:top w:w="40" w:type="dxa"/>
              <w:left w:w="0" w:type="dxa"/>
              <w:bottom w:w="40" w:type="dxa"/>
              <w:right w:w="20" w:type="dxa"/>
            </w:tcMar>
            <w:vAlign w:val="bottom"/>
          </w:tcPr>
          <w:p w14:paraId="4090F8C8"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C9"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8CA" w14:textId="77777777" w:rsidR="00833634" w:rsidRDefault="00E15D51">
            <w:pPr>
              <w:jc w:val="right"/>
              <w:textAlignment w:val="bottom"/>
            </w:pPr>
            <w:r>
              <w:rPr>
                <w:rFonts w:ascii="Arial" w:eastAsia="宋体" w:hAnsi="Arial" w:cs="Arial"/>
                <w:color w:val="000000"/>
                <w:sz w:val="20"/>
                <w:szCs w:val="20"/>
              </w:rPr>
              <w:t>767 </w:t>
            </w:r>
          </w:p>
        </w:tc>
        <w:tc>
          <w:tcPr>
            <w:tcW w:w="0" w:type="auto"/>
            <w:tcBorders>
              <w:top w:val="single" w:sz="8" w:space="0" w:color="000000"/>
            </w:tcBorders>
            <w:shd w:val="clear" w:color="auto" w:fill="auto"/>
            <w:tcMar>
              <w:top w:w="40" w:type="dxa"/>
              <w:left w:w="0" w:type="dxa"/>
              <w:bottom w:w="40" w:type="dxa"/>
              <w:right w:w="20" w:type="dxa"/>
            </w:tcMar>
            <w:vAlign w:val="bottom"/>
          </w:tcPr>
          <w:p w14:paraId="4090F8CB"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CC"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8CD" w14:textId="77777777" w:rsidR="00833634" w:rsidRDefault="00E15D51">
            <w:pPr>
              <w:jc w:val="right"/>
              <w:textAlignment w:val="bottom"/>
            </w:pPr>
            <w:r>
              <w:rPr>
                <w:rFonts w:ascii="Arial" w:eastAsia="宋体" w:hAnsi="Arial" w:cs="Arial"/>
                <w:color w:val="000000"/>
                <w:sz w:val="20"/>
                <w:szCs w:val="20"/>
              </w:rPr>
              <w:t>777 </w:t>
            </w:r>
          </w:p>
        </w:tc>
        <w:tc>
          <w:tcPr>
            <w:tcW w:w="0" w:type="auto"/>
            <w:tcBorders>
              <w:top w:val="single" w:sz="8" w:space="0" w:color="000000"/>
            </w:tcBorders>
            <w:shd w:val="clear" w:color="auto" w:fill="auto"/>
            <w:tcMar>
              <w:top w:w="40" w:type="dxa"/>
              <w:left w:w="0" w:type="dxa"/>
              <w:bottom w:w="40" w:type="dxa"/>
              <w:right w:w="20" w:type="dxa"/>
            </w:tcMar>
            <w:vAlign w:val="bottom"/>
          </w:tcPr>
          <w:p w14:paraId="4090F8CE" w14:textId="77777777" w:rsidR="00833634" w:rsidRDefault="00833634">
            <w:pPr>
              <w:jc w:val="right"/>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tcPr>
          <w:p w14:paraId="4090F8CF"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8D0" w14:textId="77777777" w:rsidR="00833634" w:rsidRDefault="00E15D51">
            <w:pPr>
              <w:jc w:val="right"/>
              <w:textAlignment w:val="bottom"/>
            </w:pPr>
            <w:r>
              <w:rPr>
                <w:rFonts w:ascii="Arial" w:eastAsia="宋体" w:hAnsi="Arial" w:cs="Arial"/>
                <w:color w:val="000000"/>
                <w:sz w:val="20"/>
                <w:szCs w:val="20"/>
              </w:rPr>
              <w:t>777X</w:t>
            </w:r>
          </w:p>
        </w:tc>
        <w:tc>
          <w:tcPr>
            <w:tcW w:w="0" w:type="auto"/>
            <w:gridSpan w:val="3"/>
            <w:tcBorders>
              <w:top w:val="single" w:sz="8" w:space="0" w:color="000000"/>
            </w:tcBorders>
            <w:shd w:val="clear" w:color="auto" w:fill="auto"/>
            <w:tcMar>
              <w:top w:w="0" w:type="dxa"/>
              <w:left w:w="20" w:type="dxa"/>
              <w:bottom w:w="0" w:type="dxa"/>
              <w:right w:w="20" w:type="dxa"/>
            </w:tcMar>
          </w:tcPr>
          <w:p w14:paraId="4090F8D1" w14:textId="77777777" w:rsidR="00833634" w:rsidRDefault="00833634">
            <w:pPr>
              <w:rPr>
                <w:rFonts w:ascii="宋体"/>
              </w:rPr>
            </w:pPr>
          </w:p>
        </w:tc>
        <w:tc>
          <w:tcPr>
            <w:tcW w:w="0" w:type="auto"/>
            <w:gridSpan w:val="2"/>
            <w:tcBorders>
              <w:top w:val="single" w:sz="8" w:space="0" w:color="000000"/>
            </w:tcBorders>
            <w:shd w:val="clear" w:color="auto" w:fill="auto"/>
            <w:tcMar>
              <w:top w:w="40" w:type="dxa"/>
              <w:left w:w="20" w:type="dxa"/>
              <w:bottom w:w="40" w:type="dxa"/>
              <w:right w:w="0" w:type="dxa"/>
            </w:tcMar>
            <w:vAlign w:val="bottom"/>
          </w:tcPr>
          <w:p w14:paraId="4090F8D2" w14:textId="77777777" w:rsidR="00833634" w:rsidRDefault="00E15D51">
            <w:pPr>
              <w:jc w:val="right"/>
              <w:textAlignment w:val="bottom"/>
            </w:pPr>
            <w:r>
              <w:rPr>
                <w:rFonts w:ascii="Arial" w:eastAsia="宋体" w:hAnsi="Arial" w:cs="Arial"/>
                <w:color w:val="000000"/>
                <w:sz w:val="20"/>
                <w:szCs w:val="20"/>
              </w:rPr>
              <w:t>787 </w:t>
            </w:r>
          </w:p>
        </w:tc>
        <w:tc>
          <w:tcPr>
            <w:tcW w:w="0" w:type="auto"/>
            <w:tcBorders>
              <w:top w:val="single" w:sz="8" w:space="0" w:color="000000"/>
            </w:tcBorders>
            <w:shd w:val="clear" w:color="auto" w:fill="auto"/>
            <w:tcMar>
              <w:top w:w="40" w:type="dxa"/>
              <w:left w:w="0" w:type="dxa"/>
              <w:bottom w:w="40" w:type="dxa"/>
              <w:right w:w="20" w:type="dxa"/>
            </w:tcMar>
            <w:vAlign w:val="bottom"/>
          </w:tcPr>
          <w:p w14:paraId="4090F8D3" w14:textId="77777777" w:rsidR="00833634" w:rsidRDefault="00833634">
            <w:pPr>
              <w:jc w:val="right"/>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8D4" w14:textId="77777777" w:rsidR="00833634" w:rsidRDefault="00E15D51">
            <w:pPr>
              <w:jc w:val="center"/>
              <w:textAlignment w:val="bottom"/>
            </w:pPr>
            <w:r>
              <w:rPr>
                <w:rFonts w:ascii="Arial" w:eastAsia="宋体" w:hAnsi="Arial" w:cs="Arial"/>
                <w:color w:val="000000"/>
                <w:sz w:val="20"/>
                <w:szCs w:val="20"/>
              </w:rPr>
              <w:t>†</w:t>
            </w:r>
          </w:p>
        </w:tc>
      </w:tr>
      <w:tr w:rsidR="00833634" w14:paraId="4090F8E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8D6" w14:textId="77777777" w:rsidR="00833634" w:rsidRDefault="00E15D51">
            <w:pPr>
              <w:textAlignment w:val="bottom"/>
            </w:pPr>
            <w:r>
              <w:rPr>
                <w:rFonts w:ascii="Arial" w:eastAsia="宋体" w:hAnsi="Arial" w:cs="Arial"/>
                <w:color w:val="000000"/>
                <w:sz w:val="20"/>
                <w:szCs w:val="20"/>
              </w:rPr>
              <w:t>Program accounting quantities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D7" w14:textId="77777777" w:rsidR="00833634" w:rsidRDefault="00E15D51">
            <w:pPr>
              <w:jc w:val="right"/>
              <w:textAlignment w:val="bottom"/>
            </w:pPr>
            <w:r>
              <w:rPr>
                <w:rFonts w:ascii="Arial" w:eastAsia="宋体" w:hAnsi="Arial" w:cs="Arial"/>
                <w:color w:val="000000"/>
                <w:sz w:val="20"/>
                <w:szCs w:val="20"/>
              </w:rPr>
              <w:t>10,400 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D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D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DA" w14:textId="77777777" w:rsidR="00833634" w:rsidRDefault="00E15D51">
            <w:pPr>
              <w:jc w:val="right"/>
              <w:textAlignment w:val="bottom"/>
            </w:pPr>
            <w:r>
              <w:rPr>
                <w:rFonts w:ascii="Arial" w:eastAsia="宋体" w:hAnsi="Arial" w:cs="Arial"/>
                <w:color w:val="000000"/>
                <w:sz w:val="20"/>
                <w:szCs w:val="20"/>
              </w:rPr>
              <w:t>1,574 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D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D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DD" w14:textId="77777777" w:rsidR="00833634" w:rsidRDefault="00E15D51">
            <w:pPr>
              <w:jc w:val="right"/>
              <w:textAlignment w:val="bottom"/>
            </w:pPr>
            <w:r>
              <w:rPr>
                <w:rFonts w:ascii="Arial" w:eastAsia="宋体" w:hAnsi="Arial" w:cs="Arial"/>
                <w:color w:val="000000"/>
                <w:sz w:val="20"/>
                <w:szCs w:val="20"/>
              </w:rPr>
              <w:t>1,195 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D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D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E0" w14:textId="77777777" w:rsidR="00833634" w:rsidRDefault="00E15D51">
            <w:pPr>
              <w:jc w:val="right"/>
              <w:textAlignment w:val="bottom"/>
            </w:pPr>
            <w:r>
              <w:rPr>
                <w:rFonts w:ascii="Arial" w:eastAsia="宋体" w:hAnsi="Arial" w:cs="Arial"/>
                <w:color w:val="000000"/>
                <w:sz w:val="20"/>
                <w:szCs w:val="20"/>
              </w:rPr>
              <w:t>1,690 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E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E2" w14:textId="77777777" w:rsidR="00833634" w:rsidRDefault="0083363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8E3" w14:textId="77777777" w:rsidR="00833634" w:rsidRDefault="00E15D51">
            <w:pPr>
              <w:jc w:val="right"/>
              <w:textAlignment w:val="bottom"/>
            </w:pPr>
            <w:r>
              <w:rPr>
                <w:rFonts w:ascii="Arial" w:eastAsia="宋体" w:hAnsi="Arial" w:cs="Arial"/>
                <w:color w:val="000000"/>
                <w:sz w:val="20"/>
                <w:szCs w:val="20"/>
              </w:rPr>
              <w:t>**</w:t>
            </w:r>
          </w:p>
        </w:tc>
        <w:tc>
          <w:tcPr>
            <w:tcW w:w="0" w:type="auto"/>
            <w:gridSpan w:val="3"/>
            <w:tcBorders>
              <w:top w:val="single" w:sz="8" w:space="0" w:color="000000"/>
            </w:tcBorders>
            <w:shd w:val="clear" w:color="auto" w:fill="CCEEFF"/>
            <w:tcMar>
              <w:top w:w="0" w:type="dxa"/>
              <w:left w:w="20" w:type="dxa"/>
              <w:bottom w:w="0" w:type="dxa"/>
              <w:right w:w="20" w:type="dxa"/>
            </w:tcMar>
          </w:tcPr>
          <w:p w14:paraId="4090F8E4"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8E5" w14:textId="77777777" w:rsidR="00833634" w:rsidRDefault="00E15D51">
            <w:pPr>
              <w:jc w:val="right"/>
              <w:textAlignment w:val="bottom"/>
            </w:pPr>
            <w:r>
              <w:rPr>
                <w:rFonts w:ascii="Arial" w:eastAsia="宋体" w:hAnsi="Arial" w:cs="Arial"/>
                <w:color w:val="000000"/>
                <w:sz w:val="20"/>
                <w:szCs w:val="20"/>
              </w:rPr>
              <w:t>1,600 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8E6"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8E7" w14:textId="77777777" w:rsidR="00833634" w:rsidRDefault="00833634">
            <w:pPr>
              <w:rPr>
                <w:rFonts w:ascii="宋体"/>
              </w:rPr>
            </w:pPr>
          </w:p>
        </w:tc>
      </w:tr>
      <w:tr w:rsidR="00833634" w14:paraId="4090F8FC" w14:textId="77777777">
        <w:tc>
          <w:tcPr>
            <w:tcW w:w="0" w:type="auto"/>
            <w:gridSpan w:val="3"/>
            <w:shd w:val="clear" w:color="auto" w:fill="FFFFFF"/>
            <w:tcMar>
              <w:top w:w="40" w:type="dxa"/>
              <w:left w:w="20" w:type="dxa"/>
              <w:bottom w:w="40" w:type="dxa"/>
              <w:right w:w="20" w:type="dxa"/>
            </w:tcMar>
            <w:vAlign w:val="bottom"/>
          </w:tcPr>
          <w:p w14:paraId="4090F8E9" w14:textId="77777777" w:rsidR="00833634" w:rsidRDefault="00E15D51">
            <w:pPr>
              <w:textAlignment w:val="bottom"/>
            </w:pPr>
            <w:r>
              <w:rPr>
                <w:rFonts w:ascii="Arial" w:eastAsia="宋体" w:hAnsi="Arial" w:cs="Arial"/>
                <w:color w:val="000000"/>
                <w:sz w:val="20"/>
                <w:szCs w:val="20"/>
              </w:rPr>
              <w:t>Undelivered units under firm orders</w:t>
            </w:r>
          </w:p>
        </w:tc>
        <w:tc>
          <w:tcPr>
            <w:tcW w:w="0" w:type="auto"/>
            <w:gridSpan w:val="2"/>
            <w:shd w:val="clear" w:color="auto" w:fill="FFFFFF"/>
            <w:tcMar>
              <w:top w:w="40" w:type="dxa"/>
              <w:left w:w="20" w:type="dxa"/>
              <w:bottom w:w="40" w:type="dxa"/>
              <w:right w:w="0" w:type="dxa"/>
            </w:tcMar>
            <w:vAlign w:val="bottom"/>
          </w:tcPr>
          <w:p w14:paraId="4090F8EA" w14:textId="77777777" w:rsidR="00833634" w:rsidRDefault="00E15D51">
            <w:pPr>
              <w:jc w:val="right"/>
              <w:textAlignment w:val="bottom"/>
            </w:pPr>
            <w:r>
              <w:rPr>
                <w:rFonts w:ascii="Arial" w:eastAsia="宋体" w:hAnsi="Arial" w:cs="Arial"/>
                <w:color w:val="000000"/>
                <w:sz w:val="20"/>
                <w:szCs w:val="20"/>
              </w:rPr>
              <w:t>4,398 </w:t>
            </w:r>
          </w:p>
        </w:tc>
        <w:tc>
          <w:tcPr>
            <w:tcW w:w="0" w:type="auto"/>
            <w:shd w:val="clear" w:color="auto" w:fill="FFFFFF"/>
            <w:tcMar>
              <w:top w:w="40" w:type="dxa"/>
              <w:left w:w="0" w:type="dxa"/>
              <w:bottom w:w="40" w:type="dxa"/>
              <w:right w:w="20" w:type="dxa"/>
            </w:tcMar>
            <w:vAlign w:val="bottom"/>
          </w:tcPr>
          <w:p w14:paraId="4090F8EB"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8E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8ED" w14:textId="77777777" w:rsidR="00833634" w:rsidRDefault="00E15D51">
            <w:pPr>
              <w:jc w:val="right"/>
              <w:textAlignment w:val="bottom"/>
            </w:pPr>
            <w:r>
              <w:rPr>
                <w:rFonts w:ascii="Arial" w:eastAsia="宋体" w:hAnsi="Arial" w:cs="Arial"/>
                <w:color w:val="000000"/>
                <w:sz w:val="20"/>
                <w:szCs w:val="20"/>
              </w:rPr>
              <w:t>17 </w:t>
            </w:r>
          </w:p>
        </w:tc>
        <w:tc>
          <w:tcPr>
            <w:tcW w:w="0" w:type="auto"/>
            <w:shd w:val="clear" w:color="auto" w:fill="FFFFFF"/>
            <w:tcMar>
              <w:top w:w="40" w:type="dxa"/>
              <w:left w:w="0" w:type="dxa"/>
              <w:bottom w:w="40" w:type="dxa"/>
              <w:right w:w="20" w:type="dxa"/>
            </w:tcMar>
            <w:vAlign w:val="bottom"/>
          </w:tcPr>
          <w:p w14:paraId="4090F8E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8E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8F0" w14:textId="77777777" w:rsidR="00833634" w:rsidRDefault="00E15D51">
            <w:pPr>
              <w:jc w:val="right"/>
              <w:textAlignment w:val="bottom"/>
            </w:pPr>
            <w:r>
              <w:rPr>
                <w:rFonts w:ascii="Arial" w:eastAsia="宋体" w:hAnsi="Arial" w:cs="Arial"/>
                <w:color w:val="000000"/>
                <w:sz w:val="20"/>
                <w:szCs w:val="20"/>
              </w:rPr>
              <w:t>94 </w:t>
            </w:r>
          </w:p>
        </w:tc>
        <w:tc>
          <w:tcPr>
            <w:tcW w:w="0" w:type="auto"/>
            <w:shd w:val="clear" w:color="auto" w:fill="FFFFFF"/>
            <w:tcMar>
              <w:top w:w="40" w:type="dxa"/>
              <w:left w:w="0" w:type="dxa"/>
              <w:bottom w:w="40" w:type="dxa"/>
              <w:right w:w="20" w:type="dxa"/>
            </w:tcMar>
            <w:vAlign w:val="bottom"/>
          </w:tcPr>
          <w:p w14:paraId="4090F8F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8F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8F3" w14:textId="77777777" w:rsidR="00833634" w:rsidRDefault="00E15D51">
            <w:pPr>
              <w:jc w:val="right"/>
              <w:textAlignment w:val="bottom"/>
            </w:pPr>
            <w:r>
              <w:rPr>
                <w:rFonts w:ascii="Arial" w:eastAsia="宋体" w:hAnsi="Arial" w:cs="Arial"/>
                <w:color w:val="000000"/>
                <w:sz w:val="20"/>
                <w:szCs w:val="20"/>
              </w:rPr>
              <w:t>68 </w:t>
            </w:r>
          </w:p>
        </w:tc>
        <w:tc>
          <w:tcPr>
            <w:tcW w:w="0" w:type="auto"/>
            <w:shd w:val="clear" w:color="auto" w:fill="FFFFFF"/>
            <w:tcMar>
              <w:top w:w="40" w:type="dxa"/>
              <w:left w:w="0" w:type="dxa"/>
              <w:bottom w:w="40" w:type="dxa"/>
              <w:right w:w="20" w:type="dxa"/>
            </w:tcMar>
            <w:vAlign w:val="bottom"/>
          </w:tcPr>
          <w:p w14:paraId="4090F8F4"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8F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8F6" w14:textId="77777777" w:rsidR="00833634" w:rsidRDefault="00E15D51">
            <w:pPr>
              <w:jc w:val="right"/>
              <w:textAlignment w:val="bottom"/>
            </w:pPr>
            <w:r>
              <w:rPr>
                <w:rFonts w:ascii="Arial" w:eastAsia="宋体" w:hAnsi="Arial" w:cs="Arial"/>
                <w:color w:val="000000"/>
                <w:sz w:val="20"/>
                <w:szCs w:val="20"/>
              </w:rPr>
              <w:t>309 </w:t>
            </w:r>
          </w:p>
        </w:tc>
        <w:tc>
          <w:tcPr>
            <w:tcW w:w="0" w:type="auto"/>
            <w:shd w:val="clear" w:color="auto" w:fill="FFFFFF"/>
            <w:tcMar>
              <w:top w:w="40" w:type="dxa"/>
              <w:left w:w="0" w:type="dxa"/>
              <w:bottom w:w="40" w:type="dxa"/>
              <w:right w:w="20" w:type="dxa"/>
            </w:tcMar>
            <w:vAlign w:val="bottom"/>
          </w:tcPr>
          <w:p w14:paraId="4090F8F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8F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8F9" w14:textId="77777777" w:rsidR="00833634" w:rsidRDefault="00E15D51">
            <w:pPr>
              <w:jc w:val="right"/>
              <w:textAlignment w:val="bottom"/>
            </w:pPr>
            <w:r>
              <w:rPr>
                <w:rFonts w:ascii="Arial" w:eastAsia="宋体" w:hAnsi="Arial" w:cs="Arial"/>
                <w:color w:val="000000"/>
                <w:sz w:val="20"/>
                <w:szCs w:val="20"/>
              </w:rPr>
              <w:t>520 </w:t>
            </w:r>
          </w:p>
        </w:tc>
        <w:tc>
          <w:tcPr>
            <w:tcW w:w="0" w:type="auto"/>
            <w:shd w:val="clear" w:color="auto" w:fill="FFFFFF"/>
            <w:tcMar>
              <w:top w:w="40" w:type="dxa"/>
              <w:left w:w="0" w:type="dxa"/>
              <w:bottom w:w="40" w:type="dxa"/>
              <w:right w:w="20" w:type="dxa"/>
            </w:tcMar>
            <w:vAlign w:val="bottom"/>
          </w:tcPr>
          <w:p w14:paraId="4090F8FA" w14:textId="77777777" w:rsidR="00833634" w:rsidRDefault="00833634">
            <w:pPr>
              <w:jc w:val="right"/>
              <w:rPr>
                <w:rFonts w:ascii="宋体"/>
              </w:rPr>
            </w:pPr>
          </w:p>
        </w:tc>
        <w:tc>
          <w:tcPr>
            <w:tcW w:w="0" w:type="auto"/>
            <w:gridSpan w:val="3"/>
            <w:shd w:val="clear" w:color="auto" w:fill="auto"/>
            <w:tcMar>
              <w:top w:w="40" w:type="dxa"/>
              <w:left w:w="20" w:type="dxa"/>
              <w:bottom w:w="40" w:type="dxa"/>
              <w:right w:w="20" w:type="dxa"/>
            </w:tcMar>
            <w:vAlign w:val="bottom"/>
          </w:tcPr>
          <w:p w14:paraId="4090F8FB" w14:textId="77777777" w:rsidR="00833634" w:rsidRDefault="00E15D51">
            <w:pPr>
              <w:jc w:val="center"/>
              <w:textAlignment w:val="bottom"/>
            </w:pPr>
            <w:r>
              <w:rPr>
                <w:rFonts w:ascii="Arial" w:eastAsia="宋体" w:hAnsi="Arial" w:cs="Arial"/>
                <w:color w:val="000000"/>
                <w:sz w:val="13"/>
                <w:szCs w:val="13"/>
              </w:rPr>
              <w:t>(29)</w:t>
            </w:r>
          </w:p>
        </w:tc>
      </w:tr>
      <w:tr w:rsidR="00833634" w14:paraId="4090F910" w14:textId="77777777">
        <w:tc>
          <w:tcPr>
            <w:tcW w:w="0" w:type="auto"/>
            <w:gridSpan w:val="3"/>
            <w:tcBorders>
              <w:bottom w:val="single" w:sz="8" w:space="0" w:color="000000"/>
            </w:tcBorders>
            <w:shd w:val="clear" w:color="auto" w:fill="CCEEFF"/>
            <w:tcMar>
              <w:top w:w="40" w:type="dxa"/>
              <w:left w:w="20" w:type="dxa"/>
              <w:bottom w:w="40" w:type="dxa"/>
              <w:right w:w="20" w:type="dxa"/>
            </w:tcMar>
            <w:vAlign w:val="bottom"/>
          </w:tcPr>
          <w:p w14:paraId="4090F8FD" w14:textId="77777777" w:rsidR="00833634" w:rsidRDefault="00E15D51">
            <w:pPr>
              <w:textAlignment w:val="bottom"/>
            </w:pPr>
            <w:r>
              <w:rPr>
                <w:rFonts w:ascii="Arial" w:eastAsia="宋体" w:hAnsi="Arial" w:cs="Arial"/>
                <w:color w:val="000000"/>
                <w:sz w:val="20"/>
                <w:szCs w:val="20"/>
              </w:rPr>
              <w:t>Cumulative firm orders</w:t>
            </w: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8FE" w14:textId="77777777" w:rsidR="00833634" w:rsidRDefault="00E15D51">
            <w:pPr>
              <w:jc w:val="right"/>
              <w:textAlignment w:val="bottom"/>
            </w:pPr>
            <w:r>
              <w:rPr>
                <w:rFonts w:ascii="Arial" w:eastAsia="宋体" w:hAnsi="Arial" w:cs="Arial"/>
                <w:color w:val="000000"/>
                <w:sz w:val="20"/>
                <w:szCs w:val="20"/>
              </w:rPr>
              <w:t>11,837 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8FF"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F900"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901" w14:textId="77777777" w:rsidR="00833634" w:rsidRDefault="00E15D51">
            <w:pPr>
              <w:jc w:val="right"/>
              <w:textAlignment w:val="bottom"/>
            </w:pPr>
            <w:r>
              <w:rPr>
                <w:rFonts w:ascii="Arial" w:eastAsia="宋体" w:hAnsi="Arial" w:cs="Arial"/>
                <w:color w:val="000000"/>
                <w:sz w:val="20"/>
                <w:szCs w:val="20"/>
              </w:rPr>
              <w:t>1,572 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902"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F903"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904" w14:textId="77777777" w:rsidR="00833634" w:rsidRDefault="00E15D51">
            <w:pPr>
              <w:jc w:val="right"/>
              <w:textAlignment w:val="bottom"/>
            </w:pPr>
            <w:r>
              <w:rPr>
                <w:rFonts w:ascii="Arial" w:eastAsia="宋体" w:hAnsi="Arial" w:cs="Arial"/>
                <w:color w:val="000000"/>
                <w:sz w:val="20"/>
                <w:szCs w:val="20"/>
              </w:rPr>
              <w:t>1,270 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905"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F906"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907" w14:textId="77777777" w:rsidR="00833634" w:rsidRDefault="00E15D51">
            <w:pPr>
              <w:jc w:val="right"/>
              <w:textAlignment w:val="bottom"/>
            </w:pPr>
            <w:r>
              <w:rPr>
                <w:rFonts w:ascii="Arial" w:eastAsia="宋体" w:hAnsi="Arial" w:cs="Arial"/>
                <w:color w:val="000000"/>
                <w:sz w:val="20"/>
                <w:szCs w:val="20"/>
              </w:rPr>
              <w:t>1,695 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908"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F909"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90A" w14:textId="77777777" w:rsidR="00833634" w:rsidRDefault="00E15D51">
            <w:pPr>
              <w:jc w:val="right"/>
              <w:textAlignment w:val="bottom"/>
            </w:pPr>
            <w:r>
              <w:rPr>
                <w:rFonts w:ascii="Arial" w:eastAsia="宋体" w:hAnsi="Arial" w:cs="Arial"/>
                <w:color w:val="000000"/>
                <w:sz w:val="20"/>
                <w:szCs w:val="20"/>
              </w:rPr>
              <w:t>309 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90B"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F90C"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90D" w14:textId="77777777" w:rsidR="00833634" w:rsidRDefault="00E15D51">
            <w:pPr>
              <w:jc w:val="right"/>
              <w:textAlignment w:val="bottom"/>
            </w:pPr>
            <w:r>
              <w:rPr>
                <w:rFonts w:ascii="Arial" w:eastAsia="宋体" w:hAnsi="Arial" w:cs="Arial"/>
                <w:color w:val="000000"/>
                <w:sz w:val="20"/>
                <w:szCs w:val="20"/>
              </w:rPr>
              <w:t>1,459 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90E"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F90F" w14:textId="77777777" w:rsidR="00833634" w:rsidRDefault="00833634">
            <w:pPr>
              <w:rPr>
                <w:rFonts w:ascii="宋体"/>
              </w:rPr>
            </w:pPr>
          </w:p>
        </w:tc>
      </w:tr>
    </w:tbl>
    <w:p w14:paraId="4090F911" w14:textId="77777777" w:rsidR="00833634" w:rsidRDefault="00E15D51">
      <w:pPr>
        <w:spacing w:after="60"/>
        <w:ind w:hanging="270"/>
        <w:jc w:val="both"/>
      </w:pPr>
      <w:r>
        <w:rPr>
          <w:rFonts w:ascii="Arial" w:eastAsia="宋体" w:hAnsi="Arial" w:cs="Arial"/>
          <w:color w:val="000000"/>
          <w:sz w:val="20"/>
          <w:szCs w:val="20"/>
        </w:rPr>
        <w:t xml:space="preserve">†    Aircraft ordered by BCC are identified in parentheses. </w:t>
      </w:r>
    </w:p>
    <w:p w14:paraId="4090F912" w14:textId="77777777" w:rsidR="00833634" w:rsidRDefault="00E15D51">
      <w:pPr>
        <w:spacing w:after="60"/>
        <w:ind w:hanging="270"/>
        <w:jc w:val="both"/>
      </w:pPr>
      <w:r>
        <w:rPr>
          <w:rFonts w:ascii="Arial" w:eastAsia="宋体" w:hAnsi="Arial" w:cs="Arial"/>
          <w:color w:val="000000"/>
          <w:sz w:val="20"/>
          <w:szCs w:val="20"/>
        </w:rPr>
        <w:t>*    At Septemb</w:t>
      </w:r>
      <w:r>
        <w:rPr>
          <w:rFonts w:ascii="Arial" w:eastAsia="宋体" w:hAnsi="Arial" w:cs="Arial"/>
          <w:color w:val="000000"/>
          <w:sz w:val="20"/>
          <w:szCs w:val="20"/>
        </w:rPr>
        <w:t xml:space="preserve">er 30, 2020, the 747 accounting quantity includes one already completed aircraft that has not been sold and is being remarketed. </w:t>
      </w:r>
    </w:p>
    <w:p w14:paraId="4090F913" w14:textId="77777777" w:rsidR="00833634" w:rsidRDefault="00E15D51">
      <w:pPr>
        <w:spacing w:after="180"/>
        <w:ind w:hanging="270"/>
        <w:jc w:val="both"/>
      </w:pPr>
      <w:r>
        <w:rPr>
          <w:rFonts w:ascii="Arial" w:eastAsia="宋体" w:hAnsi="Arial" w:cs="Arial"/>
          <w:color w:val="000000"/>
          <w:sz w:val="20"/>
          <w:szCs w:val="20"/>
        </w:rPr>
        <w:t>**    The accounting quantity for the 777X will be determined in the year of first airplane delivery.</w:t>
      </w:r>
    </w:p>
    <w:p w14:paraId="4090F914" w14:textId="77777777" w:rsidR="00833634" w:rsidRDefault="00E15D51">
      <w:pPr>
        <w:spacing w:before="180" w:after="180"/>
        <w:jc w:val="both"/>
      </w:pPr>
      <w:r>
        <w:rPr>
          <w:rFonts w:ascii="Arial" w:eastAsia="宋体" w:hAnsi="Arial" w:cs="Arial"/>
          <w:b/>
          <w:bCs/>
          <w:color w:val="000000"/>
          <w:sz w:val="20"/>
          <w:szCs w:val="20"/>
        </w:rPr>
        <w:t>Program Highlights</w:t>
      </w:r>
    </w:p>
    <w:p w14:paraId="4090F915" w14:textId="77777777" w:rsidR="00833634" w:rsidRDefault="00E15D51">
      <w:pPr>
        <w:spacing w:after="180"/>
        <w:jc w:val="both"/>
      </w:pPr>
      <w:r>
        <w:rPr>
          <w:rFonts w:ascii="Arial" w:eastAsia="宋体" w:hAnsi="Arial" w:cs="Arial"/>
          <w:b/>
          <w:bCs/>
          <w:color w:val="000000"/>
          <w:sz w:val="20"/>
          <w:szCs w:val="20"/>
        </w:rPr>
        <w:t>737 P</w:t>
      </w:r>
      <w:r>
        <w:rPr>
          <w:rFonts w:ascii="Arial" w:eastAsia="宋体" w:hAnsi="Arial" w:cs="Arial"/>
          <w:b/>
          <w:bCs/>
          <w:color w:val="000000"/>
          <w:sz w:val="20"/>
          <w:szCs w:val="20"/>
        </w:rPr>
        <w:t xml:space="preserve">rogram </w:t>
      </w:r>
      <w:r>
        <w:rPr>
          <w:rFonts w:ascii="Arial" w:eastAsia="宋体" w:hAnsi="Arial" w:cs="Arial"/>
          <w:color w:val="000000"/>
          <w:sz w:val="20"/>
          <w:szCs w:val="20"/>
        </w:rPr>
        <w:t>We reduced the program accounting quantity from 10,400 at December 31, 2019 to 10,000 at March 31, 2020. This reflects a slower than previously planned production rate ramp-up caused by commercial airline industry uncertainty due to the impact of CO</w:t>
      </w:r>
      <w:r>
        <w:rPr>
          <w:rFonts w:ascii="Arial" w:eastAsia="宋体" w:hAnsi="Arial" w:cs="Arial"/>
          <w:color w:val="000000"/>
          <w:sz w:val="20"/>
          <w:szCs w:val="20"/>
        </w:rPr>
        <w:t>VID-19. See further discussion of the 737 MAX Grounding and COVID-19 Impacts and Product Warranties in Note 10 to our Condensed Consolidated Financial Statements</w:t>
      </w:r>
      <w:r>
        <w:rPr>
          <w:rFonts w:ascii="Arial" w:eastAsia="宋体" w:hAnsi="Arial" w:cs="Arial"/>
          <w:i/>
          <w:iCs/>
          <w:color w:val="000000"/>
          <w:sz w:val="20"/>
          <w:szCs w:val="20"/>
        </w:rPr>
        <w:t>.</w:t>
      </w:r>
    </w:p>
    <w:p w14:paraId="4090F916" w14:textId="77777777" w:rsidR="00833634" w:rsidRDefault="00E15D51">
      <w:pPr>
        <w:spacing w:before="180" w:after="180"/>
        <w:jc w:val="both"/>
      </w:pPr>
      <w:r>
        <w:rPr>
          <w:rFonts w:ascii="Arial" w:eastAsia="宋体" w:hAnsi="Arial" w:cs="Arial"/>
          <w:b/>
          <w:bCs/>
          <w:color w:val="000000"/>
          <w:sz w:val="20"/>
          <w:szCs w:val="20"/>
        </w:rPr>
        <w:t xml:space="preserve">747 Program </w:t>
      </w:r>
      <w:r>
        <w:rPr>
          <w:rFonts w:ascii="Arial" w:eastAsia="宋体" w:hAnsi="Arial" w:cs="Arial"/>
          <w:color w:val="000000"/>
          <w:sz w:val="20"/>
          <w:szCs w:val="20"/>
        </w:rPr>
        <w:t xml:space="preserve">We are currently producing at a rate of 0.5 aircraft per month. We will complete </w:t>
      </w:r>
      <w:r>
        <w:rPr>
          <w:rFonts w:ascii="Arial" w:eastAsia="宋体" w:hAnsi="Arial" w:cs="Arial"/>
          <w:color w:val="000000"/>
          <w:sz w:val="20"/>
          <w:szCs w:val="20"/>
        </w:rPr>
        <w:t>production of the 747 in 2022. We believe that ending production of the 747 will not have a material impact on our financial position, results of operations or cash flows.</w:t>
      </w:r>
    </w:p>
    <w:p w14:paraId="4090F917" w14:textId="77777777" w:rsidR="00833634" w:rsidRDefault="00E15D51">
      <w:pPr>
        <w:spacing w:before="180" w:after="180"/>
        <w:jc w:val="both"/>
      </w:pPr>
      <w:r>
        <w:rPr>
          <w:rFonts w:ascii="Arial" w:eastAsia="宋体" w:hAnsi="Arial" w:cs="Arial"/>
          <w:b/>
          <w:bCs/>
          <w:color w:val="000000"/>
          <w:sz w:val="20"/>
          <w:szCs w:val="20"/>
        </w:rPr>
        <w:t xml:space="preserve">767 Program </w:t>
      </w:r>
      <w:r>
        <w:rPr>
          <w:rFonts w:ascii="Arial" w:eastAsia="宋体" w:hAnsi="Arial" w:cs="Arial"/>
          <w:color w:val="000000"/>
          <w:sz w:val="20"/>
          <w:szCs w:val="20"/>
        </w:rPr>
        <w:t>The accounting quantity for the 767 program increased by 12 units during</w:t>
      </w:r>
      <w:r>
        <w:rPr>
          <w:rFonts w:ascii="Arial" w:eastAsia="宋体" w:hAnsi="Arial" w:cs="Arial"/>
          <w:color w:val="000000"/>
          <w:sz w:val="20"/>
          <w:szCs w:val="20"/>
        </w:rPr>
        <w:t xml:space="preserve"> the second quarter of 2020 due to the program's normal progress of obtaining additional orders and delivering airplanes. The 767 assembly line includes the commercial program and a derivative to support the KC-46A tanker program. We are currently producin</w:t>
      </w:r>
      <w:r>
        <w:rPr>
          <w:rFonts w:ascii="Arial" w:eastAsia="宋体" w:hAnsi="Arial" w:cs="Arial"/>
          <w:color w:val="000000"/>
          <w:sz w:val="20"/>
          <w:szCs w:val="20"/>
        </w:rPr>
        <w:t xml:space="preserve">g at a rate of 3 aircraft per month. </w:t>
      </w:r>
    </w:p>
    <w:p w14:paraId="4090F918" w14:textId="77777777" w:rsidR="00833634" w:rsidRDefault="00E15D51">
      <w:pPr>
        <w:spacing w:before="180" w:after="180"/>
        <w:jc w:val="both"/>
      </w:pPr>
      <w:r>
        <w:rPr>
          <w:rFonts w:ascii="Arial" w:eastAsia="宋体" w:hAnsi="Arial" w:cs="Arial"/>
          <w:b/>
          <w:bCs/>
          <w:color w:val="000000"/>
          <w:sz w:val="20"/>
          <w:szCs w:val="20"/>
        </w:rPr>
        <w:t xml:space="preserve">777 Program </w:t>
      </w:r>
      <w:r>
        <w:rPr>
          <w:rFonts w:ascii="Arial" w:eastAsia="宋体" w:hAnsi="Arial" w:cs="Arial"/>
          <w:color w:val="000000"/>
          <w:sz w:val="20"/>
          <w:szCs w:val="20"/>
        </w:rPr>
        <w:t>In 2013, we launched the 777X, which features a new composite wing, new engines and folding wing-tips. We have experienced issues in engine design and development on the 777X. The first flight of the 777X was completed on January 25, 2020, and first delive</w:t>
      </w:r>
      <w:r>
        <w:rPr>
          <w:rFonts w:ascii="Arial" w:eastAsia="宋体" w:hAnsi="Arial" w:cs="Arial"/>
          <w:color w:val="000000"/>
          <w:sz w:val="20"/>
          <w:szCs w:val="20"/>
        </w:rPr>
        <w:t>ry is now targeted for 2022. Timing of first delivery will ultimately be influenced by certification requirements defined by regulators. The 777 and 777X programs have a combined production rate of approximately 5 per month gradually reducing to 2 per mont</w:t>
      </w:r>
      <w:r>
        <w:rPr>
          <w:rFonts w:ascii="Arial" w:eastAsia="宋体" w:hAnsi="Arial" w:cs="Arial"/>
          <w:color w:val="000000"/>
          <w:sz w:val="20"/>
          <w:szCs w:val="20"/>
        </w:rPr>
        <w:t xml:space="preserve">h in 2021. We expect to deliver at an average rate of approximately 2.5 per month in 2020. </w:t>
      </w:r>
    </w:p>
    <w:p w14:paraId="4090F919" w14:textId="77777777" w:rsidR="00833634" w:rsidRDefault="00E15D51">
      <w:pPr>
        <w:spacing w:after="180"/>
        <w:jc w:val="both"/>
      </w:pPr>
      <w:r>
        <w:rPr>
          <w:rFonts w:ascii="Arial" w:eastAsia="宋体" w:hAnsi="Arial" w:cs="Arial"/>
          <w:color w:val="000000"/>
          <w:sz w:val="20"/>
          <w:szCs w:val="20"/>
        </w:rPr>
        <w:t>Market uncertainties driven primarily by the impacts of COVID-19 are resulting in lower planned production rates and creating significant pressure on the 777X progr</w:t>
      </w:r>
      <w:r>
        <w:rPr>
          <w:rFonts w:ascii="Arial" w:eastAsia="宋体" w:hAnsi="Arial" w:cs="Arial"/>
          <w:color w:val="000000"/>
          <w:sz w:val="20"/>
          <w:szCs w:val="20"/>
        </w:rPr>
        <w:t>am's revenue and cost estimates. Based on our assessment of the probable range of initial accounting quantities, the 777X does not have a reach-forward loss at September 30, 2020. The level of profitability on the 777X program will be subject to a number o</w:t>
      </w:r>
      <w:r>
        <w:rPr>
          <w:rFonts w:ascii="Arial" w:eastAsia="宋体" w:hAnsi="Arial" w:cs="Arial"/>
          <w:color w:val="000000"/>
          <w:sz w:val="20"/>
          <w:szCs w:val="20"/>
        </w:rPr>
        <w:t>f factors. These factors include continued market uncertainty, the impacts of COVID-19 on our productivity as well as impacts on our supply chain and customers, production rate adjustments for other commercial aircraft programs, and potential risks associa</w:t>
      </w:r>
      <w:r>
        <w:rPr>
          <w:rFonts w:ascii="Arial" w:eastAsia="宋体" w:hAnsi="Arial" w:cs="Arial"/>
          <w:color w:val="000000"/>
          <w:sz w:val="20"/>
          <w:szCs w:val="20"/>
        </w:rPr>
        <w:t>ted with the testing program and the timing of aircraft certification. One or more of these factors could result in a reach-forward loss on the 777X program in future periods.</w:t>
      </w:r>
    </w:p>
    <w:p w14:paraId="4090F91A" w14:textId="77777777" w:rsidR="00833634" w:rsidRDefault="00E15D51">
      <w:pPr>
        <w:spacing w:after="180"/>
        <w:jc w:val="center"/>
      </w:pPr>
      <w:r>
        <w:rPr>
          <w:rFonts w:ascii="Arial" w:eastAsia="宋体" w:hAnsi="Arial" w:cs="Arial"/>
          <w:color w:val="000000"/>
          <w:sz w:val="18"/>
          <w:szCs w:val="18"/>
        </w:rPr>
        <w:t>49</w:t>
      </w:r>
    </w:p>
    <w:p w14:paraId="4090F91B" w14:textId="77777777" w:rsidR="00833634" w:rsidRDefault="00E15D51">
      <w:r>
        <w:pict w14:anchorId="4090FE51">
          <v:rect id="_x0000_i1075" style="width:415.3pt;height:1.5pt" o:hralign="center" o:hrstd="t" o:hr="t" fillcolor="#a0a0a0" stroked="f"/>
        </w:pict>
      </w:r>
    </w:p>
    <w:p w14:paraId="4090F91C" w14:textId="77777777" w:rsidR="00833634" w:rsidRDefault="00E15D51">
      <w:pPr>
        <w:spacing w:after="180"/>
        <w:jc w:val="both"/>
      </w:pPr>
      <w:hyperlink r:id="rId152" w:anchor="i8d805bfb1e1c4815a1dcd5b6d1e0b117_10" w:history="1">
        <w:r>
          <w:rPr>
            <w:rStyle w:val="a5"/>
            <w:rFonts w:ascii="Arial" w:eastAsia="宋体" w:hAnsi="Arial" w:cs="Arial"/>
            <w:sz w:val="18"/>
            <w:szCs w:val="18"/>
          </w:rPr>
          <w:t>Table of Contents</w:t>
        </w:r>
      </w:hyperlink>
    </w:p>
    <w:p w14:paraId="4090F91D" w14:textId="77777777" w:rsidR="00833634" w:rsidRDefault="00E15D51">
      <w:pPr>
        <w:spacing w:before="180" w:after="180"/>
        <w:jc w:val="both"/>
      </w:pPr>
      <w:r>
        <w:rPr>
          <w:rFonts w:ascii="Arial" w:eastAsia="宋体" w:hAnsi="Arial" w:cs="Arial"/>
          <w:b/>
          <w:bCs/>
          <w:color w:val="000000"/>
          <w:sz w:val="20"/>
          <w:szCs w:val="20"/>
        </w:rPr>
        <w:t xml:space="preserve">787 Program </w:t>
      </w:r>
      <w:r>
        <w:rPr>
          <w:rFonts w:ascii="Arial" w:eastAsia="宋体" w:hAnsi="Arial" w:cs="Arial"/>
          <w:color w:val="000000"/>
          <w:sz w:val="20"/>
          <w:szCs w:val="20"/>
        </w:rPr>
        <w:t xml:space="preserve">During 2020, we experienced significant reductions in deliveries due to the impacts of COVID-19 on our customers as well as quality issues and </w:t>
      </w:r>
      <w:r>
        <w:rPr>
          <w:rFonts w:ascii="Arial" w:eastAsia="宋体" w:hAnsi="Arial" w:cs="Arial"/>
          <w:color w:val="000000"/>
          <w:sz w:val="20"/>
          <w:szCs w:val="20"/>
        </w:rPr>
        <w:t xml:space="preserve">associated rework. The 787 program has a large number of undelivered airplanes in inventory at September 30, 2020. Pre-COVID-19, we were producing at a rate of 14 per month and had planned to adjust the 787 production rate to 12 per month in late 2020 and </w:t>
      </w:r>
      <w:r>
        <w:rPr>
          <w:rFonts w:ascii="Arial" w:eastAsia="宋体" w:hAnsi="Arial" w:cs="Arial"/>
          <w:color w:val="000000"/>
          <w:sz w:val="20"/>
          <w:szCs w:val="20"/>
        </w:rPr>
        <w:t xml:space="preserve">to 10 per month in early 2021. Due to the impacts of COVID-19 on customer demand, we are currently producing at a rate of 10 per month and plan to reduce to 6 per month in 2021. As a result of the planned production rate changes, we reduced the accounting </w:t>
      </w:r>
      <w:r>
        <w:rPr>
          <w:rFonts w:ascii="Arial" w:eastAsia="宋体" w:hAnsi="Arial" w:cs="Arial"/>
          <w:color w:val="000000"/>
          <w:sz w:val="20"/>
          <w:szCs w:val="20"/>
        </w:rPr>
        <w:t>quantity for the 787 program by 100 units during the first quarter of 2020. The 787 program has near breakeven gross margins due to the reductions in the production rates and the reduction in the program accounting quantity. If we are required to further r</w:t>
      </w:r>
      <w:r>
        <w:rPr>
          <w:rFonts w:ascii="Arial" w:eastAsia="宋体" w:hAnsi="Arial" w:cs="Arial"/>
          <w:color w:val="000000"/>
          <w:sz w:val="20"/>
          <w:szCs w:val="20"/>
        </w:rPr>
        <w:t xml:space="preserve">educe the accounting quantity and/or production rates or experience other factors that could result in lower margins, the program could record a reach-forward loss in future periods. We made the decision during the third quarter of 2020 to consolidate 787 </w:t>
      </w:r>
      <w:r>
        <w:rPr>
          <w:rFonts w:ascii="Arial" w:eastAsia="宋体" w:hAnsi="Arial" w:cs="Arial"/>
          <w:color w:val="000000"/>
          <w:sz w:val="20"/>
          <w:szCs w:val="20"/>
        </w:rPr>
        <w:t>production in South Carolina in 2021, which did not have a significant financial impact on the program.</w:t>
      </w:r>
    </w:p>
    <w:p w14:paraId="4090F91E" w14:textId="77777777" w:rsidR="00833634" w:rsidRDefault="00E15D51">
      <w:pPr>
        <w:spacing w:before="180" w:after="180"/>
        <w:jc w:val="both"/>
      </w:pPr>
      <w:r>
        <w:rPr>
          <w:rFonts w:ascii="Arial" w:eastAsia="宋体" w:hAnsi="Arial" w:cs="Arial"/>
          <w:b/>
          <w:bCs/>
          <w:color w:val="000000"/>
          <w:sz w:val="20"/>
          <w:szCs w:val="20"/>
        </w:rPr>
        <w:t>Additional Considerations</w:t>
      </w:r>
    </w:p>
    <w:p w14:paraId="4090F91F" w14:textId="77777777" w:rsidR="00833634" w:rsidRDefault="00E15D51">
      <w:pPr>
        <w:spacing w:after="300"/>
        <w:jc w:val="both"/>
      </w:pPr>
      <w:r>
        <w:rPr>
          <w:rFonts w:ascii="Arial" w:eastAsia="宋体" w:hAnsi="Arial" w:cs="Arial"/>
          <w:color w:val="000000"/>
          <w:sz w:val="20"/>
          <w:szCs w:val="20"/>
        </w:rPr>
        <w:t>The development and ongoing production of commercial aircraft is extremely complex, involving extensive coordination and integ</w:t>
      </w:r>
      <w:r>
        <w:rPr>
          <w:rFonts w:ascii="Arial" w:eastAsia="宋体" w:hAnsi="Arial" w:cs="Arial"/>
          <w:color w:val="000000"/>
          <w:sz w:val="20"/>
          <w:szCs w:val="20"/>
        </w:rPr>
        <w:t xml:space="preserve">ration with suppliers and highly-skilled labor from employees and other partners. Meeting or exceeding our performance and reliability standards, as well as those of customers and regulators, can be costly and technologically challenging. In addition, the </w:t>
      </w:r>
      <w:r>
        <w:rPr>
          <w:rFonts w:ascii="Arial" w:eastAsia="宋体" w:hAnsi="Arial" w:cs="Arial"/>
          <w:color w:val="000000"/>
          <w:sz w:val="20"/>
          <w:szCs w:val="20"/>
        </w:rPr>
        <w:t xml:space="preserve">introduction of new aircraft and derivatives, such as the 777X, involves increased risks associated with meeting development, production and certification schedules. As a result, our ability to deliver aircraft on time, satisfy performance and reliability </w:t>
      </w:r>
      <w:r>
        <w:rPr>
          <w:rFonts w:ascii="Arial" w:eastAsia="宋体" w:hAnsi="Arial" w:cs="Arial"/>
          <w:color w:val="000000"/>
          <w:sz w:val="20"/>
          <w:szCs w:val="20"/>
        </w:rPr>
        <w:t xml:space="preserve">standards and achieve or maintain, as applicable, program profitability is subject to significant risks. Factors that could result in lower margins (or a material charge if an airplane program has or is determined to have reach-forward losses) include the </w:t>
      </w:r>
      <w:r>
        <w:rPr>
          <w:rFonts w:ascii="Arial" w:eastAsia="宋体" w:hAnsi="Arial" w:cs="Arial"/>
          <w:color w:val="000000"/>
          <w:sz w:val="20"/>
          <w:szCs w:val="20"/>
        </w:rPr>
        <w:t>following: changes to the program accounting quantity, customer and model mix, production costs and rates, changes to price escalation factors due to changes in the inflation rate or other economic indicators, performance or reliability issues involving co</w:t>
      </w:r>
      <w:r>
        <w:rPr>
          <w:rFonts w:ascii="Arial" w:eastAsia="宋体" w:hAnsi="Arial" w:cs="Arial"/>
          <w:color w:val="000000"/>
          <w:sz w:val="20"/>
          <w:szCs w:val="20"/>
        </w:rPr>
        <w:t>mpleted aircraft, capital expenditures and other costs associated with increasing or adding new production capacity, learning curve, additional change incorporation, achieving anticipated cost reductions, flight test and certification schedules, costs, sch</w:t>
      </w:r>
      <w:r>
        <w:rPr>
          <w:rFonts w:ascii="Arial" w:eastAsia="宋体" w:hAnsi="Arial" w:cs="Arial"/>
          <w:color w:val="000000"/>
          <w:sz w:val="20"/>
          <w:szCs w:val="20"/>
        </w:rPr>
        <w:t>edule and demand for new airplanes and derivatives and status of customer claims, supplier claims or assertions and other contractual negotiations. While we believe the cost and revenue estimates incorporated in the consolidated financial statements are ap</w:t>
      </w:r>
      <w:r>
        <w:rPr>
          <w:rFonts w:ascii="Arial" w:eastAsia="宋体" w:hAnsi="Arial" w:cs="Arial"/>
          <w:color w:val="000000"/>
          <w:sz w:val="20"/>
          <w:szCs w:val="20"/>
        </w:rPr>
        <w:t xml:space="preserve">propriate, the technical complexity of our airplane programs creates financial risk as additional completion costs may become necessary or scheduled delivery dates could be extended, which could trigger termination provisions, order cancellations or other </w:t>
      </w:r>
      <w:r>
        <w:rPr>
          <w:rFonts w:ascii="Arial" w:eastAsia="宋体" w:hAnsi="Arial" w:cs="Arial"/>
          <w:color w:val="000000"/>
          <w:sz w:val="20"/>
          <w:szCs w:val="20"/>
        </w:rPr>
        <w:t>financially significant exposure.</w:t>
      </w:r>
    </w:p>
    <w:p w14:paraId="4090F920" w14:textId="77777777" w:rsidR="00833634" w:rsidRDefault="00E15D51">
      <w:pPr>
        <w:spacing w:before="300" w:after="180"/>
        <w:jc w:val="both"/>
      </w:pPr>
      <w:r>
        <w:rPr>
          <w:rFonts w:ascii="Arial" w:eastAsia="宋体" w:hAnsi="Arial" w:cs="Arial"/>
          <w:b/>
          <w:bCs/>
          <w:color w:val="000000"/>
          <w:sz w:val="20"/>
          <w:szCs w:val="20"/>
        </w:rPr>
        <w:t>Defense, Space &amp; Security</w:t>
      </w:r>
    </w:p>
    <w:p w14:paraId="4090F921" w14:textId="77777777" w:rsidR="00833634" w:rsidRDefault="00E15D51">
      <w:pPr>
        <w:spacing w:after="180"/>
        <w:jc w:val="both"/>
      </w:pPr>
      <w:r>
        <w:rPr>
          <w:rFonts w:ascii="Arial" w:eastAsia="宋体" w:hAnsi="Arial" w:cs="Arial"/>
          <w:b/>
          <w:bCs/>
          <w:color w:val="000000"/>
          <w:sz w:val="20"/>
          <w:szCs w:val="20"/>
        </w:rPr>
        <w:t>Business Environment and Trends</w:t>
      </w:r>
    </w:p>
    <w:p w14:paraId="4090F922" w14:textId="77777777" w:rsidR="00833634" w:rsidRDefault="00E15D51">
      <w:pPr>
        <w:spacing w:after="180"/>
        <w:jc w:val="both"/>
      </w:pPr>
      <w:r>
        <w:rPr>
          <w:rFonts w:ascii="Arial" w:eastAsia="宋体" w:hAnsi="Arial" w:cs="Arial"/>
          <w:b/>
          <w:bCs/>
          <w:color w:val="000000"/>
          <w:sz w:val="20"/>
          <w:szCs w:val="20"/>
        </w:rPr>
        <w:t>United States Government Defense Environment Overview</w:t>
      </w:r>
    </w:p>
    <w:p w14:paraId="4090F923" w14:textId="77777777" w:rsidR="00833634" w:rsidRDefault="00E15D51">
      <w:pPr>
        <w:spacing w:after="180"/>
        <w:jc w:val="both"/>
      </w:pPr>
      <w:r>
        <w:rPr>
          <w:rFonts w:ascii="Arial" w:eastAsia="宋体" w:hAnsi="Arial" w:cs="Arial"/>
          <w:color w:val="000000"/>
          <w:sz w:val="20"/>
          <w:szCs w:val="20"/>
        </w:rPr>
        <w:t>The Bipartisan Budget Act of 2019 raised the Budget Control Act limits on federal discretionary defense and no</w:t>
      </w:r>
      <w:r>
        <w:rPr>
          <w:rFonts w:ascii="Arial" w:eastAsia="宋体" w:hAnsi="Arial" w:cs="Arial"/>
          <w:color w:val="000000"/>
          <w:sz w:val="20"/>
          <w:szCs w:val="20"/>
        </w:rPr>
        <w:t>n-defense spending for fiscal years 2020 and 2021 (FY20 and FY21), reducing budget uncertainty and the risk of sequestration. The consolidated appropriations acts for FY20, enacted in December 2019, provided FY20 appropriations for government departments a</w:t>
      </w:r>
      <w:r>
        <w:rPr>
          <w:rFonts w:ascii="Arial" w:eastAsia="宋体" w:hAnsi="Arial" w:cs="Arial"/>
          <w:color w:val="000000"/>
          <w:sz w:val="20"/>
          <w:szCs w:val="20"/>
        </w:rPr>
        <w:t xml:space="preserve">nd agencies, including the United States Department of Defense (U.S. DoD), the National Aeronautics and Space Administration (NASA) and the Federal Aviation Administration. In February 2020, the U.S. administration submitted its request for $740.5 billion </w:t>
      </w:r>
      <w:r>
        <w:rPr>
          <w:rFonts w:ascii="Arial" w:eastAsia="宋体" w:hAnsi="Arial" w:cs="Arial"/>
          <w:color w:val="000000"/>
          <w:sz w:val="20"/>
          <w:szCs w:val="20"/>
        </w:rPr>
        <w:t>in base national defense spending for FY21, congruent with the amended spending limit. The Continuing Resolution (CR), enacted on October 1, 2020, continues federal funding at FY20 appropriated levels through December 11, 2020. Congress and the President m</w:t>
      </w:r>
      <w:r>
        <w:rPr>
          <w:rFonts w:ascii="Arial" w:eastAsia="宋体" w:hAnsi="Arial" w:cs="Arial"/>
          <w:color w:val="000000"/>
          <w:sz w:val="20"/>
          <w:szCs w:val="20"/>
        </w:rPr>
        <w:t>ust enact either full-year FY21 appropriations bills or an additional CR to fund government departments and agencies beyond December 11, 2020 or a government shutdown could result, which may impact the Company’s operations.</w:t>
      </w:r>
    </w:p>
    <w:p w14:paraId="4090F924" w14:textId="77777777" w:rsidR="00833634" w:rsidRDefault="00E15D51">
      <w:pPr>
        <w:spacing w:after="180"/>
        <w:jc w:val="center"/>
      </w:pPr>
      <w:r>
        <w:rPr>
          <w:rFonts w:ascii="Arial" w:eastAsia="宋体" w:hAnsi="Arial" w:cs="Arial"/>
          <w:color w:val="000000"/>
          <w:sz w:val="18"/>
          <w:szCs w:val="18"/>
        </w:rPr>
        <w:t>50</w:t>
      </w:r>
    </w:p>
    <w:p w14:paraId="4090F925" w14:textId="77777777" w:rsidR="00833634" w:rsidRDefault="00E15D51">
      <w:r>
        <w:pict w14:anchorId="4090FE52">
          <v:rect id="_x0000_i1076" style="width:415.3pt;height:1.5pt" o:hralign="center" o:hrstd="t" o:hr="t" fillcolor="#a0a0a0" stroked="f"/>
        </w:pict>
      </w:r>
    </w:p>
    <w:p w14:paraId="4090F926" w14:textId="77777777" w:rsidR="00833634" w:rsidRDefault="00E15D51">
      <w:pPr>
        <w:spacing w:after="180"/>
        <w:jc w:val="both"/>
      </w:pPr>
      <w:hyperlink r:id="rId153" w:anchor="i8d805bfb1e1c4815a1dcd5b6d1e0b117_10" w:history="1">
        <w:r>
          <w:rPr>
            <w:rStyle w:val="a5"/>
            <w:rFonts w:ascii="Arial" w:eastAsia="宋体" w:hAnsi="Arial" w:cs="Arial"/>
            <w:sz w:val="18"/>
            <w:szCs w:val="18"/>
          </w:rPr>
          <w:t>Table of Contents</w:t>
        </w:r>
      </w:hyperlink>
    </w:p>
    <w:p w14:paraId="4090F927" w14:textId="77777777" w:rsidR="00833634" w:rsidRDefault="00E15D51">
      <w:pPr>
        <w:spacing w:after="180"/>
        <w:jc w:val="both"/>
      </w:pPr>
      <w:r>
        <w:rPr>
          <w:rFonts w:ascii="Arial" w:eastAsia="宋体" w:hAnsi="Arial" w:cs="Arial"/>
          <w:color w:val="000000"/>
          <w:sz w:val="20"/>
          <w:szCs w:val="20"/>
        </w:rPr>
        <w:t>The enacted FY20 appropriations included funding for Boeing’s major programs, such as the F/A-18 Super Hornet, F-</w:t>
      </w:r>
      <w:r>
        <w:rPr>
          <w:rFonts w:ascii="Arial" w:eastAsia="宋体" w:hAnsi="Arial" w:cs="Arial"/>
          <w:color w:val="000000"/>
          <w:sz w:val="20"/>
          <w:szCs w:val="20"/>
        </w:rPr>
        <w:t>15EX, CH-47 Chinook, AH-64 Apache, V-22 Osprey, KC-46A Tanker, P-8 Poseidon and Space Launch System. However, there continues to be uncertainty with respect to future program-level appropriations for the U.S. DoD and other government agencies, including NA</w:t>
      </w:r>
      <w:r>
        <w:rPr>
          <w:rFonts w:ascii="Arial" w:eastAsia="宋体" w:hAnsi="Arial" w:cs="Arial"/>
          <w:color w:val="000000"/>
          <w:sz w:val="20"/>
          <w:szCs w:val="20"/>
        </w:rPr>
        <w:t>SA. Future budget cuts or investment priority changes, including changes associated with the authorizations and appropriations process, could result in reductions, cancellations and/or delays of existing contracts or programs. Any of these impacts could ha</w:t>
      </w:r>
      <w:r>
        <w:rPr>
          <w:rFonts w:ascii="Arial" w:eastAsia="宋体" w:hAnsi="Arial" w:cs="Arial"/>
          <w:color w:val="000000"/>
          <w:sz w:val="20"/>
          <w:szCs w:val="20"/>
        </w:rPr>
        <w:t xml:space="preserve">ve a material effect on our results of operations, financial position and/or cash flows. </w:t>
      </w:r>
    </w:p>
    <w:p w14:paraId="4090F928" w14:textId="77777777" w:rsidR="00833634" w:rsidRDefault="00E15D51">
      <w:pPr>
        <w:spacing w:before="180" w:after="180"/>
      </w:pPr>
      <w:r>
        <w:rPr>
          <w:rFonts w:ascii="Arial" w:eastAsia="宋体" w:hAnsi="Arial" w:cs="Arial"/>
          <w:b/>
          <w:bCs/>
          <w:color w:val="000000"/>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14"/>
        <w:gridCol w:w="37"/>
        <w:gridCol w:w="67"/>
        <w:gridCol w:w="781"/>
        <w:gridCol w:w="199"/>
        <w:gridCol w:w="36"/>
        <w:gridCol w:w="36"/>
        <w:gridCol w:w="36"/>
        <w:gridCol w:w="68"/>
        <w:gridCol w:w="732"/>
        <w:gridCol w:w="198"/>
        <w:gridCol w:w="36"/>
        <w:gridCol w:w="36"/>
        <w:gridCol w:w="36"/>
        <w:gridCol w:w="65"/>
        <w:gridCol w:w="624"/>
        <w:gridCol w:w="199"/>
        <w:gridCol w:w="37"/>
        <w:gridCol w:w="37"/>
        <w:gridCol w:w="37"/>
        <w:gridCol w:w="64"/>
        <w:gridCol w:w="625"/>
        <w:gridCol w:w="198"/>
      </w:tblGrid>
      <w:tr w:rsidR="00833634" w14:paraId="4090F941" w14:textId="77777777">
        <w:tc>
          <w:tcPr>
            <w:tcW w:w="50" w:type="pct"/>
            <w:shd w:val="clear" w:color="auto" w:fill="auto"/>
          </w:tcPr>
          <w:p w14:paraId="4090F929" w14:textId="77777777" w:rsidR="00833634" w:rsidRDefault="00833634">
            <w:pPr>
              <w:rPr>
                <w:rFonts w:ascii="宋体"/>
              </w:rPr>
            </w:pPr>
          </w:p>
        </w:tc>
        <w:tc>
          <w:tcPr>
            <w:tcW w:w="2533" w:type="pct"/>
            <w:shd w:val="clear" w:color="auto" w:fill="auto"/>
          </w:tcPr>
          <w:p w14:paraId="4090F92A" w14:textId="77777777" w:rsidR="00833634" w:rsidRDefault="00833634">
            <w:pPr>
              <w:rPr>
                <w:rFonts w:ascii="宋体"/>
              </w:rPr>
            </w:pPr>
          </w:p>
        </w:tc>
        <w:tc>
          <w:tcPr>
            <w:tcW w:w="5" w:type="pct"/>
            <w:shd w:val="clear" w:color="auto" w:fill="auto"/>
          </w:tcPr>
          <w:p w14:paraId="4090F92B" w14:textId="77777777" w:rsidR="00833634" w:rsidRDefault="00833634">
            <w:pPr>
              <w:rPr>
                <w:rFonts w:ascii="宋体"/>
              </w:rPr>
            </w:pPr>
          </w:p>
        </w:tc>
        <w:tc>
          <w:tcPr>
            <w:tcW w:w="50" w:type="pct"/>
            <w:shd w:val="clear" w:color="auto" w:fill="auto"/>
          </w:tcPr>
          <w:p w14:paraId="4090F92C" w14:textId="77777777" w:rsidR="00833634" w:rsidRDefault="00833634">
            <w:pPr>
              <w:rPr>
                <w:rFonts w:ascii="宋体"/>
              </w:rPr>
            </w:pPr>
          </w:p>
        </w:tc>
        <w:tc>
          <w:tcPr>
            <w:tcW w:w="553" w:type="pct"/>
            <w:shd w:val="clear" w:color="auto" w:fill="auto"/>
          </w:tcPr>
          <w:p w14:paraId="4090F92D" w14:textId="77777777" w:rsidR="00833634" w:rsidRDefault="00833634">
            <w:pPr>
              <w:rPr>
                <w:rFonts w:ascii="宋体"/>
              </w:rPr>
            </w:pPr>
          </w:p>
        </w:tc>
        <w:tc>
          <w:tcPr>
            <w:tcW w:w="5" w:type="pct"/>
            <w:shd w:val="clear" w:color="auto" w:fill="auto"/>
          </w:tcPr>
          <w:p w14:paraId="4090F92E" w14:textId="77777777" w:rsidR="00833634" w:rsidRDefault="00833634">
            <w:pPr>
              <w:rPr>
                <w:rFonts w:ascii="宋体"/>
              </w:rPr>
            </w:pPr>
          </w:p>
        </w:tc>
        <w:tc>
          <w:tcPr>
            <w:tcW w:w="5" w:type="pct"/>
            <w:shd w:val="clear" w:color="auto" w:fill="auto"/>
          </w:tcPr>
          <w:p w14:paraId="4090F92F" w14:textId="77777777" w:rsidR="00833634" w:rsidRDefault="00833634">
            <w:pPr>
              <w:rPr>
                <w:rFonts w:ascii="宋体"/>
              </w:rPr>
            </w:pPr>
          </w:p>
        </w:tc>
        <w:tc>
          <w:tcPr>
            <w:tcW w:w="30" w:type="pct"/>
            <w:shd w:val="clear" w:color="auto" w:fill="auto"/>
          </w:tcPr>
          <w:p w14:paraId="4090F930" w14:textId="77777777" w:rsidR="00833634" w:rsidRDefault="00833634">
            <w:pPr>
              <w:rPr>
                <w:rFonts w:ascii="宋体"/>
              </w:rPr>
            </w:pPr>
          </w:p>
        </w:tc>
        <w:tc>
          <w:tcPr>
            <w:tcW w:w="5" w:type="pct"/>
            <w:shd w:val="clear" w:color="auto" w:fill="auto"/>
          </w:tcPr>
          <w:p w14:paraId="4090F931" w14:textId="77777777" w:rsidR="00833634" w:rsidRDefault="00833634">
            <w:pPr>
              <w:rPr>
                <w:rFonts w:ascii="宋体"/>
              </w:rPr>
            </w:pPr>
          </w:p>
        </w:tc>
        <w:tc>
          <w:tcPr>
            <w:tcW w:w="50" w:type="pct"/>
            <w:shd w:val="clear" w:color="auto" w:fill="auto"/>
          </w:tcPr>
          <w:p w14:paraId="4090F932" w14:textId="77777777" w:rsidR="00833634" w:rsidRDefault="00833634">
            <w:pPr>
              <w:rPr>
                <w:rFonts w:ascii="宋体"/>
              </w:rPr>
            </w:pPr>
          </w:p>
        </w:tc>
        <w:tc>
          <w:tcPr>
            <w:tcW w:w="545" w:type="pct"/>
            <w:shd w:val="clear" w:color="auto" w:fill="auto"/>
          </w:tcPr>
          <w:p w14:paraId="4090F933" w14:textId="77777777" w:rsidR="00833634" w:rsidRDefault="00833634">
            <w:pPr>
              <w:rPr>
                <w:rFonts w:ascii="宋体"/>
              </w:rPr>
            </w:pPr>
          </w:p>
        </w:tc>
        <w:tc>
          <w:tcPr>
            <w:tcW w:w="5" w:type="pct"/>
            <w:shd w:val="clear" w:color="auto" w:fill="auto"/>
          </w:tcPr>
          <w:p w14:paraId="4090F934" w14:textId="77777777" w:rsidR="00833634" w:rsidRDefault="00833634">
            <w:pPr>
              <w:rPr>
                <w:rFonts w:ascii="宋体"/>
              </w:rPr>
            </w:pPr>
          </w:p>
        </w:tc>
        <w:tc>
          <w:tcPr>
            <w:tcW w:w="5" w:type="pct"/>
            <w:shd w:val="clear" w:color="auto" w:fill="auto"/>
          </w:tcPr>
          <w:p w14:paraId="4090F935" w14:textId="77777777" w:rsidR="00833634" w:rsidRDefault="00833634">
            <w:pPr>
              <w:rPr>
                <w:rFonts w:ascii="宋体"/>
              </w:rPr>
            </w:pPr>
          </w:p>
        </w:tc>
        <w:tc>
          <w:tcPr>
            <w:tcW w:w="30" w:type="pct"/>
            <w:shd w:val="clear" w:color="auto" w:fill="auto"/>
          </w:tcPr>
          <w:p w14:paraId="4090F936" w14:textId="77777777" w:rsidR="00833634" w:rsidRDefault="00833634">
            <w:pPr>
              <w:rPr>
                <w:rFonts w:ascii="宋体"/>
              </w:rPr>
            </w:pPr>
          </w:p>
        </w:tc>
        <w:tc>
          <w:tcPr>
            <w:tcW w:w="5" w:type="pct"/>
            <w:shd w:val="clear" w:color="auto" w:fill="auto"/>
          </w:tcPr>
          <w:p w14:paraId="4090F937" w14:textId="77777777" w:rsidR="00833634" w:rsidRDefault="00833634">
            <w:pPr>
              <w:rPr>
                <w:rFonts w:ascii="宋体"/>
              </w:rPr>
            </w:pPr>
          </w:p>
        </w:tc>
        <w:tc>
          <w:tcPr>
            <w:tcW w:w="50" w:type="pct"/>
            <w:shd w:val="clear" w:color="auto" w:fill="auto"/>
          </w:tcPr>
          <w:p w14:paraId="4090F938" w14:textId="77777777" w:rsidR="00833634" w:rsidRDefault="00833634">
            <w:pPr>
              <w:rPr>
                <w:rFonts w:ascii="宋体"/>
              </w:rPr>
            </w:pPr>
          </w:p>
        </w:tc>
        <w:tc>
          <w:tcPr>
            <w:tcW w:w="481" w:type="pct"/>
            <w:shd w:val="clear" w:color="auto" w:fill="auto"/>
          </w:tcPr>
          <w:p w14:paraId="4090F939" w14:textId="77777777" w:rsidR="00833634" w:rsidRDefault="00833634">
            <w:pPr>
              <w:rPr>
                <w:rFonts w:ascii="宋体"/>
              </w:rPr>
            </w:pPr>
          </w:p>
        </w:tc>
        <w:tc>
          <w:tcPr>
            <w:tcW w:w="5" w:type="pct"/>
            <w:shd w:val="clear" w:color="auto" w:fill="auto"/>
          </w:tcPr>
          <w:p w14:paraId="4090F93A" w14:textId="77777777" w:rsidR="00833634" w:rsidRDefault="00833634">
            <w:pPr>
              <w:rPr>
                <w:rFonts w:ascii="宋体"/>
              </w:rPr>
            </w:pPr>
          </w:p>
        </w:tc>
        <w:tc>
          <w:tcPr>
            <w:tcW w:w="5" w:type="pct"/>
            <w:shd w:val="clear" w:color="auto" w:fill="auto"/>
          </w:tcPr>
          <w:p w14:paraId="4090F93B" w14:textId="77777777" w:rsidR="00833634" w:rsidRDefault="00833634">
            <w:pPr>
              <w:rPr>
                <w:rFonts w:ascii="宋体"/>
              </w:rPr>
            </w:pPr>
          </w:p>
        </w:tc>
        <w:tc>
          <w:tcPr>
            <w:tcW w:w="30" w:type="pct"/>
            <w:shd w:val="clear" w:color="auto" w:fill="auto"/>
          </w:tcPr>
          <w:p w14:paraId="4090F93C" w14:textId="77777777" w:rsidR="00833634" w:rsidRDefault="00833634">
            <w:pPr>
              <w:rPr>
                <w:rFonts w:ascii="宋体"/>
              </w:rPr>
            </w:pPr>
          </w:p>
        </w:tc>
        <w:tc>
          <w:tcPr>
            <w:tcW w:w="5" w:type="pct"/>
            <w:shd w:val="clear" w:color="auto" w:fill="auto"/>
          </w:tcPr>
          <w:p w14:paraId="4090F93D" w14:textId="77777777" w:rsidR="00833634" w:rsidRDefault="00833634">
            <w:pPr>
              <w:rPr>
                <w:rFonts w:ascii="宋体"/>
              </w:rPr>
            </w:pPr>
          </w:p>
        </w:tc>
        <w:tc>
          <w:tcPr>
            <w:tcW w:w="50" w:type="pct"/>
            <w:shd w:val="clear" w:color="auto" w:fill="auto"/>
          </w:tcPr>
          <w:p w14:paraId="4090F93E" w14:textId="77777777" w:rsidR="00833634" w:rsidRDefault="00833634">
            <w:pPr>
              <w:rPr>
                <w:rFonts w:ascii="宋体"/>
              </w:rPr>
            </w:pPr>
          </w:p>
        </w:tc>
        <w:tc>
          <w:tcPr>
            <w:tcW w:w="490" w:type="pct"/>
            <w:shd w:val="clear" w:color="auto" w:fill="auto"/>
          </w:tcPr>
          <w:p w14:paraId="4090F93F" w14:textId="77777777" w:rsidR="00833634" w:rsidRDefault="00833634">
            <w:pPr>
              <w:rPr>
                <w:rFonts w:ascii="宋体"/>
              </w:rPr>
            </w:pPr>
          </w:p>
        </w:tc>
        <w:tc>
          <w:tcPr>
            <w:tcW w:w="5" w:type="pct"/>
            <w:shd w:val="clear" w:color="auto" w:fill="auto"/>
          </w:tcPr>
          <w:p w14:paraId="4090F940" w14:textId="77777777" w:rsidR="00833634" w:rsidRDefault="00833634">
            <w:pPr>
              <w:rPr>
                <w:rFonts w:ascii="宋体"/>
              </w:rPr>
            </w:pPr>
          </w:p>
        </w:tc>
      </w:tr>
      <w:tr w:rsidR="00833634" w14:paraId="4090F946" w14:textId="77777777">
        <w:tc>
          <w:tcPr>
            <w:tcW w:w="0" w:type="auto"/>
            <w:gridSpan w:val="3"/>
            <w:shd w:val="clear" w:color="auto" w:fill="auto"/>
            <w:tcMar>
              <w:top w:w="40" w:type="dxa"/>
              <w:left w:w="20" w:type="dxa"/>
              <w:bottom w:w="40" w:type="dxa"/>
              <w:right w:w="20" w:type="dxa"/>
            </w:tcMar>
            <w:vAlign w:val="bottom"/>
          </w:tcPr>
          <w:p w14:paraId="4090F942"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943"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944"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945"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94F"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947"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948"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949"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94A"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94B"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94C"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94D"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94E" w14:textId="77777777" w:rsidR="00833634" w:rsidRDefault="00E15D51">
            <w:pPr>
              <w:jc w:val="right"/>
              <w:textAlignment w:val="bottom"/>
            </w:pPr>
            <w:r>
              <w:rPr>
                <w:rFonts w:ascii="Arial" w:eastAsia="宋体" w:hAnsi="Arial" w:cs="Arial"/>
                <w:color w:val="000000"/>
                <w:sz w:val="20"/>
                <w:szCs w:val="20"/>
              </w:rPr>
              <w:t>2019</w:t>
            </w:r>
          </w:p>
        </w:tc>
      </w:tr>
      <w:tr w:rsidR="00833634" w14:paraId="4090F95C"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950" w14:textId="77777777" w:rsidR="00833634" w:rsidRDefault="00E15D51">
            <w:pPr>
              <w:textAlignment w:val="bottom"/>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951" w14:textId="77777777" w:rsidR="00833634" w:rsidRDefault="00E15D51">
            <w:pPr>
              <w:jc w:val="right"/>
              <w:textAlignment w:val="bottom"/>
            </w:pPr>
            <w:r>
              <w:rPr>
                <w:rFonts w:ascii="Arial" w:eastAsia="宋体" w:hAnsi="Arial" w:cs="Arial"/>
                <w:b/>
                <w:bCs/>
                <w:color w:val="000000"/>
                <w:sz w:val="20"/>
                <w:szCs w:val="20"/>
              </w:rPr>
              <w:t>$19,478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95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95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954" w14:textId="77777777" w:rsidR="00833634" w:rsidRDefault="00E15D51">
            <w:pPr>
              <w:jc w:val="right"/>
              <w:textAlignment w:val="bottom"/>
            </w:pPr>
            <w:r>
              <w:rPr>
                <w:rFonts w:ascii="Arial" w:eastAsia="宋体" w:hAnsi="Arial" w:cs="Arial"/>
                <w:color w:val="000000"/>
                <w:sz w:val="20"/>
                <w:szCs w:val="20"/>
              </w:rPr>
              <w:t>$20,168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95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95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957" w14:textId="77777777" w:rsidR="00833634" w:rsidRDefault="00E15D51">
            <w:pPr>
              <w:jc w:val="right"/>
              <w:textAlignment w:val="bottom"/>
            </w:pPr>
            <w:r>
              <w:rPr>
                <w:rFonts w:ascii="Arial" w:eastAsia="宋体" w:hAnsi="Arial" w:cs="Arial"/>
                <w:b/>
                <w:bCs/>
                <w:color w:val="000000"/>
                <w:sz w:val="20"/>
                <w:szCs w:val="20"/>
              </w:rPr>
              <w:t>$6,848</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95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95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95A" w14:textId="77777777" w:rsidR="00833634" w:rsidRDefault="00E15D51">
            <w:pPr>
              <w:jc w:val="right"/>
              <w:textAlignment w:val="bottom"/>
            </w:pPr>
            <w:r>
              <w:rPr>
                <w:rFonts w:ascii="Arial" w:eastAsia="宋体" w:hAnsi="Arial" w:cs="Arial"/>
                <w:color w:val="000000"/>
                <w:sz w:val="20"/>
                <w:szCs w:val="20"/>
              </w:rPr>
              <w:t>$7,002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95B" w14:textId="77777777" w:rsidR="00833634" w:rsidRDefault="00833634">
            <w:pPr>
              <w:jc w:val="right"/>
              <w:rPr>
                <w:rFonts w:ascii="宋体"/>
              </w:rPr>
            </w:pPr>
          </w:p>
        </w:tc>
      </w:tr>
      <w:tr w:rsidR="00833634" w14:paraId="4090F969" w14:textId="77777777">
        <w:tc>
          <w:tcPr>
            <w:tcW w:w="0" w:type="auto"/>
            <w:gridSpan w:val="3"/>
            <w:shd w:val="clear" w:color="auto" w:fill="auto"/>
            <w:tcMar>
              <w:top w:w="40" w:type="dxa"/>
              <w:left w:w="20" w:type="dxa"/>
              <w:bottom w:w="40" w:type="dxa"/>
              <w:right w:w="20" w:type="dxa"/>
            </w:tcMar>
            <w:vAlign w:val="bottom"/>
          </w:tcPr>
          <w:p w14:paraId="4090F95D" w14:textId="77777777" w:rsidR="00833634" w:rsidRDefault="00E15D51">
            <w:pPr>
              <w:textAlignment w:val="bottom"/>
            </w:pPr>
            <w:r>
              <w:rPr>
                <w:rFonts w:ascii="Arial" w:eastAsia="宋体" w:hAnsi="Arial" w:cs="Arial"/>
                <w:color w:val="000000"/>
                <w:sz w:val="20"/>
                <w:szCs w:val="20"/>
              </w:rPr>
              <w:t>Earnings from operations</w:t>
            </w:r>
          </w:p>
        </w:tc>
        <w:tc>
          <w:tcPr>
            <w:tcW w:w="0" w:type="auto"/>
            <w:gridSpan w:val="2"/>
            <w:shd w:val="clear" w:color="auto" w:fill="auto"/>
            <w:tcMar>
              <w:top w:w="40" w:type="dxa"/>
              <w:left w:w="20" w:type="dxa"/>
              <w:bottom w:w="40" w:type="dxa"/>
              <w:right w:w="0" w:type="dxa"/>
            </w:tcMar>
            <w:vAlign w:val="bottom"/>
          </w:tcPr>
          <w:p w14:paraId="4090F95E" w14:textId="77777777" w:rsidR="00833634" w:rsidRDefault="00E15D51">
            <w:pPr>
              <w:jc w:val="right"/>
              <w:textAlignment w:val="bottom"/>
            </w:pPr>
            <w:r>
              <w:rPr>
                <w:rFonts w:ascii="Arial" w:eastAsia="宋体" w:hAnsi="Arial" w:cs="Arial"/>
                <w:b/>
                <w:bCs/>
                <w:color w:val="000000"/>
                <w:sz w:val="20"/>
                <w:szCs w:val="20"/>
              </w:rPr>
              <w:t>$1,037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95F"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960"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961" w14:textId="77777777" w:rsidR="00833634" w:rsidRDefault="00E15D51">
            <w:pPr>
              <w:jc w:val="right"/>
              <w:textAlignment w:val="bottom"/>
            </w:pPr>
            <w:r>
              <w:rPr>
                <w:rFonts w:ascii="Arial" w:eastAsia="宋体" w:hAnsi="Arial" w:cs="Arial"/>
                <w:color w:val="000000"/>
                <w:sz w:val="20"/>
                <w:szCs w:val="20"/>
              </w:rPr>
              <w:t>$2,581 </w:t>
            </w:r>
          </w:p>
        </w:tc>
        <w:tc>
          <w:tcPr>
            <w:tcW w:w="0" w:type="auto"/>
            <w:shd w:val="clear" w:color="auto" w:fill="auto"/>
            <w:tcMar>
              <w:top w:w="40" w:type="dxa"/>
              <w:left w:w="0" w:type="dxa"/>
              <w:bottom w:w="40" w:type="dxa"/>
              <w:right w:w="20" w:type="dxa"/>
            </w:tcMar>
            <w:vAlign w:val="bottom"/>
          </w:tcPr>
          <w:p w14:paraId="4090F962"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963"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964" w14:textId="77777777" w:rsidR="00833634" w:rsidRDefault="00E15D51">
            <w:pPr>
              <w:jc w:val="right"/>
              <w:textAlignment w:val="bottom"/>
            </w:pPr>
            <w:r>
              <w:rPr>
                <w:rFonts w:ascii="Arial" w:eastAsia="宋体" w:hAnsi="Arial" w:cs="Arial"/>
                <w:b/>
                <w:bCs/>
                <w:color w:val="000000"/>
                <w:sz w:val="20"/>
                <w:szCs w:val="20"/>
              </w:rPr>
              <w:t>$628</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965"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966"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967" w14:textId="77777777" w:rsidR="00833634" w:rsidRDefault="00E15D51">
            <w:pPr>
              <w:jc w:val="right"/>
              <w:textAlignment w:val="bottom"/>
            </w:pPr>
            <w:r>
              <w:rPr>
                <w:rFonts w:ascii="Arial" w:eastAsia="宋体" w:hAnsi="Arial" w:cs="Arial"/>
                <w:color w:val="000000"/>
                <w:sz w:val="20"/>
                <w:szCs w:val="20"/>
              </w:rPr>
              <w:t>$754 </w:t>
            </w:r>
          </w:p>
        </w:tc>
        <w:tc>
          <w:tcPr>
            <w:tcW w:w="0" w:type="auto"/>
            <w:shd w:val="clear" w:color="auto" w:fill="auto"/>
            <w:tcMar>
              <w:top w:w="40" w:type="dxa"/>
              <w:left w:w="0" w:type="dxa"/>
              <w:bottom w:w="40" w:type="dxa"/>
              <w:right w:w="20" w:type="dxa"/>
            </w:tcMar>
            <w:vAlign w:val="bottom"/>
          </w:tcPr>
          <w:p w14:paraId="4090F968" w14:textId="77777777" w:rsidR="00833634" w:rsidRDefault="00833634">
            <w:pPr>
              <w:jc w:val="right"/>
              <w:rPr>
                <w:rFonts w:ascii="宋体"/>
              </w:rPr>
            </w:pPr>
          </w:p>
        </w:tc>
      </w:tr>
      <w:tr w:rsidR="00833634" w14:paraId="4090F976"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F96A" w14:textId="77777777" w:rsidR="00833634" w:rsidRDefault="00E15D51">
            <w:pPr>
              <w:textAlignment w:val="bottom"/>
            </w:pPr>
            <w:r>
              <w:rPr>
                <w:rFonts w:ascii="Arial" w:eastAsia="宋体" w:hAnsi="Arial" w:cs="Arial"/>
                <w:color w:val="000000"/>
                <w:sz w:val="20"/>
                <w:szCs w:val="20"/>
              </w:rPr>
              <w:t>Operating margins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96B" w14:textId="77777777" w:rsidR="00833634" w:rsidRDefault="00E15D51">
            <w:pPr>
              <w:jc w:val="right"/>
              <w:textAlignment w:val="bottom"/>
            </w:pPr>
            <w:r>
              <w:rPr>
                <w:rFonts w:ascii="Arial" w:eastAsia="宋体" w:hAnsi="Arial" w:cs="Arial"/>
                <w:b/>
                <w:bCs/>
                <w:color w:val="000000"/>
                <w:sz w:val="20"/>
                <w:szCs w:val="20"/>
              </w:rPr>
              <w:t>5.3</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96C"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96D"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96E" w14:textId="77777777" w:rsidR="00833634" w:rsidRDefault="00E15D51">
            <w:pPr>
              <w:jc w:val="right"/>
              <w:textAlignment w:val="bottom"/>
            </w:pPr>
            <w:r>
              <w:rPr>
                <w:rFonts w:ascii="Arial" w:eastAsia="宋体" w:hAnsi="Arial" w:cs="Arial"/>
                <w:color w:val="000000"/>
                <w:sz w:val="20"/>
                <w:szCs w:val="20"/>
              </w:rPr>
              <w:t>12.8 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96F" w14:textId="77777777" w:rsidR="00833634" w:rsidRDefault="00E15D51">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970"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971" w14:textId="77777777" w:rsidR="00833634" w:rsidRDefault="00E15D51">
            <w:pPr>
              <w:jc w:val="right"/>
              <w:textAlignment w:val="bottom"/>
            </w:pPr>
            <w:r>
              <w:rPr>
                <w:rFonts w:ascii="Arial" w:eastAsia="宋体" w:hAnsi="Arial" w:cs="Arial"/>
                <w:b/>
                <w:bCs/>
                <w:color w:val="000000"/>
                <w:sz w:val="20"/>
                <w:szCs w:val="20"/>
              </w:rPr>
              <w:t>9.2</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972"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973"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974" w14:textId="77777777" w:rsidR="00833634" w:rsidRDefault="00E15D51">
            <w:pPr>
              <w:jc w:val="right"/>
              <w:textAlignment w:val="bottom"/>
            </w:pPr>
            <w:r>
              <w:rPr>
                <w:rFonts w:ascii="Arial" w:eastAsia="宋体" w:hAnsi="Arial" w:cs="Arial"/>
                <w:color w:val="000000"/>
                <w:sz w:val="20"/>
                <w:szCs w:val="20"/>
              </w:rPr>
              <w:t>10.8 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975" w14:textId="77777777" w:rsidR="00833634" w:rsidRDefault="00E15D51">
            <w:pPr>
              <w:jc w:val="right"/>
              <w:textAlignment w:val="bottom"/>
            </w:pPr>
            <w:r>
              <w:rPr>
                <w:rFonts w:ascii="Arial" w:eastAsia="宋体" w:hAnsi="Arial" w:cs="Arial"/>
                <w:color w:val="000000"/>
                <w:sz w:val="20"/>
                <w:szCs w:val="20"/>
              </w:rPr>
              <w:t>%</w:t>
            </w:r>
          </w:p>
        </w:tc>
      </w:tr>
    </w:tbl>
    <w:p w14:paraId="4090F977" w14:textId="77777777" w:rsidR="00833634" w:rsidRDefault="00E15D51">
      <w:pPr>
        <w:spacing w:after="180"/>
        <w:jc w:val="both"/>
      </w:pPr>
      <w:r>
        <w:rPr>
          <w:rFonts w:ascii="Arial" w:eastAsia="宋体" w:hAnsi="Arial" w:cs="Arial"/>
          <w:color w:val="000000"/>
          <w:sz w:val="20"/>
          <w:szCs w:val="20"/>
        </w:rPr>
        <w:t>Since our operating cycle is long-term and involves many different types of development and production contracts with varying delivery and</w:t>
      </w:r>
      <w:r>
        <w:rPr>
          <w:rFonts w:ascii="Arial" w:eastAsia="宋体" w:hAnsi="Arial" w:cs="Arial"/>
          <w:color w:val="000000"/>
          <w:sz w:val="20"/>
          <w:szCs w:val="20"/>
        </w:rPr>
        <w:t xml:space="preserve"> milestone schedules, the operating results of a particular period may not be indicative of future operating results. In addition, depending on the customer and their funding sources, our orders might be structured as annual follow on contracts, or as one </w:t>
      </w:r>
      <w:r>
        <w:rPr>
          <w:rFonts w:ascii="Arial" w:eastAsia="宋体" w:hAnsi="Arial" w:cs="Arial"/>
          <w:color w:val="000000"/>
          <w:sz w:val="20"/>
          <w:szCs w:val="20"/>
        </w:rPr>
        <w:t>large multi-year order or long-term award. As a result, period-to-period comparisons of backlog are not necessarily indicative of future workloads. The following discussions of comparative results among periods should be viewed in this context.</w:t>
      </w:r>
    </w:p>
    <w:p w14:paraId="4090F978" w14:textId="77777777" w:rsidR="00833634" w:rsidRDefault="00E15D51">
      <w:pPr>
        <w:jc w:val="both"/>
      </w:pPr>
      <w:r>
        <w:rPr>
          <w:rFonts w:ascii="Arial" w:eastAsia="宋体" w:hAnsi="Arial" w:cs="Arial"/>
          <w:color w:val="000000"/>
          <w:sz w:val="20"/>
          <w:szCs w:val="20"/>
        </w:rPr>
        <w:t xml:space="preserve">Deliveries </w:t>
      </w:r>
      <w:r>
        <w:rPr>
          <w:rFonts w:ascii="Arial" w:eastAsia="宋体" w:hAnsi="Arial" w:cs="Arial"/>
          <w:color w:val="000000"/>
          <w:sz w:val="20"/>
          <w:szCs w:val="20"/>
        </w:rPr>
        <w:t>of units for new-build production aircraft, including remanufactures and modifications, were as follows:</w:t>
      </w:r>
    </w:p>
    <w:tbl>
      <w:tblPr>
        <w:tblW w:w="4992" w:type="pct"/>
        <w:tblCellMar>
          <w:top w:w="15" w:type="dxa"/>
          <w:left w:w="15" w:type="dxa"/>
          <w:bottom w:w="15" w:type="dxa"/>
          <w:right w:w="15" w:type="dxa"/>
        </w:tblCellMar>
        <w:tblLook w:val="04A0" w:firstRow="1" w:lastRow="0" w:firstColumn="1" w:lastColumn="0" w:noHBand="0" w:noVBand="1"/>
      </w:tblPr>
      <w:tblGrid>
        <w:gridCol w:w="59"/>
        <w:gridCol w:w="4442"/>
        <w:gridCol w:w="38"/>
        <w:gridCol w:w="59"/>
        <w:gridCol w:w="778"/>
        <w:gridCol w:w="37"/>
        <w:gridCol w:w="37"/>
        <w:gridCol w:w="37"/>
        <w:gridCol w:w="37"/>
        <w:gridCol w:w="49"/>
        <w:gridCol w:w="751"/>
        <w:gridCol w:w="36"/>
        <w:gridCol w:w="36"/>
        <w:gridCol w:w="36"/>
        <w:gridCol w:w="36"/>
        <w:gridCol w:w="49"/>
        <w:gridCol w:w="779"/>
        <w:gridCol w:w="37"/>
        <w:gridCol w:w="37"/>
        <w:gridCol w:w="37"/>
        <w:gridCol w:w="37"/>
        <w:gridCol w:w="50"/>
        <w:gridCol w:w="793"/>
        <w:gridCol w:w="36"/>
      </w:tblGrid>
      <w:tr w:rsidR="00833634" w14:paraId="4090F991" w14:textId="77777777">
        <w:tc>
          <w:tcPr>
            <w:tcW w:w="50" w:type="pct"/>
            <w:shd w:val="clear" w:color="auto" w:fill="auto"/>
          </w:tcPr>
          <w:p w14:paraId="4090F979" w14:textId="77777777" w:rsidR="00833634" w:rsidRDefault="00833634">
            <w:pPr>
              <w:rPr>
                <w:rFonts w:ascii="宋体"/>
              </w:rPr>
            </w:pPr>
          </w:p>
        </w:tc>
        <w:tc>
          <w:tcPr>
            <w:tcW w:w="2681" w:type="pct"/>
            <w:shd w:val="clear" w:color="auto" w:fill="auto"/>
          </w:tcPr>
          <w:p w14:paraId="4090F97A" w14:textId="77777777" w:rsidR="00833634" w:rsidRDefault="00833634">
            <w:pPr>
              <w:rPr>
                <w:rFonts w:ascii="宋体"/>
              </w:rPr>
            </w:pPr>
          </w:p>
        </w:tc>
        <w:tc>
          <w:tcPr>
            <w:tcW w:w="5" w:type="pct"/>
            <w:shd w:val="clear" w:color="auto" w:fill="auto"/>
          </w:tcPr>
          <w:p w14:paraId="4090F97B" w14:textId="77777777" w:rsidR="00833634" w:rsidRDefault="00833634">
            <w:pPr>
              <w:rPr>
                <w:rFonts w:ascii="宋体"/>
              </w:rPr>
            </w:pPr>
          </w:p>
        </w:tc>
        <w:tc>
          <w:tcPr>
            <w:tcW w:w="50" w:type="pct"/>
            <w:shd w:val="clear" w:color="auto" w:fill="auto"/>
          </w:tcPr>
          <w:p w14:paraId="4090F97C" w14:textId="77777777" w:rsidR="00833634" w:rsidRDefault="00833634">
            <w:pPr>
              <w:rPr>
                <w:rFonts w:ascii="宋体"/>
              </w:rPr>
            </w:pPr>
          </w:p>
        </w:tc>
        <w:tc>
          <w:tcPr>
            <w:tcW w:w="482" w:type="pct"/>
            <w:shd w:val="clear" w:color="auto" w:fill="auto"/>
          </w:tcPr>
          <w:p w14:paraId="4090F97D" w14:textId="77777777" w:rsidR="00833634" w:rsidRDefault="00833634">
            <w:pPr>
              <w:rPr>
                <w:rFonts w:ascii="宋体"/>
              </w:rPr>
            </w:pPr>
          </w:p>
        </w:tc>
        <w:tc>
          <w:tcPr>
            <w:tcW w:w="5" w:type="pct"/>
            <w:shd w:val="clear" w:color="auto" w:fill="auto"/>
          </w:tcPr>
          <w:p w14:paraId="4090F97E" w14:textId="77777777" w:rsidR="00833634" w:rsidRDefault="00833634">
            <w:pPr>
              <w:rPr>
                <w:rFonts w:ascii="宋体"/>
              </w:rPr>
            </w:pPr>
          </w:p>
        </w:tc>
        <w:tc>
          <w:tcPr>
            <w:tcW w:w="5" w:type="pct"/>
            <w:shd w:val="clear" w:color="auto" w:fill="auto"/>
          </w:tcPr>
          <w:p w14:paraId="4090F97F" w14:textId="77777777" w:rsidR="00833634" w:rsidRDefault="00833634">
            <w:pPr>
              <w:rPr>
                <w:rFonts w:ascii="宋体"/>
              </w:rPr>
            </w:pPr>
          </w:p>
        </w:tc>
        <w:tc>
          <w:tcPr>
            <w:tcW w:w="30" w:type="pct"/>
            <w:shd w:val="clear" w:color="auto" w:fill="auto"/>
          </w:tcPr>
          <w:p w14:paraId="4090F980" w14:textId="77777777" w:rsidR="00833634" w:rsidRDefault="00833634">
            <w:pPr>
              <w:rPr>
                <w:rFonts w:ascii="宋体"/>
              </w:rPr>
            </w:pPr>
          </w:p>
        </w:tc>
        <w:tc>
          <w:tcPr>
            <w:tcW w:w="5" w:type="pct"/>
            <w:shd w:val="clear" w:color="auto" w:fill="auto"/>
          </w:tcPr>
          <w:p w14:paraId="4090F981" w14:textId="77777777" w:rsidR="00833634" w:rsidRDefault="00833634">
            <w:pPr>
              <w:rPr>
                <w:rFonts w:ascii="宋体"/>
              </w:rPr>
            </w:pPr>
          </w:p>
        </w:tc>
        <w:tc>
          <w:tcPr>
            <w:tcW w:w="50" w:type="pct"/>
            <w:shd w:val="clear" w:color="auto" w:fill="auto"/>
          </w:tcPr>
          <w:p w14:paraId="4090F982" w14:textId="77777777" w:rsidR="00833634" w:rsidRDefault="00833634">
            <w:pPr>
              <w:rPr>
                <w:rFonts w:ascii="宋体"/>
              </w:rPr>
            </w:pPr>
          </w:p>
        </w:tc>
        <w:tc>
          <w:tcPr>
            <w:tcW w:w="466" w:type="pct"/>
            <w:shd w:val="clear" w:color="auto" w:fill="auto"/>
          </w:tcPr>
          <w:p w14:paraId="4090F983" w14:textId="77777777" w:rsidR="00833634" w:rsidRDefault="00833634">
            <w:pPr>
              <w:rPr>
                <w:rFonts w:ascii="宋体"/>
              </w:rPr>
            </w:pPr>
          </w:p>
        </w:tc>
        <w:tc>
          <w:tcPr>
            <w:tcW w:w="5" w:type="pct"/>
            <w:shd w:val="clear" w:color="auto" w:fill="auto"/>
          </w:tcPr>
          <w:p w14:paraId="4090F984" w14:textId="77777777" w:rsidR="00833634" w:rsidRDefault="00833634">
            <w:pPr>
              <w:rPr>
                <w:rFonts w:ascii="宋体"/>
              </w:rPr>
            </w:pPr>
          </w:p>
        </w:tc>
        <w:tc>
          <w:tcPr>
            <w:tcW w:w="5" w:type="pct"/>
            <w:shd w:val="clear" w:color="auto" w:fill="auto"/>
          </w:tcPr>
          <w:p w14:paraId="4090F985" w14:textId="77777777" w:rsidR="00833634" w:rsidRDefault="00833634">
            <w:pPr>
              <w:rPr>
                <w:rFonts w:ascii="宋体"/>
              </w:rPr>
            </w:pPr>
          </w:p>
        </w:tc>
        <w:tc>
          <w:tcPr>
            <w:tcW w:w="30" w:type="pct"/>
            <w:shd w:val="clear" w:color="auto" w:fill="auto"/>
          </w:tcPr>
          <w:p w14:paraId="4090F986" w14:textId="77777777" w:rsidR="00833634" w:rsidRDefault="00833634">
            <w:pPr>
              <w:rPr>
                <w:rFonts w:ascii="宋体"/>
              </w:rPr>
            </w:pPr>
          </w:p>
        </w:tc>
        <w:tc>
          <w:tcPr>
            <w:tcW w:w="5" w:type="pct"/>
            <w:shd w:val="clear" w:color="auto" w:fill="auto"/>
          </w:tcPr>
          <w:p w14:paraId="4090F987" w14:textId="77777777" w:rsidR="00833634" w:rsidRDefault="00833634">
            <w:pPr>
              <w:rPr>
                <w:rFonts w:ascii="宋体"/>
              </w:rPr>
            </w:pPr>
          </w:p>
        </w:tc>
        <w:tc>
          <w:tcPr>
            <w:tcW w:w="50" w:type="pct"/>
            <w:shd w:val="clear" w:color="auto" w:fill="auto"/>
          </w:tcPr>
          <w:p w14:paraId="4090F988" w14:textId="77777777" w:rsidR="00833634" w:rsidRDefault="00833634">
            <w:pPr>
              <w:rPr>
                <w:rFonts w:ascii="宋体"/>
              </w:rPr>
            </w:pPr>
          </w:p>
        </w:tc>
        <w:tc>
          <w:tcPr>
            <w:tcW w:w="482" w:type="pct"/>
            <w:shd w:val="clear" w:color="auto" w:fill="auto"/>
          </w:tcPr>
          <w:p w14:paraId="4090F989" w14:textId="77777777" w:rsidR="00833634" w:rsidRDefault="00833634">
            <w:pPr>
              <w:rPr>
                <w:rFonts w:ascii="宋体"/>
              </w:rPr>
            </w:pPr>
          </w:p>
        </w:tc>
        <w:tc>
          <w:tcPr>
            <w:tcW w:w="5" w:type="pct"/>
            <w:shd w:val="clear" w:color="auto" w:fill="auto"/>
          </w:tcPr>
          <w:p w14:paraId="4090F98A" w14:textId="77777777" w:rsidR="00833634" w:rsidRDefault="00833634">
            <w:pPr>
              <w:rPr>
                <w:rFonts w:ascii="宋体"/>
              </w:rPr>
            </w:pPr>
          </w:p>
        </w:tc>
        <w:tc>
          <w:tcPr>
            <w:tcW w:w="5" w:type="pct"/>
            <w:shd w:val="clear" w:color="auto" w:fill="auto"/>
          </w:tcPr>
          <w:p w14:paraId="4090F98B" w14:textId="77777777" w:rsidR="00833634" w:rsidRDefault="00833634">
            <w:pPr>
              <w:rPr>
                <w:rFonts w:ascii="宋体"/>
              </w:rPr>
            </w:pPr>
          </w:p>
        </w:tc>
        <w:tc>
          <w:tcPr>
            <w:tcW w:w="30" w:type="pct"/>
            <w:shd w:val="clear" w:color="auto" w:fill="auto"/>
          </w:tcPr>
          <w:p w14:paraId="4090F98C" w14:textId="77777777" w:rsidR="00833634" w:rsidRDefault="00833634">
            <w:pPr>
              <w:rPr>
                <w:rFonts w:ascii="宋体"/>
              </w:rPr>
            </w:pPr>
          </w:p>
        </w:tc>
        <w:tc>
          <w:tcPr>
            <w:tcW w:w="5" w:type="pct"/>
            <w:shd w:val="clear" w:color="auto" w:fill="auto"/>
          </w:tcPr>
          <w:p w14:paraId="4090F98D" w14:textId="77777777" w:rsidR="00833634" w:rsidRDefault="00833634">
            <w:pPr>
              <w:rPr>
                <w:rFonts w:ascii="宋体"/>
              </w:rPr>
            </w:pPr>
          </w:p>
        </w:tc>
        <w:tc>
          <w:tcPr>
            <w:tcW w:w="50" w:type="pct"/>
            <w:shd w:val="clear" w:color="auto" w:fill="auto"/>
          </w:tcPr>
          <w:p w14:paraId="4090F98E" w14:textId="77777777" w:rsidR="00833634" w:rsidRDefault="00833634">
            <w:pPr>
              <w:rPr>
                <w:rFonts w:ascii="宋体"/>
              </w:rPr>
            </w:pPr>
          </w:p>
        </w:tc>
        <w:tc>
          <w:tcPr>
            <w:tcW w:w="490" w:type="pct"/>
            <w:shd w:val="clear" w:color="auto" w:fill="auto"/>
          </w:tcPr>
          <w:p w14:paraId="4090F98F" w14:textId="77777777" w:rsidR="00833634" w:rsidRDefault="00833634">
            <w:pPr>
              <w:rPr>
                <w:rFonts w:ascii="宋体"/>
              </w:rPr>
            </w:pPr>
          </w:p>
        </w:tc>
        <w:tc>
          <w:tcPr>
            <w:tcW w:w="5" w:type="pct"/>
            <w:shd w:val="clear" w:color="auto" w:fill="auto"/>
          </w:tcPr>
          <w:p w14:paraId="4090F990" w14:textId="77777777" w:rsidR="00833634" w:rsidRDefault="00833634">
            <w:pPr>
              <w:rPr>
                <w:rFonts w:ascii="宋体"/>
              </w:rPr>
            </w:pPr>
          </w:p>
        </w:tc>
      </w:tr>
      <w:tr w:rsidR="00833634" w14:paraId="4090F996" w14:textId="77777777">
        <w:tc>
          <w:tcPr>
            <w:tcW w:w="0" w:type="auto"/>
            <w:gridSpan w:val="3"/>
            <w:shd w:val="clear" w:color="auto" w:fill="auto"/>
            <w:tcMar>
              <w:top w:w="0" w:type="dxa"/>
              <w:left w:w="20" w:type="dxa"/>
              <w:bottom w:w="0" w:type="dxa"/>
              <w:right w:w="20" w:type="dxa"/>
            </w:tcMar>
          </w:tcPr>
          <w:p w14:paraId="4090F992"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993"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994"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995"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99F"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997"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998"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999"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99A"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99B"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99C"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99D"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99E" w14:textId="77777777" w:rsidR="00833634" w:rsidRDefault="00E15D51">
            <w:pPr>
              <w:jc w:val="right"/>
              <w:textAlignment w:val="bottom"/>
            </w:pPr>
            <w:r>
              <w:rPr>
                <w:rFonts w:ascii="Arial" w:eastAsia="宋体" w:hAnsi="Arial" w:cs="Arial"/>
                <w:color w:val="000000"/>
                <w:sz w:val="20"/>
                <w:szCs w:val="20"/>
              </w:rPr>
              <w:t>2019</w:t>
            </w:r>
          </w:p>
        </w:tc>
      </w:tr>
      <w:tr w:rsidR="00833634" w14:paraId="4090F9A8" w14:textId="77777777">
        <w:tc>
          <w:tcPr>
            <w:tcW w:w="0" w:type="auto"/>
            <w:gridSpan w:val="3"/>
            <w:tcBorders>
              <w:top w:val="single" w:sz="8" w:space="0" w:color="000000"/>
            </w:tcBorders>
            <w:shd w:val="clear" w:color="auto" w:fill="CCEEFF"/>
            <w:tcMar>
              <w:top w:w="40" w:type="dxa"/>
              <w:left w:w="20" w:type="dxa"/>
              <w:bottom w:w="40" w:type="dxa"/>
              <w:right w:w="20" w:type="dxa"/>
            </w:tcMar>
          </w:tcPr>
          <w:p w14:paraId="4090F9A0" w14:textId="77777777" w:rsidR="00833634" w:rsidRDefault="00E15D51">
            <w:pPr>
              <w:textAlignment w:val="top"/>
            </w:pPr>
            <w:r>
              <w:rPr>
                <w:rFonts w:ascii="Arial" w:eastAsia="宋体" w:hAnsi="Arial" w:cs="Arial"/>
                <w:color w:val="000000"/>
                <w:sz w:val="20"/>
                <w:szCs w:val="20"/>
              </w:rPr>
              <w:t>F/A-18 Models</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9A1" w14:textId="77777777" w:rsidR="00833634" w:rsidRDefault="00E15D51">
            <w:pPr>
              <w:jc w:val="right"/>
              <w:textAlignment w:val="bottom"/>
            </w:pPr>
            <w:r>
              <w:rPr>
                <w:rFonts w:ascii="Arial" w:eastAsia="宋体" w:hAnsi="Arial" w:cs="Arial"/>
                <w:b/>
                <w:bCs/>
                <w:color w:val="000000"/>
                <w:sz w:val="20"/>
                <w:szCs w:val="20"/>
              </w:rPr>
              <w:t>14</w:t>
            </w:r>
          </w:p>
        </w:tc>
        <w:tc>
          <w:tcPr>
            <w:tcW w:w="0" w:type="auto"/>
            <w:gridSpan w:val="3"/>
            <w:tcBorders>
              <w:top w:val="single" w:sz="8" w:space="0" w:color="000000"/>
            </w:tcBorders>
            <w:shd w:val="clear" w:color="auto" w:fill="CCEEFF"/>
            <w:tcMar>
              <w:top w:w="0" w:type="dxa"/>
              <w:left w:w="20" w:type="dxa"/>
              <w:bottom w:w="0" w:type="dxa"/>
              <w:right w:w="20" w:type="dxa"/>
            </w:tcMar>
          </w:tcPr>
          <w:p w14:paraId="4090F9A2" w14:textId="77777777" w:rsidR="00833634" w:rsidRDefault="0083363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9A3" w14:textId="77777777" w:rsidR="00833634" w:rsidRDefault="00E15D51">
            <w:pPr>
              <w:jc w:val="right"/>
              <w:textAlignment w:val="bottom"/>
            </w:pPr>
            <w:r>
              <w:rPr>
                <w:rFonts w:ascii="Arial" w:eastAsia="宋体" w:hAnsi="Arial" w:cs="Arial"/>
                <w:color w:val="000000"/>
                <w:sz w:val="20"/>
                <w:szCs w:val="20"/>
              </w:rPr>
              <w:t>16</w:t>
            </w:r>
          </w:p>
        </w:tc>
        <w:tc>
          <w:tcPr>
            <w:tcW w:w="0" w:type="auto"/>
            <w:gridSpan w:val="3"/>
            <w:tcBorders>
              <w:top w:val="single" w:sz="8" w:space="0" w:color="000000"/>
            </w:tcBorders>
            <w:shd w:val="clear" w:color="auto" w:fill="CCEEFF"/>
            <w:tcMar>
              <w:top w:w="0" w:type="dxa"/>
              <w:left w:w="20" w:type="dxa"/>
              <w:bottom w:w="0" w:type="dxa"/>
              <w:right w:w="20" w:type="dxa"/>
            </w:tcMar>
          </w:tcPr>
          <w:p w14:paraId="4090F9A4" w14:textId="77777777" w:rsidR="00833634" w:rsidRDefault="0083363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9A5" w14:textId="77777777" w:rsidR="00833634" w:rsidRDefault="00E15D51">
            <w:pPr>
              <w:jc w:val="right"/>
              <w:textAlignment w:val="bottom"/>
            </w:pPr>
            <w:r>
              <w:rPr>
                <w:rFonts w:ascii="Arial" w:eastAsia="宋体" w:hAnsi="Arial" w:cs="Arial"/>
                <w:b/>
                <w:bCs/>
                <w:color w:val="000000"/>
                <w:sz w:val="20"/>
                <w:szCs w:val="20"/>
              </w:rPr>
              <w:t>5</w:t>
            </w:r>
          </w:p>
        </w:tc>
        <w:tc>
          <w:tcPr>
            <w:tcW w:w="0" w:type="auto"/>
            <w:gridSpan w:val="3"/>
            <w:tcBorders>
              <w:top w:val="single" w:sz="8" w:space="0" w:color="000000"/>
            </w:tcBorders>
            <w:shd w:val="clear" w:color="auto" w:fill="CCEEFF"/>
            <w:tcMar>
              <w:top w:w="0" w:type="dxa"/>
              <w:left w:w="20" w:type="dxa"/>
              <w:bottom w:w="0" w:type="dxa"/>
              <w:right w:w="20" w:type="dxa"/>
            </w:tcMar>
          </w:tcPr>
          <w:p w14:paraId="4090F9A6" w14:textId="77777777" w:rsidR="00833634" w:rsidRDefault="00833634">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9A7" w14:textId="77777777" w:rsidR="00833634" w:rsidRDefault="00E15D51">
            <w:pPr>
              <w:jc w:val="right"/>
              <w:textAlignment w:val="bottom"/>
            </w:pPr>
            <w:r>
              <w:rPr>
                <w:rFonts w:ascii="Arial" w:eastAsia="宋体" w:hAnsi="Arial" w:cs="Arial"/>
                <w:color w:val="000000"/>
                <w:sz w:val="20"/>
                <w:szCs w:val="20"/>
              </w:rPr>
              <w:t>6</w:t>
            </w:r>
          </w:p>
        </w:tc>
      </w:tr>
      <w:tr w:rsidR="00833634" w14:paraId="4090F9B1" w14:textId="77777777">
        <w:tc>
          <w:tcPr>
            <w:tcW w:w="0" w:type="auto"/>
            <w:gridSpan w:val="3"/>
            <w:shd w:val="clear" w:color="auto" w:fill="FFFFFF"/>
            <w:tcMar>
              <w:top w:w="40" w:type="dxa"/>
              <w:left w:w="20" w:type="dxa"/>
              <w:bottom w:w="40" w:type="dxa"/>
              <w:right w:w="20" w:type="dxa"/>
            </w:tcMar>
          </w:tcPr>
          <w:p w14:paraId="4090F9A9" w14:textId="77777777" w:rsidR="00833634" w:rsidRDefault="00E15D51">
            <w:pPr>
              <w:textAlignment w:val="top"/>
            </w:pPr>
            <w:r>
              <w:rPr>
                <w:rFonts w:ascii="Arial" w:eastAsia="宋体" w:hAnsi="Arial" w:cs="Arial"/>
                <w:color w:val="000000"/>
                <w:sz w:val="20"/>
                <w:szCs w:val="20"/>
              </w:rPr>
              <w:t>F-15 Models</w:t>
            </w:r>
          </w:p>
        </w:tc>
        <w:tc>
          <w:tcPr>
            <w:tcW w:w="0" w:type="auto"/>
            <w:gridSpan w:val="3"/>
            <w:shd w:val="clear" w:color="auto" w:fill="FFFFFF"/>
            <w:tcMar>
              <w:top w:w="40" w:type="dxa"/>
              <w:left w:w="20" w:type="dxa"/>
              <w:bottom w:w="40" w:type="dxa"/>
              <w:right w:w="20" w:type="dxa"/>
            </w:tcMar>
            <w:vAlign w:val="bottom"/>
          </w:tcPr>
          <w:p w14:paraId="4090F9AA" w14:textId="77777777" w:rsidR="00833634" w:rsidRDefault="00E15D51">
            <w:pPr>
              <w:jc w:val="right"/>
              <w:textAlignment w:val="bottom"/>
            </w:pPr>
            <w:r>
              <w:rPr>
                <w:rFonts w:ascii="Arial" w:eastAsia="宋体" w:hAnsi="Arial" w:cs="Arial"/>
                <w:b/>
                <w:bCs/>
                <w:color w:val="000000"/>
                <w:sz w:val="20"/>
                <w:szCs w:val="20"/>
              </w:rPr>
              <w:t>3</w:t>
            </w:r>
          </w:p>
        </w:tc>
        <w:tc>
          <w:tcPr>
            <w:tcW w:w="0" w:type="auto"/>
            <w:gridSpan w:val="3"/>
            <w:shd w:val="clear" w:color="auto" w:fill="FFFFFF"/>
            <w:tcMar>
              <w:top w:w="0" w:type="dxa"/>
              <w:left w:w="20" w:type="dxa"/>
              <w:bottom w:w="0" w:type="dxa"/>
              <w:right w:w="20" w:type="dxa"/>
            </w:tcMar>
          </w:tcPr>
          <w:p w14:paraId="4090F9AB"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AC" w14:textId="77777777" w:rsidR="00833634" w:rsidRDefault="00E15D51">
            <w:pPr>
              <w:jc w:val="right"/>
              <w:textAlignment w:val="bottom"/>
            </w:pPr>
            <w:r>
              <w:rPr>
                <w:rFonts w:ascii="Arial" w:eastAsia="宋体" w:hAnsi="Arial" w:cs="Arial"/>
                <w:color w:val="000000"/>
                <w:sz w:val="20"/>
                <w:szCs w:val="20"/>
              </w:rPr>
              <w:t>7</w:t>
            </w:r>
          </w:p>
        </w:tc>
        <w:tc>
          <w:tcPr>
            <w:tcW w:w="0" w:type="auto"/>
            <w:gridSpan w:val="3"/>
            <w:shd w:val="clear" w:color="auto" w:fill="FFFFFF"/>
            <w:tcMar>
              <w:top w:w="0" w:type="dxa"/>
              <w:left w:w="20" w:type="dxa"/>
              <w:bottom w:w="0" w:type="dxa"/>
              <w:right w:w="20" w:type="dxa"/>
            </w:tcMar>
          </w:tcPr>
          <w:p w14:paraId="4090F9AD"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9A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9AF"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B0" w14:textId="77777777" w:rsidR="00833634" w:rsidRDefault="00E15D51">
            <w:pPr>
              <w:jc w:val="right"/>
              <w:textAlignment w:val="bottom"/>
            </w:pPr>
            <w:r>
              <w:rPr>
                <w:rFonts w:ascii="Arial" w:eastAsia="宋体" w:hAnsi="Arial" w:cs="Arial"/>
                <w:color w:val="000000"/>
                <w:sz w:val="20"/>
                <w:szCs w:val="20"/>
              </w:rPr>
              <w:t>2</w:t>
            </w:r>
          </w:p>
        </w:tc>
      </w:tr>
      <w:tr w:rsidR="00833634" w14:paraId="4090F9BA" w14:textId="77777777">
        <w:tc>
          <w:tcPr>
            <w:tcW w:w="0" w:type="auto"/>
            <w:gridSpan w:val="3"/>
            <w:shd w:val="clear" w:color="auto" w:fill="CCEEFF"/>
            <w:tcMar>
              <w:top w:w="40" w:type="dxa"/>
              <w:left w:w="20" w:type="dxa"/>
              <w:bottom w:w="40" w:type="dxa"/>
              <w:right w:w="20" w:type="dxa"/>
            </w:tcMar>
          </w:tcPr>
          <w:p w14:paraId="4090F9B2" w14:textId="77777777" w:rsidR="00833634" w:rsidRDefault="00E15D51">
            <w:pPr>
              <w:textAlignment w:val="top"/>
            </w:pPr>
            <w:r>
              <w:rPr>
                <w:rFonts w:ascii="Arial" w:eastAsia="宋体" w:hAnsi="Arial" w:cs="Arial"/>
                <w:color w:val="000000"/>
                <w:sz w:val="20"/>
                <w:szCs w:val="20"/>
              </w:rPr>
              <w:t>C-17 Globemaster III</w:t>
            </w:r>
          </w:p>
        </w:tc>
        <w:tc>
          <w:tcPr>
            <w:tcW w:w="0" w:type="auto"/>
            <w:gridSpan w:val="3"/>
            <w:shd w:val="clear" w:color="auto" w:fill="CCEEFF"/>
            <w:tcMar>
              <w:top w:w="0" w:type="dxa"/>
              <w:left w:w="20" w:type="dxa"/>
              <w:bottom w:w="0" w:type="dxa"/>
              <w:right w:w="20" w:type="dxa"/>
            </w:tcMar>
          </w:tcPr>
          <w:p w14:paraId="4090F9B3"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9B4"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B5" w14:textId="77777777" w:rsidR="00833634" w:rsidRDefault="00E15D51">
            <w:pPr>
              <w:jc w:val="right"/>
              <w:textAlignment w:val="bottom"/>
            </w:pPr>
            <w:r>
              <w:rPr>
                <w:rFonts w:ascii="Arial" w:eastAsia="宋体" w:hAnsi="Arial" w:cs="Arial"/>
                <w:color w:val="000000"/>
                <w:sz w:val="20"/>
                <w:szCs w:val="20"/>
              </w:rPr>
              <w:t>1</w:t>
            </w:r>
          </w:p>
        </w:tc>
        <w:tc>
          <w:tcPr>
            <w:tcW w:w="0" w:type="auto"/>
            <w:gridSpan w:val="3"/>
            <w:shd w:val="clear" w:color="auto" w:fill="CCEEFF"/>
            <w:tcMar>
              <w:top w:w="0" w:type="dxa"/>
              <w:left w:w="20" w:type="dxa"/>
              <w:bottom w:w="0" w:type="dxa"/>
              <w:right w:w="20" w:type="dxa"/>
            </w:tcMar>
          </w:tcPr>
          <w:p w14:paraId="4090F9B6"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9B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9B8"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B9" w14:textId="77777777" w:rsidR="00833634" w:rsidRDefault="00E15D51">
            <w:pPr>
              <w:jc w:val="right"/>
              <w:textAlignment w:val="bottom"/>
            </w:pPr>
            <w:r>
              <w:rPr>
                <w:rFonts w:ascii="Arial" w:eastAsia="宋体" w:hAnsi="Arial" w:cs="Arial"/>
                <w:color w:val="000000"/>
                <w:sz w:val="20"/>
                <w:szCs w:val="20"/>
              </w:rPr>
              <w:t>1</w:t>
            </w:r>
          </w:p>
        </w:tc>
      </w:tr>
      <w:tr w:rsidR="00833634" w14:paraId="4090F9C3" w14:textId="77777777">
        <w:tc>
          <w:tcPr>
            <w:tcW w:w="0" w:type="auto"/>
            <w:gridSpan w:val="3"/>
            <w:shd w:val="clear" w:color="auto" w:fill="FFFFFF"/>
            <w:tcMar>
              <w:top w:w="40" w:type="dxa"/>
              <w:left w:w="20" w:type="dxa"/>
              <w:bottom w:w="40" w:type="dxa"/>
              <w:right w:w="20" w:type="dxa"/>
            </w:tcMar>
          </w:tcPr>
          <w:p w14:paraId="4090F9BB" w14:textId="77777777" w:rsidR="00833634" w:rsidRDefault="00E15D51">
            <w:pPr>
              <w:textAlignment w:val="top"/>
            </w:pPr>
            <w:r>
              <w:rPr>
                <w:rFonts w:ascii="Arial" w:eastAsia="宋体" w:hAnsi="Arial" w:cs="Arial"/>
                <w:color w:val="000000"/>
                <w:sz w:val="20"/>
                <w:szCs w:val="20"/>
              </w:rPr>
              <w:t>CH-47 Chinook (New)</w:t>
            </w:r>
          </w:p>
        </w:tc>
        <w:tc>
          <w:tcPr>
            <w:tcW w:w="0" w:type="auto"/>
            <w:gridSpan w:val="3"/>
            <w:shd w:val="clear" w:color="auto" w:fill="FFFFFF"/>
            <w:tcMar>
              <w:top w:w="40" w:type="dxa"/>
              <w:left w:w="20" w:type="dxa"/>
              <w:bottom w:w="40" w:type="dxa"/>
              <w:right w:w="20" w:type="dxa"/>
            </w:tcMar>
            <w:vAlign w:val="bottom"/>
          </w:tcPr>
          <w:p w14:paraId="4090F9BC" w14:textId="77777777" w:rsidR="00833634" w:rsidRDefault="00E15D51">
            <w:pPr>
              <w:jc w:val="right"/>
              <w:textAlignment w:val="bottom"/>
            </w:pPr>
            <w:r>
              <w:rPr>
                <w:rFonts w:ascii="Arial" w:eastAsia="宋体" w:hAnsi="Arial" w:cs="Arial"/>
                <w:b/>
                <w:bCs/>
                <w:color w:val="000000"/>
                <w:sz w:val="20"/>
                <w:szCs w:val="20"/>
              </w:rPr>
              <w:t>19</w:t>
            </w:r>
          </w:p>
        </w:tc>
        <w:tc>
          <w:tcPr>
            <w:tcW w:w="0" w:type="auto"/>
            <w:gridSpan w:val="3"/>
            <w:shd w:val="clear" w:color="auto" w:fill="FFFFFF"/>
            <w:tcMar>
              <w:top w:w="0" w:type="dxa"/>
              <w:left w:w="20" w:type="dxa"/>
              <w:bottom w:w="0" w:type="dxa"/>
              <w:right w:w="20" w:type="dxa"/>
            </w:tcMar>
          </w:tcPr>
          <w:p w14:paraId="4090F9BD"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BE" w14:textId="77777777" w:rsidR="00833634" w:rsidRDefault="00E15D51">
            <w:pPr>
              <w:jc w:val="right"/>
              <w:textAlignment w:val="bottom"/>
            </w:pPr>
            <w:r>
              <w:rPr>
                <w:rFonts w:ascii="Arial" w:eastAsia="宋体" w:hAnsi="Arial" w:cs="Arial"/>
                <w:color w:val="000000"/>
                <w:sz w:val="20"/>
                <w:szCs w:val="20"/>
              </w:rPr>
              <w:t>13</w:t>
            </w:r>
          </w:p>
        </w:tc>
        <w:tc>
          <w:tcPr>
            <w:tcW w:w="0" w:type="auto"/>
            <w:gridSpan w:val="3"/>
            <w:shd w:val="clear" w:color="auto" w:fill="FFFFFF"/>
            <w:tcMar>
              <w:top w:w="0" w:type="dxa"/>
              <w:left w:w="20" w:type="dxa"/>
              <w:bottom w:w="0" w:type="dxa"/>
              <w:right w:w="20" w:type="dxa"/>
            </w:tcMar>
          </w:tcPr>
          <w:p w14:paraId="4090F9BF"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C0" w14:textId="77777777" w:rsidR="00833634" w:rsidRDefault="00E15D51">
            <w:pPr>
              <w:jc w:val="right"/>
              <w:textAlignment w:val="bottom"/>
            </w:pPr>
            <w:r>
              <w:rPr>
                <w:rFonts w:ascii="Arial" w:eastAsia="宋体" w:hAnsi="Arial" w:cs="Arial"/>
                <w:b/>
                <w:bCs/>
                <w:color w:val="000000"/>
                <w:sz w:val="20"/>
                <w:szCs w:val="20"/>
              </w:rPr>
              <w:t>4</w:t>
            </w:r>
          </w:p>
        </w:tc>
        <w:tc>
          <w:tcPr>
            <w:tcW w:w="0" w:type="auto"/>
            <w:gridSpan w:val="3"/>
            <w:shd w:val="clear" w:color="auto" w:fill="FFFFFF"/>
            <w:tcMar>
              <w:top w:w="0" w:type="dxa"/>
              <w:left w:w="20" w:type="dxa"/>
              <w:bottom w:w="0" w:type="dxa"/>
              <w:right w:w="20" w:type="dxa"/>
            </w:tcMar>
          </w:tcPr>
          <w:p w14:paraId="4090F9C1"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C2" w14:textId="77777777" w:rsidR="00833634" w:rsidRDefault="00E15D51">
            <w:pPr>
              <w:jc w:val="right"/>
              <w:textAlignment w:val="bottom"/>
            </w:pPr>
            <w:r>
              <w:rPr>
                <w:rFonts w:ascii="Arial" w:eastAsia="宋体" w:hAnsi="Arial" w:cs="Arial"/>
                <w:color w:val="000000"/>
                <w:sz w:val="20"/>
                <w:szCs w:val="20"/>
              </w:rPr>
              <w:t>6</w:t>
            </w:r>
          </w:p>
        </w:tc>
      </w:tr>
      <w:tr w:rsidR="00833634" w14:paraId="4090F9CC" w14:textId="77777777">
        <w:tc>
          <w:tcPr>
            <w:tcW w:w="0" w:type="auto"/>
            <w:gridSpan w:val="3"/>
            <w:shd w:val="clear" w:color="auto" w:fill="CCEEFF"/>
            <w:tcMar>
              <w:top w:w="40" w:type="dxa"/>
              <w:left w:w="20" w:type="dxa"/>
              <w:bottom w:w="40" w:type="dxa"/>
              <w:right w:w="20" w:type="dxa"/>
            </w:tcMar>
          </w:tcPr>
          <w:p w14:paraId="4090F9C4" w14:textId="77777777" w:rsidR="00833634" w:rsidRDefault="00E15D51">
            <w:pPr>
              <w:textAlignment w:val="top"/>
            </w:pPr>
            <w:r>
              <w:rPr>
                <w:rFonts w:ascii="Arial" w:eastAsia="宋体" w:hAnsi="Arial" w:cs="Arial"/>
                <w:color w:val="000000"/>
                <w:sz w:val="20"/>
                <w:szCs w:val="20"/>
              </w:rPr>
              <w:t xml:space="preserve">CH-47 Chinook </w:t>
            </w:r>
            <w:r>
              <w:rPr>
                <w:rFonts w:ascii="Arial" w:eastAsia="宋体" w:hAnsi="Arial" w:cs="Arial"/>
                <w:color w:val="000000"/>
                <w:sz w:val="20"/>
                <w:szCs w:val="20"/>
              </w:rPr>
              <w:t>(Renewed)</w:t>
            </w:r>
          </w:p>
        </w:tc>
        <w:tc>
          <w:tcPr>
            <w:tcW w:w="0" w:type="auto"/>
            <w:gridSpan w:val="3"/>
            <w:shd w:val="clear" w:color="auto" w:fill="CCEEFF"/>
            <w:tcMar>
              <w:top w:w="40" w:type="dxa"/>
              <w:left w:w="20" w:type="dxa"/>
              <w:bottom w:w="40" w:type="dxa"/>
              <w:right w:w="20" w:type="dxa"/>
            </w:tcMar>
            <w:vAlign w:val="bottom"/>
          </w:tcPr>
          <w:p w14:paraId="4090F9C5" w14:textId="77777777" w:rsidR="00833634" w:rsidRDefault="00E15D51">
            <w:pPr>
              <w:jc w:val="right"/>
              <w:textAlignment w:val="bottom"/>
            </w:pPr>
            <w:r>
              <w:rPr>
                <w:rFonts w:ascii="Arial" w:eastAsia="宋体" w:hAnsi="Arial" w:cs="Arial"/>
                <w:b/>
                <w:bCs/>
                <w:color w:val="000000"/>
                <w:sz w:val="20"/>
                <w:szCs w:val="20"/>
              </w:rPr>
              <w:t>3</w:t>
            </w:r>
          </w:p>
        </w:tc>
        <w:tc>
          <w:tcPr>
            <w:tcW w:w="0" w:type="auto"/>
            <w:gridSpan w:val="3"/>
            <w:shd w:val="clear" w:color="auto" w:fill="CCEEFF"/>
            <w:tcMar>
              <w:top w:w="0" w:type="dxa"/>
              <w:left w:w="20" w:type="dxa"/>
              <w:bottom w:w="0" w:type="dxa"/>
              <w:right w:w="20" w:type="dxa"/>
            </w:tcMar>
          </w:tcPr>
          <w:p w14:paraId="4090F9C6"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C7" w14:textId="77777777" w:rsidR="00833634" w:rsidRDefault="00E15D51">
            <w:pPr>
              <w:jc w:val="right"/>
              <w:textAlignment w:val="bottom"/>
            </w:pPr>
            <w:r>
              <w:rPr>
                <w:rFonts w:ascii="Arial" w:eastAsia="宋体" w:hAnsi="Arial" w:cs="Arial"/>
                <w:color w:val="000000"/>
                <w:sz w:val="20"/>
                <w:szCs w:val="20"/>
              </w:rPr>
              <w:t>16</w:t>
            </w:r>
          </w:p>
        </w:tc>
        <w:tc>
          <w:tcPr>
            <w:tcW w:w="0" w:type="auto"/>
            <w:gridSpan w:val="3"/>
            <w:shd w:val="clear" w:color="auto" w:fill="CCEEFF"/>
            <w:tcMar>
              <w:top w:w="0" w:type="dxa"/>
              <w:left w:w="20" w:type="dxa"/>
              <w:bottom w:w="0" w:type="dxa"/>
              <w:right w:w="20" w:type="dxa"/>
            </w:tcMar>
          </w:tcPr>
          <w:p w14:paraId="4090F9C8"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C9" w14:textId="77777777" w:rsidR="00833634" w:rsidRDefault="00E15D51">
            <w:pPr>
              <w:jc w:val="right"/>
              <w:textAlignment w:val="bottom"/>
            </w:pPr>
            <w:r>
              <w:rPr>
                <w:rFonts w:ascii="Arial" w:eastAsia="宋体" w:hAnsi="Arial" w:cs="Arial"/>
                <w:b/>
                <w:bCs/>
                <w:color w:val="000000"/>
                <w:sz w:val="20"/>
                <w:szCs w:val="20"/>
              </w:rPr>
              <w:t>2</w:t>
            </w:r>
          </w:p>
        </w:tc>
        <w:tc>
          <w:tcPr>
            <w:tcW w:w="0" w:type="auto"/>
            <w:gridSpan w:val="3"/>
            <w:shd w:val="clear" w:color="auto" w:fill="CCEEFF"/>
            <w:tcMar>
              <w:top w:w="0" w:type="dxa"/>
              <w:left w:w="20" w:type="dxa"/>
              <w:bottom w:w="0" w:type="dxa"/>
              <w:right w:w="20" w:type="dxa"/>
            </w:tcMar>
          </w:tcPr>
          <w:p w14:paraId="4090F9CA"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CB" w14:textId="77777777" w:rsidR="00833634" w:rsidRDefault="00E15D51">
            <w:pPr>
              <w:jc w:val="right"/>
              <w:textAlignment w:val="bottom"/>
            </w:pPr>
            <w:r>
              <w:rPr>
                <w:rFonts w:ascii="Arial" w:eastAsia="宋体" w:hAnsi="Arial" w:cs="Arial"/>
                <w:color w:val="000000"/>
                <w:sz w:val="20"/>
                <w:szCs w:val="20"/>
              </w:rPr>
              <w:t>7</w:t>
            </w:r>
          </w:p>
        </w:tc>
      </w:tr>
      <w:tr w:rsidR="00833634" w14:paraId="4090F9D5" w14:textId="77777777">
        <w:tc>
          <w:tcPr>
            <w:tcW w:w="0" w:type="auto"/>
            <w:gridSpan w:val="3"/>
            <w:shd w:val="clear" w:color="auto" w:fill="FFFFFF"/>
            <w:tcMar>
              <w:top w:w="40" w:type="dxa"/>
              <w:left w:w="20" w:type="dxa"/>
              <w:bottom w:w="40" w:type="dxa"/>
              <w:right w:w="20" w:type="dxa"/>
            </w:tcMar>
          </w:tcPr>
          <w:p w14:paraId="4090F9CD" w14:textId="77777777" w:rsidR="00833634" w:rsidRDefault="00E15D51">
            <w:pPr>
              <w:textAlignment w:val="top"/>
            </w:pPr>
            <w:r>
              <w:rPr>
                <w:rFonts w:ascii="Arial" w:eastAsia="宋体" w:hAnsi="Arial" w:cs="Arial"/>
                <w:color w:val="000000"/>
                <w:sz w:val="20"/>
                <w:szCs w:val="20"/>
              </w:rPr>
              <w:t>AH-64 Apache (New)</w:t>
            </w:r>
          </w:p>
        </w:tc>
        <w:tc>
          <w:tcPr>
            <w:tcW w:w="0" w:type="auto"/>
            <w:gridSpan w:val="3"/>
            <w:shd w:val="clear" w:color="auto" w:fill="FFFFFF"/>
            <w:tcMar>
              <w:top w:w="40" w:type="dxa"/>
              <w:left w:w="20" w:type="dxa"/>
              <w:bottom w:w="40" w:type="dxa"/>
              <w:right w:w="20" w:type="dxa"/>
            </w:tcMar>
            <w:vAlign w:val="bottom"/>
          </w:tcPr>
          <w:p w14:paraId="4090F9CE" w14:textId="77777777" w:rsidR="00833634" w:rsidRDefault="00E15D51">
            <w:pPr>
              <w:jc w:val="right"/>
              <w:textAlignment w:val="bottom"/>
            </w:pPr>
            <w:r>
              <w:rPr>
                <w:rFonts w:ascii="Arial" w:eastAsia="宋体" w:hAnsi="Arial" w:cs="Arial"/>
                <w:b/>
                <w:bCs/>
                <w:color w:val="000000"/>
                <w:sz w:val="20"/>
                <w:szCs w:val="20"/>
              </w:rPr>
              <w:t>18</w:t>
            </w:r>
          </w:p>
        </w:tc>
        <w:tc>
          <w:tcPr>
            <w:tcW w:w="0" w:type="auto"/>
            <w:gridSpan w:val="3"/>
            <w:shd w:val="clear" w:color="auto" w:fill="FFFFFF"/>
            <w:tcMar>
              <w:top w:w="0" w:type="dxa"/>
              <w:left w:w="20" w:type="dxa"/>
              <w:bottom w:w="0" w:type="dxa"/>
              <w:right w:w="20" w:type="dxa"/>
            </w:tcMar>
          </w:tcPr>
          <w:p w14:paraId="4090F9CF"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D0" w14:textId="77777777" w:rsidR="00833634" w:rsidRDefault="00E15D51">
            <w:pPr>
              <w:jc w:val="right"/>
              <w:textAlignment w:val="bottom"/>
            </w:pPr>
            <w:r>
              <w:rPr>
                <w:rFonts w:ascii="Arial" w:eastAsia="宋体" w:hAnsi="Arial" w:cs="Arial"/>
                <w:color w:val="000000"/>
                <w:sz w:val="20"/>
                <w:szCs w:val="20"/>
              </w:rPr>
              <w:t>27</w:t>
            </w:r>
          </w:p>
        </w:tc>
        <w:tc>
          <w:tcPr>
            <w:tcW w:w="0" w:type="auto"/>
            <w:gridSpan w:val="3"/>
            <w:shd w:val="clear" w:color="auto" w:fill="FFFFFF"/>
            <w:tcMar>
              <w:top w:w="0" w:type="dxa"/>
              <w:left w:w="20" w:type="dxa"/>
              <w:bottom w:w="0" w:type="dxa"/>
              <w:right w:w="20" w:type="dxa"/>
            </w:tcMar>
          </w:tcPr>
          <w:p w14:paraId="4090F9D1"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D2" w14:textId="77777777" w:rsidR="00833634" w:rsidRDefault="00E15D51">
            <w:pPr>
              <w:jc w:val="right"/>
              <w:textAlignment w:val="bottom"/>
            </w:pPr>
            <w:r>
              <w:rPr>
                <w:rFonts w:ascii="Arial" w:eastAsia="宋体" w:hAnsi="Arial" w:cs="Arial"/>
                <w:b/>
                <w:bCs/>
                <w:color w:val="000000"/>
                <w:sz w:val="20"/>
                <w:szCs w:val="20"/>
              </w:rPr>
              <w:t>7</w:t>
            </w:r>
          </w:p>
        </w:tc>
        <w:tc>
          <w:tcPr>
            <w:tcW w:w="0" w:type="auto"/>
            <w:gridSpan w:val="3"/>
            <w:shd w:val="clear" w:color="auto" w:fill="FFFFFF"/>
            <w:tcMar>
              <w:top w:w="0" w:type="dxa"/>
              <w:left w:w="20" w:type="dxa"/>
              <w:bottom w:w="0" w:type="dxa"/>
              <w:right w:w="20" w:type="dxa"/>
            </w:tcMar>
          </w:tcPr>
          <w:p w14:paraId="4090F9D3"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D4" w14:textId="77777777" w:rsidR="00833634" w:rsidRDefault="00E15D51">
            <w:pPr>
              <w:jc w:val="right"/>
              <w:textAlignment w:val="bottom"/>
            </w:pPr>
            <w:r>
              <w:rPr>
                <w:rFonts w:ascii="Arial" w:eastAsia="宋体" w:hAnsi="Arial" w:cs="Arial"/>
                <w:color w:val="000000"/>
                <w:sz w:val="20"/>
                <w:szCs w:val="20"/>
              </w:rPr>
              <w:t>17</w:t>
            </w:r>
          </w:p>
        </w:tc>
      </w:tr>
      <w:tr w:rsidR="00833634" w14:paraId="4090F9DE" w14:textId="77777777">
        <w:tc>
          <w:tcPr>
            <w:tcW w:w="0" w:type="auto"/>
            <w:gridSpan w:val="3"/>
            <w:shd w:val="clear" w:color="auto" w:fill="CCEEFF"/>
            <w:tcMar>
              <w:top w:w="40" w:type="dxa"/>
              <w:left w:w="20" w:type="dxa"/>
              <w:bottom w:w="40" w:type="dxa"/>
              <w:right w:w="20" w:type="dxa"/>
            </w:tcMar>
          </w:tcPr>
          <w:p w14:paraId="4090F9D6" w14:textId="77777777" w:rsidR="00833634" w:rsidRDefault="00E15D51">
            <w:pPr>
              <w:textAlignment w:val="top"/>
            </w:pPr>
            <w:r>
              <w:rPr>
                <w:rFonts w:ascii="Arial" w:eastAsia="宋体" w:hAnsi="Arial" w:cs="Arial"/>
                <w:color w:val="000000"/>
                <w:sz w:val="20"/>
                <w:szCs w:val="20"/>
              </w:rPr>
              <w:t>AH-64 Apache (Remanufactured)</w:t>
            </w:r>
          </w:p>
        </w:tc>
        <w:tc>
          <w:tcPr>
            <w:tcW w:w="0" w:type="auto"/>
            <w:gridSpan w:val="3"/>
            <w:shd w:val="clear" w:color="auto" w:fill="CCEEFF"/>
            <w:tcMar>
              <w:top w:w="40" w:type="dxa"/>
              <w:left w:w="20" w:type="dxa"/>
              <w:bottom w:w="40" w:type="dxa"/>
              <w:right w:w="20" w:type="dxa"/>
            </w:tcMar>
            <w:vAlign w:val="bottom"/>
          </w:tcPr>
          <w:p w14:paraId="4090F9D7" w14:textId="77777777" w:rsidR="00833634" w:rsidRDefault="00E15D51">
            <w:pPr>
              <w:jc w:val="right"/>
              <w:textAlignment w:val="bottom"/>
            </w:pPr>
            <w:r>
              <w:rPr>
                <w:rFonts w:ascii="Arial" w:eastAsia="宋体" w:hAnsi="Arial" w:cs="Arial"/>
                <w:b/>
                <w:bCs/>
                <w:color w:val="000000"/>
                <w:sz w:val="20"/>
                <w:szCs w:val="20"/>
              </w:rPr>
              <w:t>44</w:t>
            </w:r>
          </w:p>
        </w:tc>
        <w:tc>
          <w:tcPr>
            <w:tcW w:w="0" w:type="auto"/>
            <w:gridSpan w:val="3"/>
            <w:shd w:val="clear" w:color="auto" w:fill="CCEEFF"/>
            <w:tcMar>
              <w:top w:w="0" w:type="dxa"/>
              <w:left w:w="20" w:type="dxa"/>
              <w:bottom w:w="0" w:type="dxa"/>
              <w:right w:w="20" w:type="dxa"/>
            </w:tcMar>
          </w:tcPr>
          <w:p w14:paraId="4090F9D8"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D9" w14:textId="77777777" w:rsidR="00833634" w:rsidRDefault="00E15D51">
            <w:pPr>
              <w:jc w:val="right"/>
              <w:textAlignment w:val="bottom"/>
            </w:pPr>
            <w:r>
              <w:rPr>
                <w:rFonts w:ascii="Arial" w:eastAsia="宋体" w:hAnsi="Arial" w:cs="Arial"/>
                <w:color w:val="000000"/>
                <w:sz w:val="20"/>
                <w:szCs w:val="20"/>
              </w:rPr>
              <w:t>56</w:t>
            </w:r>
          </w:p>
        </w:tc>
        <w:tc>
          <w:tcPr>
            <w:tcW w:w="0" w:type="auto"/>
            <w:gridSpan w:val="3"/>
            <w:shd w:val="clear" w:color="auto" w:fill="CCEEFF"/>
            <w:tcMar>
              <w:top w:w="0" w:type="dxa"/>
              <w:left w:w="20" w:type="dxa"/>
              <w:bottom w:w="0" w:type="dxa"/>
              <w:right w:w="20" w:type="dxa"/>
            </w:tcMar>
          </w:tcPr>
          <w:p w14:paraId="4090F9DA"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DB" w14:textId="77777777" w:rsidR="00833634" w:rsidRDefault="00E15D51">
            <w:pPr>
              <w:jc w:val="right"/>
              <w:textAlignment w:val="bottom"/>
            </w:pPr>
            <w:r>
              <w:rPr>
                <w:rFonts w:ascii="Arial" w:eastAsia="宋体" w:hAnsi="Arial" w:cs="Arial"/>
                <w:b/>
                <w:bCs/>
                <w:color w:val="000000"/>
                <w:sz w:val="20"/>
                <w:szCs w:val="20"/>
              </w:rPr>
              <w:t>12</w:t>
            </w:r>
          </w:p>
        </w:tc>
        <w:tc>
          <w:tcPr>
            <w:tcW w:w="0" w:type="auto"/>
            <w:gridSpan w:val="3"/>
            <w:shd w:val="clear" w:color="auto" w:fill="CCEEFF"/>
            <w:tcMar>
              <w:top w:w="0" w:type="dxa"/>
              <w:left w:w="20" w:type="dxa"/>
              <w:bottom w:w="0" w:type="dxa"/>
              <w:right w:w="20" w:type="dxa"/>
            </w:tcMar>
          </w:tcPr>
          <w:p w14:paraId="4090F9DC"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DD" w14:textId="77777777" w:rsidR="00833634" w:rsidRDefault="00E15D51">
            <w:pPr>
              <w:jc w:val="right"/>
              <w:textAlignment w:val="bottom"/>
            </w:pPr>
            <w:r>
              <w:rPr>
                <w:rFonts w:ascii="Arial" w:eastAsia="宋体" w:hAnsi="Arial" w:cs="Arial"/>
                <w:color w:val="000000"/>
                <w:sz w:val="20"/>
                <w:szCs w:val="20"/>
              </w:rPr>
              <w:t>21</w:t>
            </w:r>
          </w:p>
        </w:tc>
      </w:tr>
      <w:tr w:rsidR="00833634" w14:paraId="4090F9E7" w14:textId="77777777">
        <w:trPr>
          <w:hidden/>
        </w:trPr>
        <w:tc>
          <w:tcPr>
            <w:tcW w:w="0" w:type="auto"/>
            <w:gridSpan w:val="3"/>
            <w:shd w:val="clear" w:color="auto" w:fill="auto"/>
          </w:tcPr>
          <w:p w14:paraId="4090F9DF" w14:textId="77777777" w:rsidR="00833634" w:rsidRDefault="00833634">
            <w:pPr>
              <w:rPr>
                <w:rFonts w:ascii="宋体"/>
                <w:vanish/>
              </w:rPr>
            </w:pPr>
          </w:p>
        </w:tc>
        <w:tc>
          <w:tcPr>
            <w:tcW w:w="0" w:type="auto"/>
            <w:gridSpan w:val="3"/>
            <w:shd w:val="clear" w:color="auto" w:fill="auto"/>
          </w:tcPr>
          <w:p w14:paraId="4090F9E0" w14:textId="77777777" w:rsidR="00833634" w:rsidRDefault="00833634">
            <w:pPr>
              <w:rPr>
                <w:rFonts w:ascii="宋体"/>
                <w:vanish/>
              </w:rPr>
            </w:pPr>
          </w:p>
        </w:tc>
        <w:tc>
          <w:tcPr>
            <w:tcW w:w="0" w:type="auto"/>
            <w:gridSpan w:val="3"/>
            <w:shd w:val="clear" w:color="auto" w:fill="auto"/>
          </w:tcPr>
          <w:p w14:paraId="4090F9E1" w14:textId="77777777" w:rsidR="00833634" w:rsidRDefault="00833634">
            <w:pPr>
              <w:rPr>
                <w:rFonts w:ascii="宋体"/>
                <w:vanish/>
              </w:rPr>
            </w:pPr>
          </w:p>
        </w:tc>
        <w:tc>
          <w:tcPr>
            <w:tcW w:w="0" w:type="auto"/>
            <w:gridSpan w:val="3"/>
            <w:shd w:val="clear" w:color="auto" w:fill="auto"/>
          </w:tcPr>
          <w:p w14:paraId="4090F9E2" w14:textId="77777777" w:rsidR="00833634" w:rsidRDefault="00833634">
            <w:pPr>
              <w:rPr>
                <w:rFonts w:ascii="宋体"/>
                <w:vanish/>
              </w:rPr>
            </w:pPr>
          </w:p>
        </w:tc>
        <w:tc>
          <w:tcPr>
            <w:tcW w:w="0" w:type="auto"/>
            <w:gridSpan w:val="3"/>
            <w:shd w:val="clear" w:color="auto" w:fill="auto"/>
          </w:tcPr>
          <w:p w14:paraId="4090F9E3" w14:textId="77777777" w:rsidR="00833634" w:rsidRDefault="00833634">
            <w:pPr>
              <w:rPr>
                <w:rFonts w:ascii="宋体"/>
                <w:vanish/>
              </w:rPr>
            </w:pPr>
          </w:p>
        </w:tc>
        <w:tc>
          <w:tcPr>
            <w:tcW w:w="0" w:type="auto"/>
            <w:gridSpan w:val="3"/>
            <w:shd w:val="clear" w:color="auto" w:fill="auto"/>
          </w:tcPr>
          <w:p w14:paraId="4090F9E4" w14:textId="77777777" w:rsidR="00833634" w:rsidRDefault="00833634">
            <w:pPr>
              <w:rPr>
                <w:rFonts w:ascii="宋体"/>
                <w:vanish/>
              </w:rPr>
            </w:pPr>
          </w:p>
        </w:tc>
        <w:tc>
          <w:tcPr>
            <w:tcW w:w="0" w:type="auto"/>
            <w:gridSpan w:val="3"/>
            <w:shd w:val="clear" w:color="auto" w:fill="auto"/>
          </w:tcPr>
          <w:p w14:paraId="4090F9E5" w14:textId="77777777" w:rsidR="00833634" w:rsidRDefault="00833634">
            <w:pPr>
              <w:rPr>
                <w:rFonts w:ascii="宋体"/>
                <w:vanish/>
              </w:rPr>
            </w:pPr>
          </w:p>
        </w:tc>
        <w:tc>
          <w:tcPr>
            <w:tcW w:w="0" w:type="auto"/>
            <w:gridSpan w:val="3"/>
            <w:shd w:val="clear" w:color="auto" w:fill="auto"/>
          </w:tcPr>
          <w:p w14:paraId="4090F9E6" w14:textId="77777777" w:rsidR="00833634" w:rsidRDefault="00833634">
            <w:pPr>
              <w:rPr>
                <w:rFonts w:ascii="宋体"/>
                <w:vanish/>
              </w:rPr>
            </w:pPr>
          </w:p>
        </w:tc>
      </w:tr>
      <w:tr w:rsidR="00833634" w14:paraId="4090F9F0" w14:textId="77777777">
        <w:tc>
          <w:tcPr>
            <w:tcW w:w="0" w:type="auto"/>
            <w:gridSpan w:val="3"/>
            <w:shd w:val="clear" w:color="auto" w:fill="FFFFFF"/>
            <w:tcMar>
              <w:top w:w="40" w:type="dxa"/>
              <w:left w:w="20" w:type="dxa"/>
              <w:bottom w:w="40" w:type="dxa"/>
              <w:right w:w="20" w:type="dxa"/>
            </w:tcMar>
          </w:tcPr>
          <w:p w14:paraId="4090F9E8" w14:textId="77777777" w:rsidR="00833634" w:rsidRDefault="00E15D51">
            <w:pPr>
              <w:textAlignment w:val="top"/>
            </w:pPr>
            <w:r>
              <w:rPr>
                <w:rFonts w:ascii="Arial" w:eastAsia="宋体" w:hAnsi="Arial" w:cs="Arial"/>
                <w:color w:val="000000"/>
                <w:sz w:val="20"/>
                <w:szCs w:val="20"/>
              </w:rPr>
              <w:t>P-8 Models</w:t>
            </w:r>
          </w:p>
        </w:tc>
        <w:tc>
          <w:tcPr>
            <w:tcW w:w="0" w:type="auto"/>
            <w:gridSpan w:val="3"/>
            <w:shd w:val="clear" w:color="auto" w:fill="FFFFFF"/>
            <w:tcMar>
              <w:top w:w="40" w:type="dxa"/>
              <w:left w:w="20" w:type="dxa"/>
              <w:bottom w:w="40" w:type="dxa"/>
              <w:right w:w="20" w:type="dxa"/>
            </w:tcMar>
            <w:vAlign w:val="bottom"/>
          </w:tcPr>
          <w:p w14:paraId="4090F9E9" w14:textId="77777777" w:rsidR="00833634" w:rsidRDefault="00E15D51">
            <w:pPr>
              <w:jc w:val="right"/>
              <w:textAlignment w:val="bottom"/>
            </w:pPr>
            <w:r>
              <w:rPr>
                <w:rFonts w:ascii="Arial" w:eastAsia="宋体" w:hAnsi="Arial" w:cs="Arial"/>
                <w:b/>
                <w:bCs/>
                <w:color w:val="000000"/>
                <w:sz w:val="20"/>
                <w:szCs w:val="20"/>
              </w:rPr>
              <w:t>9</w:t>
            </w:r>
          </w:p>
        </w:tc>
        <w:tc>
          <w:tcPr>
            <w:tcW w:w="0" w:type="auto"/>
            <w:gridSpan w:val="3"/>
            <w:shd w:val="clear" w:color="auto" w:fill="FFFFFF"/>
            <w:tcMar>
              <w:top w:w="0" w:type="dxa"/>
              <w:left w:w="20" w:type="dxa"/>
              <w:bottom w:w="0" w:type="dxa"/>
              <w:right w:w="20" w:type="dxa"/>
            </w:tcMar>
          </w:tcPr>
          <w:p w14:paraId="4090F9EA"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EB" w14:textId="77777777" w:rsidR="00833634" w:rsidRDefault="00E15D51">
            <w:pPr>
              <w:jc w:val="right"/>
              <w:textAlignment w:val="bottom"/>
            </w:pPr>
            <w:r>
              <w:rPr>
                <w:rFonts w:ascii="Arial" w:eastAsia="宋体" w:hAnsi="Arial" w:cs="Arial"/>
                <w:color w:val="000000"/>
                <w:sz w:val="20"/>
                <w:szCs w:val="20"/>
              </w:rPr>
              <w:t>14</w:t>
            </w:r>
          </w:p>
        </w:tc>
        <w:tc>
          <w:tcPr>
            <w:tcW w:w="0" w:type="auto"/>
            <w:gridSpan w:val="3"/>
            <w:shd w:val="clear" w:color="auto" w:fill="FFFFFF"/>
            <w:tcMar>
              <w:top w:w="0" w:type="dxa"/>
              <w:left w:w="20" w:type="dxa"/>
              <w:bottom w:w="0" w:type="dxa"/>
              <w:right w:w="20" w:type="dxa"/>
            </w:tcMar>
          </w:tcPr>
          <w:p w14:paraId="4090F9EC"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ED" w14:textId="77777777" w:rsidR="00833634" w:rsidRDefault="00E15D51">
            <w:pPr>
              <w:jc w:val="right"/>
              <w:textAlignment w:val="bottom"/>
            </w:pPr>
            <w:r>
              <w:rPr>
                <w:rFonts w:ascii="Arial" w:eastAsia="宋体" w:hAnsi="Arial" w:cs="Arial"/>
                <w:b/>
                <w:bCs/>
                <w:color w:val="000000"/>
                <w:sz w:val="20"/>
                <w:szCs w:val="20"/>
              </w:rPr>
              <w:t>3</w:t>
            </w:r>
          </w:p>
        </w:tc>
        <w:tc>
          <w:tcPr>
            <w:tcW w:w="0" w:type="auto"/>
            <w:gridSpan w:val="3"/>
            <w:shd w:val="clear" w:color="auto" w:fill="FFFFFF"/>
            <w:tcMar>
              <w:top w:w="0" w:type="dxa"/>
              <w:left w:w="20" w:type="dxa"/>
              <w:bottom w:w="0" w:type="dxa"/>
              <w:right w:w="20" w:type="dxa"/>
            </w:tcMar>
          </w:tcPr>
          <w:p w14:paraId="4090F9EE"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EF" w14:textId="77777777" w:rsidR="00833634" w:rsidRDefault="00E15D51">
            <w:pPr>
              <w:jc w:val="right"/>
              <w:textAlignment w:val="bottom"/>
            </w:pPr>
            <w:r>
              <w:rPr>
                <w:rFonts w:ascii="Arial" w:eastAsia="宋体" w:hAnsi="Arial" w:cs="Arial"/>
                <w:color w:val="000000"/>
                <w:sz w:val="20"/>
                <w:szCs w:val="20"/>
              </w:rPr>
              <w:t>6</w:t>
            </w:r>
          </w:p>
        </w:tc>
      </w:tr>
      <w:tr w:rsidR="00833634" w14:paraId="4090F9F9" w14:textId="77777777">
        <w:tc>
          <w:tcPr>
            <w:tcW w:w="0" w:type="auto"/>
            <w:gridSpan w:val="3"/>
            <w:shd w:val="clear" w:color="auto" w:fill="CCEEFF"/>
            <w:tcMar>
              <w:top w:w="40" w:type="dxa"/>
              <w:left w:w="20" w:type="dxa"/>
              <w:bottom w:w="40" w:type="dxa"/>
              <w:right w:w="20" w:type="dxa"/>
            </w:tcMar>
          </w:tcPr>
          <w:p w14:paraId="4090F9F1" w14:textId="77777777" w:rsidR="00833634" w:rsidRDefault="00E15D51">
            <w:pPr>
              <w:textAlignment w:val="top"/>
            </w:pPr>
            <w:r>
              <w:rPr>
                <w:rFonts w:ascii="Arial" w:eastAsia="宋体" w:hAnsi="Arial" w:cs="Arial"/>
                <w:color w:val="000000"/>
                <w:sz w:val="20"/>
                <w:szCs w:val="20"/>
              </w:rPr>
              <w:t>KC-46A Tanker</w:t>
            </w:r>
          </w:p>
        </w:tc>
        <w:tc>
          <w:tcPr>
            <w:tcW w:w="0" w:type="auto"/>
            <w:gridSpan w:val="3"/>
            <w:shd w:val="clear" w:color="auto" w:fill="CCEEFF"/>
            <w:tcMar>
              <w:top w:w="40" w:type="dxa"/>
              <w:left w:w="20" w:type="dxa"/>
              <w:bottom w:w="40" w:type="dxa"/>
              <w:right w:w="20" w:type="dxa"/>
            </w:tcMar>
            <w:vAlign w:val="bottom"/>
          </w:tcPr>
          <w:p w14:paraId="4090F9F2" w14:textId="77777777" w:rsidR="00833634" w:rsidRDefault="00E15D51">
            <w:pPr>
              <w:jc w:val="right"/>
              <w:textAlignment w:val="bottom"/>
            </w:pPr>
            <w:r>
              <w:rPr>
                <w:rFonts w:ascii="Arial" w:eastAsia="宋体" w:hAnsi="Arial" w:cs="Arial"/>
                <w:b/>
                <w:bCs/>
                <w:color w:val="000000"/>
                <w:sz w:val="20"/>
                <w:szCs w:val="20"/>
              </w:rPr>
              <w:t>10</w:t>
            </w:r>
          </w:p>
        </w:tc>
        <w:tc>
          <w:tcPr>
            <w:tcW w:w="0" w:type="auto"/>
            <w:gridSpan w:val="3"/>
            <w:shd w:val="clear" w:color="auto" w:fill="CCEEFF"/>
            <w:tcMar>
              <w:top w:w="0" w:type="dxa"/>
              <w:left w:w="20" w:type="dxa"/>
              <w:bottom w:w="0" w:type="dxa"/>
              <w:right w:w="20" w:type="dxa"/>
            </w:tcMar>
          </w:tcPr>
          <w:p w14:paraId="4090F9F3"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F4" w14:textId="77777777" w:rsidR="00833634" w:rsidRDefault="00E15D51">
            <w:pPr>
              <w:jc w:val="right"/>
              <w:textAlignment w:val="bottom"/>
            </w:pPr>
            <w:r>
              <w:rPr>
                <w:rFonts w:ascii="Arial" w:eastAsia="宋体" w:hAnsi="Arial" w:cs="Arial"/>
                <w:color w:val="000000"/>
                <w:sz w:val="20"/>
                <w:szCs w:val="20"/>
              </w:rPr>
              <w:t>21</w:t>
            </w:r>
          </w:p>
        </w:tc>
        <w:tc>
          <w:tcPr>
            <w:tcW w:w="0" w:type="auto"/>
            <w:gridSpan w:val="3"/>
            <w:shd w:val="clear" w:color="auto" w:fill="CCEEFF"/>
            <w:tcMar>
              <w:top w:w="0" w:type="dxa"/>
              <w:left w:w="20" w:type="dxa"/>
              <w:bottom w:w="0" w:type="dxa"/>
              <w:right w:w="20" w:type="dxa"/>
            </w:tcMar>
          </w:tcPr>
          <w:p w14:paraId="4090F9F5"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F6" w14:textId="77777777" w:rsidR="00833634" w:rsidRDefault="00E15D51">
            <w:pPr>
              <w:jc w:val="right"/>
              <w:textAlignment w:val="bottom"/>
            </w:pPr>
            <w:r>
              <w:rPr>
                <w:rFonts w:ascii="Arial" w:eastAsia="宋体" w:hAnsi="Arial" w:cs="Arial"/>
                <w:b/>
                <w:bCs/>
                <w:color w:val="000000"/>
                <w:sz w:val="20"/>
                <w:szCs w:val="20"/>
              </w:rPr>
              <w:t>4</w:t>
            </w:r>
          </w:p>
        </w:tc>
        <w:tc>
          <w:tcPr>
            <w:tcW w:w="0" w:type="auto"/>
            <w:gridSpan w:val="3"/>
            <w:shd w:val="clear" w:color="auto" w:fill="CCEEFF"/>
            <w:tcMar>
              <w:top w:w="0" w:type="dxa"/>
              <w:left w:w="20" w:type="dxa"/>
              <w:bottom w:w="0" w:type="dxa"/>
              <w:right w:w="20" w:type="dxa"/>
            </w:tcMar>
          </w:tcPr>
          <w:p w14:paraId="4090F9F7" w14:textId="77777777" w:rsidR="00833634" w:rsidRDefault="00833634">
            <w:pPr>
              <w:rPr>
                <w:rFonts w:ascii="宋体"/>
              </w:rPr>
            </w:pPr>
          </w:p>
        </w:tc>
        <w:tc>
          <w:tcPr>
            <w:tcW w:w="0" w:type="auto"/>
            <w:gridSpan w:val="3"/>
            <w:shd w:val="clear" w:color="auto" w:fill="CCEEFF"/>
            <w:tcMar>
              <w:top w:w="40" w:type="dxa"/>
              <w:left w:w="20" w:type="dxa"/>
              <w:bottom w:w="40" w:type="dxa"/>
              <w:right w:w="20" w:type="dxa"/>
            </w:tcMar>
            <w:vAlign w:val="bottom"/>
          </w:tcPr>
          <w:p w14:paraId="4090F9F8" w14:textId="77777777" w:rsidR="00833634" w:rsidRDefault="00E15D51">
            <w:pPr>
              <w:jc w:val="right"/>
              <w:textAlignment w:val="bottom"/>
            </w:pPr>
            <w:r>
              <w:rPr>
                <w:rFonts w:ascii="Arial" w:eastAsia="宋体" w:hAnsi="Arial" w:cs="Arial"/>
                <w:color w:val="000000"/>
                <w:sz w:val="20"/>
                <w:szCs w:val="20"/>
              </w:rPr>
              <w:t>9</w:t>
            </w:r>
          </w:p>
        </w:tc>
      </w:tr>
      <w:tr w:rsidR="00833634" w14:paraId="4090FA02" w14:textId="77777777">
        <w:tc>
          <w:tcPr>
            <w:tcW w:w="0" w:type="auto"/>
            <w:gridSpan w:val="3"/>
            <w:shd w:val="clear" w:color="auto" w:fill="FFFFFF"/>
            <w:tcMar>
              <w:top w:w="40" w:type="dxa"/>
              <w:left w:w="20" w:type="dxa"/>
              <w:bottom w:w="40" w:type="dxa"/>
              <w:right w:w="20" w:type="dxa"/>
            </w:tcMar>
          </w:tcPr>
          <w:p w14:paraId="4090F9FA" w14:textId="77777777" w:rsidR="00833634" w:rsidRDefault="00E15D51">
            <w:pPr>
              <w:textAlignment w:val="top"/>
            </w:pPr>
            <w:r>
              <w:rPr>
                <w:rFonts w:ascii="Arial" w:eastAsia="宋体" w:hAnsi="Arial" w:cs="Arial"/>
                <w:color w:val="000000"/>
                <w:sz w:val="20"/>
                <w:szCs w:val="20"/>
              </w:rPr>
              <w:t>C-40A</w:t>
            </w:r>
          </w:p>
        </w:tc>
        <w:tc>
          <w:tcPr>
            <w:tcW w:w="0" w:type="auto"/>
            <w:gridSpan w:val="3"/>
            <w:shd w:val="clear" w:color="auto" w:fill="FFFFFF"/>
            <w:tcMar>
              <w:top w:w="0" w:type="dxa"/>
              <w:left w:w="20" w:type="dxa"/>
              <w:bottom w:w="0" w:type="dxa"/>
              <w:right w:w="20" w:type="dxa"/>
            </w:tcMar>
          </w:tcPr>
          <w:p w14:paraId="4090F9F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9FC"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9FD" w14:textId="77777777" w:rsidR="00833634" w:rsidRDefault="00E15D51">
            <w:pPr>
              <w:jc w:val="right"/>
              <w:textAlignment w:val="bottom"/>
            </w:pPr>
            <w:r>
              <w:rPr>
                <w:rFonts w:ascii="Arial" w:eastAsia="宋体" w:hAnsi="Arial" w:cs="Arial"/>
                <w:color w:val="000000"/>
                <w:sz w:val="20"/>
                <w:szCs w:val="20"/>
              </w:rPr>
              <w:t>2</w:t>
            </w:r>
          </w:p>
        </w:tc>
        <w:tc>
          <w:tcPr>
            <w:tcW w:w="0" w:type="auto"/>
            <w:gridSpan w:val="3"/>
            <w:shd w:val="clear" w:color="auto" w:fill="FFFFFF"/>
            <w:tcMar>
              <w:top w:w="0" w:type="dxa"/>
              <w:left w:w="20" w:type="dxa"/>
              <w:bottom w:w="0" w:type="dxa"/>
              <w:right w:w="20" w:type="dxa"/>
            </w:tcMar>
          </w:tcPr>
          <w:p w14:paraId="4090F9F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9F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A00" w14:textId="77777777" w:rsidR="00833634" w:rsidRDefault="00833634">
            <w:pPr>
              <w:rPr>
                <w:rFonts w:ascii="宋体"/>
              </w:rPr>
            </w:pPr>
          </w:p>
        </w:tc>
        <w:tc>
          <w:tcPr>
            <w:tcW w:w="0" w:type="auto"/>
            <w:gridSpan w:val="3"/>
            <w:shd w:val="clear" w:color="auto" w:fill="FFFFFF"/>
            <w:tcMar>
              <w:top w:w="40" w:type="dxa"/>
              <w:left w:w="20" w:type="dxa"/>
              <w:bottom w:w="40" w:type="dxa"/>
              <w:right w:w="20" w:type="dxa"/>
            </w:tcMar>
            <w:vAlign w:val="bottom"/>
          </w:tcPr>
          <w:p w14:paraId="4090FA01" w14:textId="77777777" w:rsidR="00833634" w:rsidRDefault="00E15D51">
            <w:pPr>
              <w:jc w:val="right"/>
              <w:textAlignment w:val="bottom"/>
            </w:pPr>
            <w:r>
              <w:rPr>
                <w:rFonts w:ascii="Arial" w:eastAsia="宋体" w:hAnsi="Arial" w:cs="Arial"/>
                <w:color w:val="000000"/>
                <w:sz w:val="20"/>
                <w:szCs w:val="20"/>
              </w:rPr>
              <w:t>2</w:t>
            </w:r>
          </w:p>
        </w:tc>
      </w:tr>
      <w:tr w:rsidR="00833634" w14:paraId="4090FA0B" w14:textId="77777777">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FA03" w14:textId="77777777" w:rsidR="00833634" w:rsidRDefault="00E15D51">
            <w:pPr>
              <w:textAlignment w:val="bottom"/>
            </w:pPr>
            <w:r>
              <w:rPr>
                <w:rFonts w:ascii="Arial" w:eastAsia="宋体" w:hAnsi="Arial" w:cs="Arial"/>
                <w:color w:val="000000"/>
                <w:sz w:val="20"/>
                <w:szCs w:val="20"/>
              </w:rPr>
              <w:t>Total</w:t>
            </w: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FA04" w14:textId="77777777" w:rsidR="00833634" w:rsidRDefault="00E15D51">
            <w:pPr>
              <w:jc w:val="right"/>
              <w:textAlignment w:val="bottom"/>
            </w:pPr>
            <w:r>
              <w:rPr>
                <w:rFonts w:ascii="Arial" w:eastAsia="宋体" w:hAnsi="Arial" w:cs="Arial"/>
                <w:b/>
                <w:bCs/>
                <w:color w:val="000000"/>
                <w:sz w:val="20"/>
                <w:szCs w:val="20"/>
              </w:rPr>
              <w:t>120</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A05"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FA06" w14:textId="77777777" w:rsidR="00833634" w:rsidRDefault="00E15D51">
            <w:pPr>
              <w:jc w:val="right"/>
              <w:textAlignment w:val="bottom"/>
            </w:pPr>
            <w:r>
              <w:rPr>
                <w:rFonts w:ascii="Arial" w:eastAsia="宋体" w:hAnsi="Arial" w:cs="Arial"/>
                <w:color w:val="000000"/>
                <w:sz w:val="20"/>
                <w:szCs w:val="20"/>
              </w:rPr>
              <w:t>173</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A07"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FA08" w14:textId="77777777" w:rsidR="00833634" w:rsidRDefault="00E15D51">
            <w:pPr>
              <w:jc w:val="right"/>
              <w:textAlignment w:val="bottom"/>
            </w:pPr>
            <w:r>
              <w:rPr>
                <w:rFonts w:ascii="Arial" w:eastAsia="宋体" w:hAnsi="Arial" w:cs="Arial"/>
                <w:b/>
                <w:bCs/>
                <w:color w:val="000000"/>
                <w:sz w:val="20"/>
                <w:szCs w:val="20"/>
              </w:rPr>
              <w:t>37</w:t>
            </w: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tcPr>
          <w:p w14:paraId="4090FA09"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CCEEFF"/>
            <w:tcMar>
              <w:top w:w="40" w:type="dxa"/>
              <w:left w:w="20" w:type="dxa"/>
              <w:bottom w:w="40" w:type="dxa"/>
              <w:right w:w="20" w:type="dxa"/>
            </w:tcMar>
            <w:vAlign w:val="bottom"/>
          </w:tcPr>
          <w:p w14:paraId="4090FA0A" w14:textId="77777777" w:rsidR="00833634" w:rsidRDefault="00E15D51">
            <w:pPr>
              <w:jc w:val="right"/>
              <w:textAlignment w:val="bottom"/>
            </w:pPr>
            <w:r>
              <w:rPr>
                <w:rFonts w:ascii="Arial" w:eastAsia="宋体" w:hAnsi="Arial" w:cs="Arial"/>
                <w:color w:val="000000"/>
                <w:sz w:val="20"/>
                <w:szCs w:val="20"/>
              </w:rPr>
              <w:t>77</w:t>
            </w:r>
          </w:p>
        </w:tc>
      </w:tr>
    </w:tbl>
    <w:p w14:paraId="4090FA0C" w14:textId="77777777" w:rsidR="00833634" w:rsidRDefault="00E15D51">
      <w:pPr>
        <w:spacing w:after="180"/>
        <w:jc w:val="center"/>
      </w:pPr>
      <w:r>
        <w:rPr>
          <w:rFonts w:ascii="Arial" w:eastAsia="宋体" w:hAnsi="Arial" w:cs="Arial"/>
          <w:color w:val="000000"/>
          <w:sz w:val="18"/>
          <w:szCs w:val="18"/>
        </w:rPr>
        <w:t>51</w:t>
      </w:r>
    </w:p>
    <w:p w14:paraId="4090FA0D" w14:textId="77777777" w:rsidR="00833634" w:rsidRDefault="00E15D51">
      <w:r>
        <w:pict w14:anchorId="4090FE53">
          <v:rect id="_x0000_i1077" style="width:415.3pt;height:1.5pt" o:hralign="center" o:hrstd="t" o:hr="t" fillcolor="#a0a0a0" stroked="f"/>
        </w:pict>
      </w:r>
    </w:p>
    <w:p w14:paraId="4090FA0E" w14:textId="77777777" w:rsidR="00833634" w:rsidRDefault="00E15D51">
      <w:pPr>
        <w:spacing w:after="180"/>
        <w:jc w:val="both"/>
      </w:pPr>
      <w:hyperlink r:id="rId154" w:anchor="i8d805bfb1e1c4815a1dcd5b6d1e0b117_10" w:history="1">
        <w:r>
          <w:rPr>
            <w:rStyle w:val="a5"/>
            <w:rFonts w:ascii="Arial" w:eastAsia="宋体" w:hAnsi="Arial" w:cs="Arial"/>
            <w:sz w:val="18"/>
            <w:szCs w:val="18"/>
          </w:rPr>
          <w:t>Table of Contents</w:t>
        </w:r>
      </w:hyperlink>
    </w:p>
    <w:p w14:paraId="4090FA0F" w14:textId="77777777" w:rsidR="00833634" w:rsidRDefault="00E15D51">
      <w:pPr>
        <w:spacing w:after="180"/>
        <w:jc w:val="both"/>
      </w:pPr>
      <w:r>
        <w:rPr>
          <w:rFonts w:ascii="Arial" w:eastAsia="宋体" w:hAnsi="Arial" w:cs="Arial"/>
          <w:b/>
          <w:bCs/>
          <w:color w:val="000000"/>
          <w:sz w:val="20"/>
          <w:szCs w:val="20"/>
        </w:rPr>
        <w:t>Revenues</w:t>
      </w:r>
    </w:p>
    <w:p w14:paraId="4090FA10" w14:textId="77777777" w:rsidR="00833634" w:rsidRDefault="00E15D51">
      <w:pPr>
        <w:spacing w:after="180"/>
        <w:jc w:val="both"/>
      </w:pPr>
      <w:r>
        <w:rPr>
          <w:rFonts w:ascii="Arial" w:eastAsia="宋体" w:hAnsi="Arial" w:cs="Arial"/>
          <w:color w:val="000000"/>
          <w:sz w:val="20"/>
          <w:szCs w:val="20"/>
        </w:rPr>
        <w:t>BDS revenues for the nine months ended September 30, 2020 decreased by $690 m</w:t>
      </w:r>
      <w:r>
        <w:rPr>
          <w:rFonts w:ascii="Arial" w:eastAsia="宋体" w:hAnsi="Arial" w:cs="Arial"/>
          <w:color w:val="000000"/>
          <w:sz w:val="20"/>
          <w:szCs w:val="20"/>
        </w:rPr>
        <w:t>illion compared with the same period in 2019, primarily due to the unfavorable impact of cumulative contract catch-up adjustments for the nine months ended September 30, 2020, which was $485 million higher than the comparable period in the prior year large</w:t>
      </w:r>
      <w:r>
        <w:rPr>
          <w:rFonts w:ascii="Arial" w:eastAsia="宋体" w:hAnsi="Arial" w:cs="Arial"/>
          <w:color w:val="000000"/>
          <w:sz w:val="20"/>
          <w:szCs w:val="20"/>
        </w:rPr>
        <w:t>ly due to the KC-46A Tanker charges in the first quarter of 2020. Additional decreases to revenues include those related to a KC-46A Tanker lot award in the third quarter of 2019, in addition to lower KC-46A Tanker and P-8 volume due to COVID-19 disruption</w:t>
      </w:r>
      <w:r>
        <w:rPr>
          <w:rFonts w:ascii="Arial" w:eastAsia="宋体" w:hAnsi="Arial" w:cs="Arial"/>
          <w:color w:val="000000"/>
          <w:sz w:val="20"/>
          <w:szCs w:val="20"/>
        </w:rPr>
        <w:t>s, partially offset by higher fighter aircraft volume.</w:t>
      </w:r>
    </w:p>
    <w:p w14:paraId="4090FA11" w14:textId="77777777" w:rsidR="00833634" w:rsidRDefault="00E15D51">
      <w:pPr>
        <w:spacing w:after="180"/>
        <w:jc w:val="both"/>
      </w:pPr>
      <w:r>
        <w:rPr>
          <w:rFonts w:ascii="Arial" w:eastAsia="宋体" w:hAnsi="Arial" w:cs="Arial"/>
          <w:color w:val="000000"/>
          <w:sz w:val="20"/>
          <w:szCs w:val="20"/>
        </w:rPr>
        <w:t>BDS revenues for the three months ended September 30, 2020 decreased by $154 million compared with the same period in 2019 primarily due to a KC-46A Tanker lot award in the third quarter of 2019, parti</w:t>
      </w:r>
      <w:r>
        <w:rPr>
          <w:rFonts w:ascii="Arial" w:eastAsia="宋体" w:hAnsi="Arial" w:cs="Arial"/>
          <w:color w:val="000000"/>
          <w:sz w:val="20"/>
          <w:szCs w:val="20"/>
        </w:rPr>
        <w:t>ally offset by higher fighter volume. In addition, the net cumulative contract catch-up adjustments for the three months ended September 30, 2020 were $40 million more unfavorable than the comparable period in the prior year reflecting higher unfavorable a</w:t>
      </w:r>
      <w:r>
        <w:rPr>
          <w:rFonts w:ascii="Arial" w:eastAsia="宋体" w:hAnsi="Arial" w:cs="Arial"/>
          <w:color w:val="000000"/>
          <w:sz w:val="20"/>
          <w:szCs w:val="20"/>
        </w:rPr>
        <w:t>djustments compared to the prior period.</w:t>
      </w:r>
    </w:p>
    <w:p w14:paraId="4090FA12" w14:textId="77777777" w:rsidR="00833634" w:rsidRDefault="00E15D51">
      <w:pPr>
        <w:spacing w:after="180"/>
        <w:jc w:val="both"/>
      </w:pPr>
      <w:r>
        <w:rPr>
          <w:rFonts w:ascii="Arial" w:eastAsia="宋体" w:hAnsi="Arial" w:cs="Arial"/>
          <w:b/>
          <w:bCs/>
          <w:color w:val="000000"/>
          <w:sz w:val="20"/>
          <w:szCs w:val="20"/>
        </w:rPr>
        <w:t>Earnings From Operations</w:t>
      </w:r>
    </w:p>
    <w:p w14:paraId="4090FA13" w14:textId="77777777" w:rsidR="00833634" w:rsidRDefault="00E15D51">
      <w:pPr>
        <w:spacing w:after="180"/>
        <w:jc w:val="both"/>
      </w:pPr>
      <w:r>
        <w:rPr>
          <w:rFonts w:ascii="Arial" w:eastAsia="宋体" w:hAnsi="Arial" w:cs="Arial"/>
          <w:color w:val="000000"/>
          <w:sz w:val="20"/>
          <w:szCs w:val="20"/>
        </w:rPr>
        <w:t>BDS earnings from operations for the nine months ended September 30, 2020 decreased by $1,544 million compared with the same period in 2019, primarily due to the unfavorable impact of cumula</w:t>
      </w:r>
      <w:r>
        <w:rPr>
          <w:rFonts w:ascii="Arial" w:eastAsia="宋体" w:hAnsi="Arial" w:cs="Arial"/>
          <w:color w:val="000000"/>
          <w:sz w:val="20"/>
          <w:szCs w:val="20"/>
        </w:rPr>
        <w:t xml:space="preserve">tive contract catch-up adjustments for the nine months ended September 30, 2020, which were $978 million higher than the prior year primarily due to charges of $1,045 million on KC-46A Tanker and $168 million on VC-25B. The lower earnings were also driven </w:t>
      </w:r>
      <w:r>
        <w:rPr>
          <w:rFonts w:ascii="Arial" w:eastAsia="宋体" w:hAnsi="Arial" w:cs="Arial"/>
          <w:color w:val="000000"/>
          <w:sz w:val="20"/>
          <w:szCs w:val="20"/>
        </w:rPr>
        <w:t>by lower gains on property sales compared to the same period in 2019 and lower equity earnings for our ULA joint venture. The KC-46A Tanker reach-forward loss reflects $551 million of costs associated with the agreement signed in April 2020 with the U.S. A</w:t>
      </w:r>
      <w:r>
        <w:rPr>
          <w:rFonts w:ascii="Arial" w:eastAsia="宋体" w:hAnsi="Arial" w:cs="Arial"/>
          <w:color w:val="000000"/>
          <w:sz w:val="20"/>
          <w:szCs w:val="20"/>
        </w:rPr>
        <w:t>ir Force to develop and integrate a new Remote Vision System, and the remaining costs reflect productivity inefficiencies and COVID-19 related factory disruption. The reach-forward loss on VC-25B was associated with engineering inefficiencies from the COVI</w:t>
      </w:r>
      <w:r>
        <w:rPr>
          <w:rFonts w:ascii="Arial" w:eastAsia="宋体" w:hAnsi="Arial" w:cs="Arial"/>
          <w:color w:val="000000"/>
          <w:sz w:val="20"/>
          <w:szCs w:val="20"/>
        </w:rPr>
        <w:t>D-19 environment. We believe these inefficiencies will result in staffing challenges, schedule inefficiencies, and higher costs in the upcoming phases of the program.</w:t>
      </w:r>
    </w:p>
    <w:p w14:paraId="4090FA14" w14:textId="77777777" w:rsidR="00833634" w:rsidRDefault="00E15D51">
      <w:pPr>
        <w:spacing w:after="180"/>
        <w:jc w:val="both"/>
      </w:pPr>
      <w:r>
        <w:rPr>
          <w:rFonts w:ascii="Arial" w:eastAsia="宋体" w:hAnsi="Arial" w:cs="Arial"/>
          <w:color w:val="000000"/>
          <w:sz w:val="20"/>
          <w:szCs w:val="20"/>
        </w:rPr>
        <w:t>BDS earnings from operations for the three months ended September 30, 2020 decreased by $</w:t>
      </w:r>
      <w:r>
        <w:rPr>
          <w:rFonts w:ascii="Arial" w:eastAsia="宋体" w:hAnsi="Arial" w:cs="Arial"/>
          <w:color w:val="000000"/>
          <w:sz w:val="20"/>
          <w:szCs w:val="20"/>
        </w:rPr>
        <w:t>126 million compared with the same period in 2019, primarily due to the unfavorable impact of cumulative contract catch-up adjustments for the three months ended September 30, 2020, which were $118 million more unfavorable than the prior year, reflecting a</w:t>
      </w:r>
      <w:r>
        <w:rPr>
          <w:rFonts w:ascii="Arial" w:eastAsia="宋体" w:hAnsi="Arial" w:cs="Arial"/>
          <w:color w:val="000000"/>
          <w:sz w:val="20"/>
          <w:szCs w:val="20"/>
        </w:rPr>
        <w:t xml:space="preserve"> $67 million charge on KC-46A Tanker during the third quarter of 2020 as the program continues to be adversely affected by productivity inefficiencies and COVID-19 related factory disruption.</w:t>
      </w:r>
    </w:p>
    <w:p w14:paraId="4090FA15" w14:textId="77777777" w:rsidR="00833634" w:rsidRDefault="00E15D51">
      <w:pPr>
        <w:spacing w:after="180"/>
        <w:jc w:val="both"/>
      </w:pPr>
      <w:r>
        <w:rPr>
          <w:rFonts w:ascii="Arial" w:eastAsia="宋体" w:hAnsi="Arial" w:cs="Arial"/>
          <w:color w:val="000000"/>
          <w:sz w:val="20"/>
          <w:szCs w:val="20"/>
        </w:rPr>
        <w:t>BDS earnings from operations includes equity earnings of $45 mil</w:t>
      </w:r>
      <w:r>
        <w:rPr>
          <w:rFonts w:ascii="Arial" w:eastAsia="宋体" w:hAnsi="Arial" w:cs="Arial"/>
          <w:color w:val="000000"/>
          <w:sz w:val="20"/>
          <w:szCs w:val="20"/>
        </w:rPr>
        <w:t>lion and $10 million for the nine and three months ended September 30, 2020 compared to $125 million and $60 million for the same periods in 2019. The year over year variance reflects lower earnings from our United Launch Alliance joint venture.</w:t>
      </w:r>
    </w:p>
    <w:p w14:paraId="4090FA16" w14:textId="77777777" w:rsidR="00833634" w:rsidRDefault="00E15D51">
      <w:pPr>
        <w:spacing w:after="180"/>
        <w:jc w:val="both"/>
      </w:pPr>
      <w:r>
        <w:rPr>
          <w:rFonts w:ascii="Arial" w:eastAsia="宋体" w:hAnsi="Arial" w:cs="Arial"/>
          <w:b/>
          <w:bCs/>
          <w:color w:val="000000"/>
          <w:sz w:val="20"/>
          <w:szCs w:val="20"/>
        </w:rPr>
        <w:t>Backlog</w:t>
      </w:r>
    </w:p>
    <w:p w14:paraId="4090FA17" w14:textId="77777777" w:rsidR="00833634" w:rsidRDefault="00E15D51">
      <w:pPr>
        <w:spacing w:after="180"/>
        <w:jc w:val="both"/>
      </w:pPr>
      <w:r>
        <w:rPr>
          <w:rFonts w:ascii="Arial" w:eastAsia="宋体" w:hAnsi="Arial" w:cs="Arial"/>
          <w:color w:val="000000"/>
          <w:sz w:val="20"/>
          <w:szCs w:val="20"/>
        </w:rPr>
        <w:t>To</w:t>
      </w:r>
      <w:r>
        <w:rPr>
          <w:rFonts w:ascii="Arial" w:eastAsia="宋体" w:hAnsi="Arial" w:cs="Arial"/>
          <w:color w:val="000000"/>
          <w:sz w:val="20"/>
          <w:szCs w:val="20"/>
        </w:rPr>
        <w:t>tal backlog of $62,375 million at September 30, 2020 was largely unchanged from December 31, 2019.</w:t>
      </w:r>
    </w:p>
    <w:p w14:paraId="4090FA18" w14:textId="77777777" w:rsidR="00833634" w:rsidRDefault="00E15D51">
      <w:pPr>
        <w:spacing w:after="180"/>
        <w:jc w:val="both"/>
      </w:pPr>
      <w:r>
        <w:rPr>
          <w:rFonts w:ascii="Arial" w:eastAsia="宋体" w:hAnsi="Arial" w:cs="Arial"/>
          <w:b/>
          <w:bCs/>
          <w:color w:val="000000"/>
          <w:sz w:val="20"/>
          <w:szCs w:val="20"/>
        </w:rPr>
        <w:t>Additional Considerations</w:t>
      </w:r>
    </w:p>
    <w:p w14:paraId="4090FA19" w14:textId="77777777" w:rsidR="00833634" w:rsidRDefault="00E15D51">
      <w:pPr>
        <w:spacing w:after="180"/>
        <w:jc w:val="both"/>
      </w:pPr>
      <w:r>
        <w:rPr>
          <w:rFonts w:ascii="Arial" w:eastAsia="宋体" w:hAnsi="Arial" w:cs="Arial"/>
          <w:color w:val="000000"/>
          <w:sz w:val="20"/>
          <w:szCs w:val="20"/>
        </w:rPr>
        <w:t>Our BDS business includes a variety of development programs which have complex design and technical challenges. Many of these progr</w:t>
      </w:r>
      <w:r>
        <w:rPr>
          <w:rFonts w:ascii="Arial" w:eastAsia="宋体" w:hAnsi="Arial" w:cs="Arial"/>
          <w:color w:val="000000"/>
          <w:sz w:val="20"/>
          <w:szCs w:val="20"/>
        </w:rPr>
        <w:t>ams have cost-type contracting arrangements. In these cases, the associated financial risks are primarily in reduced fees, lower profit rates or program cancellation if cost, schedule or technical performance issues arise. Examples of these programs includ</w:t>
      </w:r>
      <w:r>
        <w:rPr>
          <w:rFonts w:ascii="Arial" w:eastAsia="宋体" w:hAnsi="Arial" w:cs="Arial"/>
          <w:color w:val="000000"/>
          <w:sz w:val="20"/>
          <w:szCs w:val="20"/>
        </w:rPr>
        <w:t>e Ground-based Midcourse Defense, Proprietary and Space Launch System programs.</w:t>
      </w:r>
    </w:p>
    <w:p w14:paraId="4090FA1A" w14:textId="77777777" w:rsidR="00833634" w:rsidRDefault="00E15D51">
      <w:pPr>
        <w:spacing w:after="300"/>
        <w:jc w:val="both"/>
      </w:pPr>
      <w:r>
        <w:rPr>
          <w:rFonts w:ascii="Arial" w:eastAsia="宋体" w:hAnsi="Arial" w:cs="Arial"/>
          <w:color w:val="000000"/>
          <w:sz w:val="20"/>
          <w:szCs w:val="20"/>
        </w:rPr>
        <w:t>Some of our development programs are contracted on a fixed-price basis and BDS customers are increasingly seeking fixed-price proposals for new programs. Examples of significan</w:t>
      </w:r>
      <w:r>
        <w:rPr>
          <w:rFonts w:ascii="Arial" w:eastAsia="宋体" w:hAnsi="Arial" w:cs="Arial"/>
          <w:color w:val="000000"/>
          <w:sz w:val="20"/>
          <w:szCs w:val="20"/>
        </w:rPr>
        <w:t xml:space="preserve">t fixed-price development programs include Commercial Crew, KC-46A Tanker, MQ-25, T-7A Red Hawk, VC-25B, and commercial and military satellites. New programs could also have risk for reach-forward loss upon </w:t>
      </w:r>
    </w:p>
    <w:p w14:paraId="4090FA1B" w14:textId="77777777" w:rsidR="00833634" w:rsidRDefault="00E15D51">
      <w:pPr>
        <w:spacing w:after="180"/>
        <w:jc w:val="center"/>
      </w:pPr>
      <w:r>
        <w:rPr>
          <w:rFonts w:ascii="Arial" w:eastAsia="宋体" w:hAnsi="Arial" w:cs="Arial"/>
          <w:color w:val="000000"/>
          <w:sz w:val="18"/>
          <w:szCs w:val="18"/>
        </w:rPr>
        <w:t>52</w:t>
      </w:r>
    </w:p>
    <w:p w14:paraId="4090FA1C" w14:textId="77777777" w:rsidR="00833634" w:rsidRDefault="00E15D51">
      <w:r>
        <w:pict w14:anchorId="4090FE54">
          <v:rect id="_x0000_i1078" style="width:415.3pt;height:1.5pt" o:hralign="center" o:hrstd="t" o:hr="t" fillcolor="#a0a0a0" stroked="f"/>
        </w:pict>
      </w:r>
    </w:p>
    <w:p w14:paraId="4090FA1D" w14:textId="77777777" w:rsidR="00833634" w:rsidRDefault="00E15D51">
      <w:pPr>
        <w:spacing w:after="180"/>
        <w:jc w:val="both"/>
      </w:pPr>
      <w:hyperlink r:id="rId155" w:anchor="i8d805bfb1e1c4815a1dcd5b6d1e0b117_10" w:history="1">
        <w:r>
          <w:rPr>
            <w:rStyle w:val="a5"/>
            <w:rFonts w:ascii="Arial" w:eastAsia="宋体" w:hAnsi="Arial" w:cs="Arial"/>
            <w:sz w:val="18"/>
            <w:szCs w:val="18"/>
          </w:rPr>
          <w:t>Table of Contents</w:t>
        </w:r>
      </w:hyperlink>
    </w:p>
    <w:p w14:paraId="4090FA1E" w14:textId="77777777" w:rsidR="00833634" w:rsidRDefault="00E15D51">
      <w:pPr>
        <w:spacing w:after="300"/>
        <w:jc w:val="both"/>
      </w:pPr>
      <w:r>
        <w:rPr>
          <w:rFonts w:ascii="Arial" w:eastAsia="宋体" w:hAnsi="Arial" w:cs="Arial"/>
          <w:color w:val="000000"/>
          <w:sz w:val="20"/>
          <w:szCs w:val="20"/>
        </w:rPr>
        <w:t>contract award and during the period of contract performance. Many development programs have highly complex designs. As technical</w:t>
      </w:r>
      <w:r>
        <w:rPr>
          <w:rFonts w:ascii="Arial" w:eastAsia="宋体" w:hAnsi="Arial" w:cs="Arial"/>
          <w:color w:val="000000"/>
          <w:sz w:val="20"/>
          <w:szCs w:val="20"/>
        </w:rPr>
        <w:t xml:space="preserve"> or quality issues arise during development, we may experience schedule delays and cost impacts, which could increase our estimated cost to perform the work or reduce our estimated price, either of which could result in a material charge or otherwise adver</w:t>
      </w:r>
      <w:r>
        <w:rPr>
          <w:rFonts w:ascii="Arial" w:eastAsia="宋体" w:hAnsi="Arial" w:cs="Arial"/>
          <w:color w:val="000000"/>
          <w:sz w:val="20"/>
          <w:szCs w:val="20"/>
        </w:rPr>
        <w:t>sely affect our financial condition. These programs are ongoing, and while we believe the cost and fee estimates incorporated in the financial statements are appropriate, the technical complexity of these programs creates financial risk as additional compl</w:t>
      </w:r>
      <w:r>
        <w:rPr>
          <w:rFonts w:ascii="Arial" w:eastAsia="宋体" w:hAnsi="Arial" w:cs="Arial"/>
          <w:color w:val="000000"/>
          <w:sz w:val="20"/>
          <w:szCs w:val="20"/>
        </w:rPr>
        <w:t>etion costs may become necessary or scheduled delivery dates could be extended, which could trigger termination provisions, the loss of satellite in-orbit incentive payments, or other financially significant exposure. These programs have risk for reach-for</w:t>
      </w:r>
      <w:r>
        <w:rPr>
          <w:rFonts w:ascii="Arial" w:eastAsia="宋体" w:hAnsi="Arial" w:cs="Arial"/>
          <w:color w:val="000000"/>
          <w:sz w:val="20"/>
          <w:szCs w:val="20"/>
        </w:rPr>
        <w:t xml:space="preserve">ward losses if our estimated costs exceed our estimated contract revenues. </w:t>
      </w:r>
    </w:p>
    <w:p w14:paraId="4090FA1F" w14:textId="77777777" w:rsidR="00833634" w:rsidRDefault="00E15D51">
      <w:pPr>
        <w:spacing w:before="300" w:after="180"/>
        <w:jc w:val="both"/>
      </w:pPr>
      <w:r>
        <w:rPr>
          <w:rFonts w:ascii="Arial" w:eastAsia="宋体" w:hAnsi="Arial" w:cs="Arial"/>
          <w:b/>
          <w:bCs/>
          <w:color w:val="000000"/>
          <w:sz w:val="20"/>
          <w:szCs w:val="20"/>
        </w:rPr>
        <w:t>Global Services</w:t>
      </w:r>
    </w:p>
    <w:p w14:paraId="4090FA20" w14:textId="77777777" w:rsidR="00833634" w:rsidRDefault="00E15D51">
      <w:pPr>
        <w:jc w:val="both"/>
      </w:pPr>
      <w:r>
        <w:rPr>
          <w:rFonts w:ascii="Arial" w:eastAsia="宋体" w:hAnsi="Arial" w:cs="Arial"/>
          <w:b/>
          <w:bCs/>
          <w:color w:val="000000"/>
          <w:sz w:val="20"/>
          <w:szCs w:val="20"/>
        </w:rPr>
        <w:t>Results of Operations</w:t>
      </w:r>
    </w:p>
    <w:tbl>
      <w:tblPr>
        <w:tblW w:w="4992" w:type="pct"/>
        <w:tblCellMar>
          <w:top w:w="15" w:type="dxa"/>
          <w:left w:w="15" w:type="dxa"/>
          <w:bottom w:w="15" w:type="dxa"/>
          <w:right w:w="15" w:type="dxa"/>
        </w:tblCellMar>
        <w:tblLook w:val="04A0" w:firstRow="1" w:lastRow="0" w:firstColumn="1" w:lastColumn="0" w:noHBand="0" w:noVBand="1"/>
      </w:tblPr>
      <w:tblGrid>
        <w:gridCol w:w="38"/>
        <w:gridCol w:w="4147"/>
        <w:gridCol w:w="37"/>
        <w:gridCol w:w="67"/>
        <w:gridCol w:w="734"/>
        <w:gridCol w:w="199"/>
        <w:gridCol w:w="37"/>
        <w:gridCol w:w="36"/>
        <w:gridCol w:w="36"/>
        <w:gridCol w:w="74"/>
        <w:gridCol w:w="726"/>
        <w:gridCol w:w="198"/>
        <w:gridCol w:w="36"/>
        <w:gridCol w:w="36"/>
        <w:gridCol w:w="36"/>
        <w:gridCol w:w="65"/>
        <w:gridCol w:w="624"/>
        <w:gridCol w:w="199"/>
        <w:gridCol w:w="37"/>
        <w:gridCol w:w="37"/>
        <w:gridCol w:w="37"/>
        <w:gridCol w:w="64"/>
        <w:gridCol w:w="625"/>
        <w:gridCol w:w="198"/>
      </w:tblGrid>
      <w:tr w:rsidR="00833634" w14:paraId="4090FA39" w14:textId="77777777">
        <w:tc>
          <w:tcPr>
            <w:tcW w:w="50" w:type="pct"/>
            <w:shd w:val="clear" w:color="auto" w:fill="auto"/>
          </w:tcPr>
          <w:p w14:paraId="4090FA21" w14:textId="77777777" w:rsidR="00833634" w:rsidRDefault="00833634">
            <w:pPr>
              <w:rPr>
                <w:rFonts w:ascii="宋体"/>
              </w:rPr>
            </w:pPr>
          </w:p>
        </w:tc>
        <w:tc>
          <w:tcPr>
            <w:tcW w:w="2585" w:type="pct"/>
            <w:shd w:val="clear" w:color="auto" w:fill="auto"/>
          </w:tcPr>
          <w:p w14:paraId="4090FA22" w14:textId="77777777" w:rsidR="00833634" w:rsidRDefault="00833634">
            <w:pPr>
              <w:rPr>
                <w:rFonts w:ascii="宋体"/>
              </w:rPr>
            </w:pPr>
          </w:p>
        </w:tc>
        <w:tc>
          <w:tcPr>
            <w:tcW w:w="5" w:type="pct"/>
            <w:shd w:val="clear" w:color="auto" w:fill="auto"/>
          </w:tcPr>
          <w:p w14:paraId="4090FA23" w14:textId="77777777" w:rsidR="00833634" w:rsidRDefault="00833634">
            <w:pPr>
              <w:rPr>
                <w:rFonts w:ascii="宋体"/>
              </w:rPr>
            </w:pPr>
          </w:p>
        </w:tc>
        <w:tc>
          <w:tcPr>
            <w:tcW w:w="50" w:type="pct"/>
            <w:shd w:val="clear" w:color="auto" w:fill="auto"/>
          </w:tcPr>
          <w:p w14:paraId="4090FA24" w14:textId="77777777" w:rsidR="00833634" w:rsidRDefault="00833634">
            <w:pPr>
              <w:rPr>
                <w:rFonts w:ascii="宋体"/>
              </w:rPr>
            </w:pPr>
          </w:p>
        </w:tc>
        <w:tc>
          <w:tcPr>
            <w:tcW w:w="554" w:type="pct"/>
            <w:shd w:val="clear" w:color="auto" w:fill="auto"/>
          </w:tcPr>
          <w:p w14:paraId="4090FA25" w14:textId="77777777" w:rsidR="00833634" w:rsidRDefault="00833634">
            <w:pPr>
              <w:rPr>
                <w:rFonts w:ascii="宋体"/>
              </w:rPr>
            </w:pPr>
          </w:p>
        </w:tc>
        <w:tc>
          <w:tcPr>
            <w:tcW w:w="5" w:type="pct"/>
            <w:shd w:val="clear" w:color="auto" w:fill="auto"/>
          </w:tcPr>
          <w:p w14:paraId="4090FA26" w14:textId="77777777" w:rsidR="00833634" w:rsidRDefault="00833634">
            <w:pPr>
              <w:rPr>
                <w:rFonts w:ascii="宋体"/>
              </w:rPr>
            </w:pPr>
          </w:p>
        </w:tc>
        <w:tc>
          <w:tcPr>
            <w:tcW w:w="5" w:type="pct"/>
            <w:shd w:val="clear" w:color="auto" w:fill="auto"/>
          </w:tcPr>
          <w:p w14:paraId="4090FA27" w14:textId="77777777" w:rsidR="00833634" w:rsidRDefault="00833634">
            <w:pPr>
              <w:rPr>
                <w:rFonts w:ascii="宋体"/>
              </w:rPr>
            </w:pPr>
          </w:p>
        </w:tc>
        <w:tc>
          <w:tcPr>
            <w:tcW w:w="30" w:type="pct"/>
            <w:shd w:val="clear" w:color="auto" w:fill="auto"/>
          </w:tcPr>
          <w:p w14:paraId="4090FA28" w14:textId="77777777" w:rsidR="00833634" w:rsidRDefault="00833634">
            <w:pPr>
              <w:rPr>
                <w:rFonts w:ascii="宋体"/>
              </w:rPr>
            </w:pPr>
          </w:p>
        </w:tc>
        <w:tc>
          <w:tcPr>
            <w:tcW w:w="5" w:type="pct"/>
            <w:shd w:val="clear" w:color="auto" w:fill="auto"/>
          </w:tcPr>
          <w:p w14:paraId="4090FA29" w14:textId="77777777" w:rsidR="00833634" w:rsidRDefault="00833634">
            <w:pPr>
              <w:rPr>
                <w:rFonts w:ascii="宋体"/>
              </w:rPr>
            </w:pPr>
          </w:p>
        </w:tc>
        <w:tc>
          <w:tcPr>
            <w:tcW w:w="50" w:type="pct"/>
            <w:shd w:val="clear" w:color="auto" w:fill="auto"/>
          </w:tcPr>
          <w:p w14:paraId="4090FA2A" w14:textId="77777777" w:rsidR="00833634" w:rsidRDefault="00833634">
            <w:pPr>
              <w:rPr>
                <w:rFonts w:ascii="宋体"/>
              </w:rPr>
            </w:pPr>
          </w:p>
        </w:tc>
        <w:tc>
          <w:tcPr>
            <w:tcW w:w="490" w:type="pct"/>
            <w:shd w:val="clear" w:color="auto" w:fill="auto"/>
          </w:tcPr>
          <w:p w14:paraId="4090FA2B" w14:textId="77777777" w:rsidR="00833634" w:rsidRDefault="00833634">
            <w:pPr>
              <w:rPr>
                <w:rFonts w:ascii="宋体"/>
              </w:rPr>
            </w:pPr>
          </w:p>
        </w:tc>
        <w:tc>
          <w:tcPr>
            <w:tcW w:w="5" w:type="pct"/>
            <w:shd w:val="clear" w:color="auto" w:fill="auto"/>
          </w:tcPr>
          <w:p w14:paraId="4090FA2C" w14:textId="77777777" w:rsidR="00833634" w:rsidRDefault="00833634">
            <w:pPr>
              <w:rPr>
                <w:rFonts w:ascii="宋体"/>
              </w:rPr>
            </w:pPr>
          </w:p>
        </w:tc>
        <w:tc>
          <w:tcPr>
            <w:tcW w:w="5" w:type="pct"/>
            <w:shd w:val="clear" w:color="auto" w:fill="auto"/>
          </w:tcPr>
          <w:p w14:paraId="4090FA2D" w14:textId="77777777" w:rsidR="00833634" w:rsidRDefault="00833634">
            <w:pPr>
              <w:rPr>
                <w:rFonts w:ascii="宋体"/>
              </w:rPr>
            </w:pPr>
          </w:p>
        </w:tc>
        <w:tc>
          <w:tcPr>
            <w:tcW w:w="30" w:type="pct"/>
            <w:shd w:val="clear" w:color="auto" w:fill="auto"/>
          </w:tcPr>
          <w:p w14:paraId="4090FA2E" w14:textId="77777777" w:rsidR="00833634" w:rsidRDefault="00833634">
            <w:pPr>
              <w:rPr>
                <w:rFonts w:ascii="宋体"/>
              </w:rPr>
            </w:pPr>
          </w:p>
        </w:tc>
        <w:tc>
          <w:tcPr>
            <w:tcW w:w="5" w:type="pct"/>
            <w:shd w:val="clear" w:color="auto" w:fill="auto"/>
          </w:tcPr>
          <w:p w14:paraId="4090FA2F" w14:textId="77777777" w:rsidR="00833634" w:rsidRDefault="00833634">
            <w:pPr>
              <w:rPr>
                <w:rFonts w:ascii="宋体"/>
              </w:rPr>
            </w:pPr>
          </w:p>
        </w:tc>
        <w:tc>
          <w:tcPr>
            <w:tcW w:w="50" w:type="pct"/>
            <w:shd w:val="clear" w:color="auto" w:fill="auto"/>
          </w:tcPr>
          <w:p w14:paraId="4090FA30" w14:textId="77777777" w:rsidR="00833634" w:rsidRDefault="00833634">
            <w:pPr>
              <w:rPr>
                <w:rFonts w:ascii="宋体"/>
              </w:rPr>
            </w:pPr>
          </w:p>
        </w:tc>
        <w:tc>
          <w:tcPr>
            <w:tcW w:w="482" w:type="pct"/>
            <w:shd w:val="clear" w:color="auto" w:fill="auto"/>
          </w:tcPr>
          <w:p w14:paraId="4090FA31" w14:textId="77777777" w:rsidR="00833634" w:rsidRDefault="00833634">
            <w:pPr>
              <w:rPr>
                <w:rFonts w:ascii="宋体"/>
              </w:rPr>
            </w:pPr>
          </w:p>
        </w:tc>
        <w:tc>
          <w:tcPr>
            <w:tcW w:w="5" w:type="pct"/>
            <w:shd w:val="clear" w:color="auto" w:fill="auto"/>
          </w:tcPr>
          <w:p w14:paraId="4090FA32" w14:textId="77777777" w:rsidR="00833634" w:rsidRDefault="00833634">
            <w:pPr>
              <w:rPr>
                <w:rFonts w:ascii="宋体"/>
              </w:rPr>
            </w:pPr>
          </w:p>
        </w:tc>
        <w:tc>
          <w:tcPr>
            <w:tcW w:w="5" w:type="pct"/>
            <w:shd w:val="clear" w:color="auto" w:fill="auto"/>
          </w:tcPr>
          <w:p w14:paraId="4090FA33" w14:textId="77777777" w:rsidR="00833634" w:rsidRDefault="00833634">
            <w:pPr>
              <w:rPr>
                <w:rFonts w:ascii="宋体"/>
              </w:rPr>
            </w:pPr>
          </w:p>
        </w:tc>
        <w:tc>
          <w:tcPr>
            <w:tcW w:w="30" w:type="pct"/>
            <w:shd w:val="clear" w:color="auto" w:fill="auto"/>
          </w:tcPr>
          <w:p w14:paraId="4090FA34" w14:textId="77777777" w:rsidR="00833634" w:rsidRDefault="00833634">
            <w:pPr>
              <w:rPr>
                <w:rFonts w:ascii="宋体"/>
              </w:rPr>
            </w:pPr>
          </w:p>
        </w:tc>
        <w:tc>
          <w:tcPr>
            <w:tcW w:w="5" w:type="pct"/>
            <w:shd w:val="clear" w:color="auto" w:fill="auto"/>
          </w:tcPr>
          <w:p w14:paraId="4090FA35" w14:textId="77777777" w:rsidR="00833634" w:rsidRDefault="00833634">
            <w:pPr>
              <w:rPr>
                <w:rFonts w:ascii="宋体"/>
              </w:rPr>
            </w:pPr>
          </w:p>
        </w:tc>
        <w:tc>
          <w:tcPr>
            <w:tcW w:w="50" w:type="pct"/>
            <w:shd w:val="clear" w:color="auto" w:fill="auto"/>
          </w:tcPr>
          <w:p w14:paraId="4090FA36" w14:textId="77777777" w:rsidR="00833634" w:rsidRDefault="00833634">
            <w:pPr>
              <w:rPr>
                <w:rFonts w:ascii="宋体"/>
              </w:rPr>
            </w:pPr>
          </w:p>
        </w:tc>
        <w:tc>
          <w:tcPr>
            <w:tcW w:w="490" w:type="pct"/>
            <w:shd w:val="clear" w:color="auto" w:fill="auto"/>
          </w:tcPr>
          <w:p w14:paraId="4090FA37" w14:textId="77777777" w:rsidR="00833634" w:rsidRDefault="00833634">
            <w:pPr>
              <w:rPr>
                <w:rFonts w:ascii="宋体"/>
              </w:rPr>
            </w:pPr>
          </w:p>
        </w:tc>
        <w:tc>
          <w:tcPr>
            <w:tcW w:w="5" w:type="pct"/>
            <w:shd w:val="clear" w:color="auto" w:fill="auto"/>
          </w:tcPr>
          <w:p w14:paraId="4090FA38" w14:textId="77777777" w:rsidR="00833634" w:rsidRDefault="00833634">
            <w:pPr>
              <w:rPr>
                <w:rFonts w:ascii="宋体"/>
              </w:rPr>
            </w:pPr>
          </w:p>
        </w:tc>
      </w:tr>
      <w:tr w:rsidR="00833634" w14:paraId="4090FA3D" w14:textId="77777777">
        <w:tc>
          <w:tcPr>
            <w:tcW w:w="0" w:type="auto"/>
            <w:gridSpan w:val="3"/>
            <w:shd w:val="clear" w:color="auto" w:fill="auto"/>
            <w:tcMar>
              <w:top w:w="40" w:type="dxa"/>
              <w:left w:w="20" w:type="dxa"/>
              <w:bottom w:w="40" w:type="dxa"/>
              <w:right w:w="20" w:type="dxa"/>
            </w:tcMar>
            <w:vAlign w:val="bottom"/>
          </w:tcPr>
          <w:p w14:paraId="4090FA3A"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12"/>
            <w:shd w:val="clear" w:color="auto" w:fill="auto"/>
            <w:tcMar>
              <w:top w:w="40" w:type="dxa"/>
              <w:left w:w="20" w:type="dxa"/>
              <w:bottom w:w="40" w:type="dxa"/>
              <w:right w:w="20" w:type="dxa"/>
            </w:tcMar>
            <w:vAlign w:val="bottom"/>
          </w:tcPr>
          <w:p w14:paraId="4090FA3B"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9"/>
            <w:shd w:val="clear" w:color="auto" w:fill="auto"/>
            <w:tcMar>
              <w:top w:w="40" w:type="dxa"/>
              <w:left w:w="20" w:type="dxa"/>
              <w:bottom w:w="40" w:type="dxa"/>
              <w:right w:w="20" w:type="dxa"/>
            </w:tcMar>
            <w:vAlign w:val="bottom"/>
          </w:tcPr>
          <w:p w14:paraId="4090FA3C"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A46"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A3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A3F"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A4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A41"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A4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A43"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A44"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A45" w14:textId="77777777" w:rsidR="00833634" w:rsidRDefault="00E15D51">
            <w:pPr>
              <w:jc w:val="right"/>
              <w:textAlignment w:val="bottom"/>
            </w:pPr>
            <w:r>
              <w:rPr>
                <w:rFonts w:ascii="Arial" w:eastAsia="宋体" w:hAnsi="Arial" w:cs="Arial"/>
                <w:color w:val="000000"/>
                <w:sz w:val="20"/>
                <w:szCs w:val="20"/>
              </w:rPr>
              <w:t>2019</w:t>
            </w:r>
          </w:p>
        </w:tc>
      </w:tr>
      <w:tr w:rsidR="00833634" w14:paraId="4090FA53"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A47" w14:textId="77777777" w:rsidR="00833634" w:rsidRDefault="00E15D51">
            <w:pPr>
              <w:textAlignment w:val="bottom"/>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48" w14:textId="77777777" w:rsidR="00833634" w:rsidRDefault="00E15D51">
            <w:pPr>
              <w:jc w:val="right"/>
              <w:textAlignment w:val="bottom"/>
            </w:pPr>
            <w:r>
              <w:rPr>
                <w:rFonts w:ascii="Arial" w:eastAsia="宋体" w:hAnsi="Arial" w:cs="Arial"/>
                <w:b/>
                <w:bCs/>
                <w:color w:val="000000"/>
                <w:sz w:val="20"/>
                <w:szCs w:val="20"/>
              </w:rPr>
              <w:t>$11,810</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49"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A4A"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4B" w14:textId="77777777" w:rsidR="00833634" w:rsidRDefault="00E15D51">
            <w:pPr>
              <w:jc w:val="right"/>
              <w:textAlignment w:val="bottom"/>
            </w:pPr>
            <w:r>
              <w:rPr>
                <w:rFonts w:ascii="Arial" w:eastAsia="宋体" w:hAnsi="Arial" w:cs="Arial"/>
                <w:color w:val="000000"/>
                <w:sz w:val="20"/>
                <w:szCs w:val="20"/>
              </w:rPr>
              <w:t>$13,820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4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A4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4E" w14:textId="77777777" w:rsidR="00833634" w:rsidRDefault="00E15D51">
            <w:pPr>
              <w:jc w:val="right"/>
              <w:textAlignment w:val="bottom"/>
            </w:pPr>
            <w:r>
              <w:rPr>
                <w:rFonts w:ascii="Arial" w:eastAsia="宋体" w:hAnsi="Arial" w:cs="Arial"/>
                <w:b/>
                <w:bCs/>
                <w:color w:val="000000"/>
                <w:sz w:val="20"/>
                <w:szCs w:val="20"/>
              </w:rPr>
              <w:t>$3,694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4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A5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51" w14:textId="77777777" w:rsidR="00833634" w:rsidRDefault="00E15D51">
            <w:pPr>
              <w:jc w:val="right"/>
              <w:textAlignment w:val="bottom"/>
            </w:pPr>
            <w:r>
              <w:rPr>
                <w:rFonts w:ascii="Arial" w:eastAsia="宋体" w:hAnsi="Arial" w:cs="Arial"/>
                <w:color w:val="000000"/>
                <w:sz w:val="20"/>
                <w:szCs w:val="20"/>
              </w:rPr>
              <w:t>$4,658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52" w14:textId="77777777" w:rsidR="00833634" w:rsidRDefault="00833634">
            <w:pPr>
              <w:jc w:val="right"/>
              <w:rPr>
                <w:rFonts w:ascii="宋体"/>
              </w:rPr>
            </w:pPr>
          </w:p>
        </w:tc>
      </w:tr>
      <w:tr w:rsidR="00833634" w14:paraId="4090FA60" w14:textId="77777777">
        <w:tc>
          <w:tcPr>
            <w:tcW w:w="0" w:type="auto"/>
            <w:gridSpan w:val="3"/>
            <w:shd w:val="clear" w:color="auto" w:fill="auto"/>
            <w:tcMar>
              <w:top w:w="40" w:type="dxa"/>
              <w:left w:w="20" w:type="dxa"/>
              <w:bottom w:w="40" w:type="dxa"/>
              <w:right w:w="20" w:type="dxa"/>
            </w:tcMar>
            <w:vAlign w:val="bottom"/>
          </w:tcPr>
          <w:p w14:paraId="4090FA54" w14:textId="77777777" w:rsidR="00833634" w:rsidRDefault="00E15D51">
            <w:pPr>
              <w:textAlignment w:val="bottom"/>
            </w:pPr>
            <w:r>
              <w:rPr>
                <w:rFonts w:ascii="Arial" w:eastAsia="宋体" w:hAnsi="Arial" w:cs="Arial"/>
                <w:color w:val="000000"/>
                <w:sz w:val="20"/>
                <w:szCs w:val="20"/>
              </w:rPr>
              <w:t>Earnings from operations</w:t>
            </w:r>
          </w:p>
        </w:tc>
        <w:tc>
          <w:tcPr>
            <w:tcW w:w="0" w:type="auto"/>
            <w:gridSpan w:val="2"/>
            <w:shd w:val="clear" w:color="auto" w:fill="auto"/>
            <w:tcMar>
              <w:top w:w="40" w:type="dxa"/>
              <w:left w:w="20" w:type="dxa"/>
              <w:bottom w:w="40" w:type="dxa"/>
              <w:right w:w="0" w:type="dxa"/>
            </w:tcMar>
            <w:vAlign w:val="bottom"/>
          </w:tcPr>
          <w:p w14:paraId="4090FA55" w14:textId="77777777" w:rsidR="00833634" w:rsidRDefault="00E15D51">
            <w:pPr>
              <w:jc w:val="right"/>
              <w:textAlignment w:val="bottom"/>
            </w:pPr>
            <w:r>
              <w:rPr>
                <w:rFonts w:ascii="Arial" w:eastAsia="宋体" w:hAnsi="Arial" w:cs="Arial"/>
                <w:b/>
                <w:bCs/>
                <w:color w:val="000000"/>
                <w:sz w:val="20"/>
                <w:szCs w:val="20"/>
              </w:rPr>
              <w:t>$307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A56"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A57"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A58" w14:textId="77777777" w:rsidR="00833634" w:rsidRDefault="00E15D51">
            <w:pPr>
              <w:jc w:val="right"/>
              <w:textAlignment w:val="bottom"/>
            </w:pPr>
            <w:r>
              <w:rPr>
                <w:rFonts w:ascii="Arial" w:eastAsia="宋体" w:hAnsi="Arial" w:cs="Arial"/>
                <w:color w:val="000000"/>
                <w:sz w:val="20"/>
                <w:szCs w:val="20"/>
              </w:rPr>
              <w:t>$2,013 </w:t>
            </w:r>
          </w:p>
        </w:tc>
        <w:tc>
          <w:tcPr>
            <w:tcW w:w="0" w:type="auto"/>
            <w:shd w:val="clear" w:color="auto" w:fill="auto"/>
            <w:tcMar>
              <w:top w:w="40" w:type="dxa"/>
              <w:left w:w="0" w:type="dxa"/>
              <w:bottom w:w="40" w:type="dxa"/>
              <w:right w:w="20" w:type="dxa"/>
            </w:tcMar>
            <w:vAlign w:val="bottom"/>
          </w:tcPr>
          <w:p w14:paraId="4090FA59"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A5A"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A5B" w14:textId="77777777" w:rsidR="00833634" w:rsidRDefault="00E15D51">
            <w:pPr>
              <w:jc w:val="right"/>
              <w:textAlignment w:val="bottom"/>
            </w:pPr>
            <w:r>
              <w:rPr>
                <w:rFonts w:ascii="Arial" w:eastAsia="宋体" w:hAnsi="Arial" w:cs="Arial"/>
                <w:b/>
                <w:bCs/>
                <w:color w:val="000000"/>
                <w:sz w:val="20"/>
                <w:szCs w:val="20"/>
              </w:rPr>
              <w:t>$271</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A5C"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A5D"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A5E" w14:textId="77777777" w:rsidR="00833634" w:rsidRDefault="00E15D51">
            <w:pPr>
              <w:jc w:val="right"/>
              <w:textAlignment w:val="bottom"/>
            </w:pPr>
            <w:r>
              <w:rPr>
                <w:rFonts w:ascii="Arial" w:eastAsia="宋体" w:hAnsi="Arial" w:cs="Arial"/>
                <w:color w:val="000000"/>
                <w:sz w:val="20"/>
                <w:szCs w:val="20"/>
              </w:rPr>
              <w:t>$673 </w:t>
            </w:r>
          </w:p>
        </w:tc>
        <w:tc>
          <w:tcPr>
            <w:tcW w:w="0" w:type="auto"/>
            <w:shd w:val="clear" w:color="auto" w:fill="auto"/>
            <w:tcMar>
              <w:top w:w="40" w:type="dxa"/>
              <w:left w:w="0" w:type="dxa"/>
              <w:bottom w:w="40" w:type="dxa"/>
              <w:right w:w="20" w:type="dxa"/>
            </w:tcMar>
            <w:vAlign w:val="bottom"/>
          </w:tcPr>
          <w:p w14:paraId="4090FA5F" w14:textId="77777777" w:rsidR="00833634" w:rsidRDefault="00833634">
            <w:pPr>
              <w:jc w:val="right"/>
              <w:rPr>
                <w:rFonts w:ascii="宋体"/>
              </w:rPr>
            </w:pPr>
          </w:p>
        </w:tc>
      </w:tr>
      <w:tr w:rsidR="00833634" w14:paraId="4090FA6D"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FA61" w14:textId="77777777" w:rsidR="00833634" w:rsidRDefault="00E15D51">
            <w:pPr>
              <w:textAlignment w:val="bottom"/>
            </w:pPr>
            <w:r>
              <w:rPr>
                <w:rFonts w:ascii="Arial" w:eastAsia="宋体" w:hAnsi="Arial" w:cs="Arial"/>
                <w:color w:val="000000"/>
                <w:sz w:val="20"/>
                <w:szCs w:val="20"/>
              </w:rPr>
              <w:t>Operating margins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A62" w14:textId="77777777" w:rsidR="00833634" w:rsidRDefault="00E15D51">
            <w:pPr>
              <w:jc w:val="right"/>
              <w:textAlignment w:val="bottom"/>
            </w:pPr>
            <w:r>
              <w:rPr>
                <w:rFonts w:ascii="Arial" w:eastAsia="宋体" w:hAnsi="Arial" w:cs="Arial"/>
                <w:b/>
                <w:bCs/>
                <w:color w:val="000000"/>
                <w:sz w:val="20"/>
                <w:szCs w:val="20"/>
              </w:rPr>
              <w:t>2.6</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A63"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A64"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A65" w14:textId="77777777" w:rsidR="00833634" w:rsidRDefault="00E15D51">
            <w:pPr>
              <w:jc w:val="right"/>
              <w:textAlignment w:val="bottom"/>
            </w:pPr>
            <w:r>
              <w:rPr>
                <w:rFonts w:ascii="Arial" w:eastAsia="宋体" w:hAnsi="Arial" w:cs="Arial"/>
                <w:color w:val="000000"/>
                <w:sz w:val="20"/>
                <w:szCs w:val="20"/>
              </w:rPr>
              <w:t>14.6 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A66" w14:textId="77777777" w:rsidR="00833634" w:rsidRDefault="00E15D51">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A67"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A68" w14:textId="77777777" w:rsidR="00833634" w:rsidRDefault="00E15D51">
            <w:pPr>
              <w:jc w:val="right"/>
              <w:textAlignment w:val="bottom"/>
            </w:pPr>
            <w:r>
              <w:rPr>
                <w:rFonts w:ascii="Arial" w:eastAsia="宋体" w:hAnsi="Arial" w:cs="Arial"/>
                <w:b/>
                <w:bCs/>
                <w:color w:val="000000"/>
                <w:sz w:val="20"/>
                <w:szCs w:val="20"/>
              </w:rPr>
              <w:t>7.3</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A69"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A6A"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A6B" w14:textId="77777777" w:rsidR="00833634" w:rsidRDefault="00E15D51">
            <w:pPr>
              <w:jc w:val="right"/>
              <w:textAlignment w:val="bottom"/>
            </w:pPr>
            <w:r>
              <w:rPr>
                <w:rFonts w:ascii="Arial" w:eastAsia="宋体" w:hAnsi="Arial" w:cs="Arial"/>
                <w:color w:val="000000"/>
                <w:sz w:val="20"/>
                <w:szCs w:val="20"/>
              </w:rPr>
              <w:t>14.4 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A6C" w14:textId="77777777" w:rsidR="00833634" w:rsidRDefault="00E15D51">
            <w:pPr>
              <w:jc w:val="right"/>
              <w:textAlignment w:val="bottom"/>
            </w:pPr>
            <w:r>
              <w:rPr>
                <w:rFonts w:ascii="Arial" w:eastAsia="宋体" w:hAnsi="Arial" w:cs="Arial"/>
                <w:color w:val="000000"/>
                <w:sz w:val="20"/>
                <w:szCs w:val="20"/>
              </w:rPr>
              <w:t>%</w:t>
            </w:r>
          </w:p>
        </w:tc>
      </w:tr>
    </w:tbl>
    <w:p w14:paraId="4090FA6E" w14:textId="77777777" w:rsidR="00833634" w:rsidRDefault="00E15D51">
      <w:pPr>
        <w:spacing w:after="180"/>
        <w:jc w:val="both"/>
      </w:pPr>
      <w:r>
        <w:rPr>
          <w:rFonts w:ascii="Arial" w:eastAsia="宋体" w:hAnsi="Arial" w:cs="Arial"/>
          <w:b/>
          <w:bCs/>
          <w:color w:val="000000"/>
          <w:sz w:val="20"/>
          <w:szCs w:val="20"/>
        </w:rPr>
        <w:t>Revenues</w:t>
      </w:r>
    </w:p>
    <w:p w14:paraId="4090FA6F" w14:textId="77777777" w:rsidR="00833634" w:rsidRDefault="00E15D51">
      <w:pPr>
        <w:spacing w:after="180"/>
        <w:jc w:val="both"/>
      </w:pPr>
      <w:r>
        <w:rPr>
          <w:rFonts w:ascii="Arial" w:eastAsia="宋体" w:hAnsi="Arial" w:cs="Arial"/>
          <w:color w:val="000000"/>
          <w:sz w:val="20"/>
          <w:szCs w:val="20"/>
        </w:rPr>
        <w:t xml:space="preserve">BGS revenues for the nine and three months ended September 30, 2020 decreased by $2,010 million and $964 million compared with the same periods in 2019 primarily due to lower commercial services revenue driven </w:t>
      </w:r>
      <w:r>
        <w:rPr>
          <w:rFonts w:ascii="Arial" w:eastAsia="宋体" w:hAnsi="Arial" w:cs="Arial"/>
          <w:color w:val="000000"/>
          <w:sz w:val="20"/>
          <w:szCs w:val="20"/>
        </w:rPr>
        <w:t>by impacts of the COVID-19 pandemic. These were partially offset by growth in government services revenue. The favorable impact of cumulative contract catch-up adjustments for the nine and three months ended September 30, 2020 were $54 million higher and $</w:t>
      </w:r>
      <w:r>
        <w:rPr>
          <w:rFonts w:ascii="Arial" w:eastAsia="宋体" w:hAnsi="Arial" w:cs="Arial"/>
          <w:color w:val="000000"/>
          <w:sz w:val="20"/>
          <w:szCs w:val="20"/>
        </w:rPr>
        <w:t>128 million higher than the comparable periods in the prior year. We expect the impacts of the COVID-19 pandemic to continue to reduce BGS commercial revenues in future quarters until the commercial airline industry environment recovers.</w:t>
      </w:r>
    </w:p>
    <w:p w14:paraId="4090FA70" w14:textId="77777777" w:rsidR="00833634" w:rsidRDefault="00E15D51">
      <w:pPr>
        <w:spacing w:after="180"/>
        <w:jc w:val="both"/>
      </w:pPr>
      <w:r>
        <w:rPr>
          <w:rFonts w:ascii="Arial" w:eastAsia="宋体" w:hAnsi="Arial" w:cs="Arial"/>
          <w:b/>
          <w:bCs/>
          <w:color w:val="000000"/>
          <w:sz w:val="20"/>
          <w:szCs w:val="20"/>
        </w:rPr>
        <w:t>Earnings From Oper</w:t>
      </w:r>
      <w:r>
        <w:rPr>
          <w:rFonts w:ascii="Arial" w:eastAsia="宋体" w:hAnsi="Arial" w:cs="Arial"/>
          <w:b/>
          <w:bCs/>
          <w:color w:val="000000"/>
          <w:sz w:val="20"/>
          <w:szCs w:val="20"/>
        </w:rPr>
        <w:t>ations</w:t>
      </w:r>
    </w:p>
    <w:p w14:paraId="4090FA71" w14:textId="77777777" w:rsidR="00833634" w:rsidRDefault="00E15D51">
      <w:pPr>
        <w:spacing w:after="180"/>
        <w:jc w:val="both"/>
      </w:pPr>
      <w:r>
        <w:rPr>
          <w:rFonts w:ascii="Arial" w:eastAsia="宋体" w:hAnsi="Arial" w:cs="Arial"/>
          <w:color w:val="000000"/>
          <w:sz w:val="20"/>
          <w:szCs w:val="20"/>
        </w:rPr>
        <w:t>BGS earnings from operations for the nine months ended September 30, 2020 decreased by $1,706 million compared with the same period in 2019, primarily due to earnings charges in the second quarter of 2020 of $370 million for higher expected credit l</w:t>
      </w:r>
      <w:r>
        <w:rPr>
          <w:rFonts w:ascii="Arial" w:eastAsia="宋体" w:hAnsi="Arial" w:cs="Arial"/>
          <w:color w:val="000000"/>
          <w:sz w:val="20"/>
          <w:szCs w:val="20"/>
        </w:rPr>
        <w:t>osses primarily driven by customer liquidity issues, $237 million of inventory write-downs, $153 million of related impairments of distribution rights primarily driven by airlines' decisions to retire certain aircraft, and $99 million of contract terminati</w:t>
      </w:r>
      <w:r>
        <w:rPr>
          <w:rFonts w:ascii="Arial" w:eastAsia="宋体" w:hAnsi="Arial" w:cs="Arial"/>
          <w:color w:val="000000"/>
          <w:sz w:val="20"/>
          <w:szCs w:val="20"/>
        </w:rPr>
        <w:t>on and facility impairments charges, as well as $130 million of severance costs. These charges reflect the significant impacts of the COVID-19 pandemic on commercial airline customers’ liquidity and demand for certain products as customers' fleet plans evo</w:t>
      </w:r>
      <w:r>
        <w:rPr>
          <w:rFonts w:ascii="Arial" w:eastAsia="宋体" w:hAnsi="Arial" w:cs="Arial"/>
          <w:color w:val="000000"/>
          <w:sz w:val="20"/>
          <w:szCs w:val="20"/>
        </w:rPr>
        <w:t>lve to adapt to the sharp reduction in demand for air travel.</w:t>
      </w:r>
    </w:p>
    <w:p w14:paraId="4090FA72" w14:textId="77777777" w:rsidR="00833634" w:rsidRDefault="00E15D51">
      <w:pPr>
        <w:spacing w:after="180"/>
        <w:jc w:val="both"/>
      </w:pPr>
      <w:r>
        <w:rPr>
          <w:rFonts w:ascii="Arial" w:eastAsia="宋体" w:hAnsi="Arial" w:cs="Arial"/>
          <w:color w:val="000000"/>
          <w:sz w:val="20"/>
          <w:szCs w:val="20"/>
        </w:rPr>
        <w:t xml:space="preserve">BGS earnings from operations for the three months ended September 30, 2020 decreased by $402 million compared with the same period in 2019, primarily due to lower revenues and severance charges </w:t>
      </w:r>
      <w:r>
        <w:rPr>
          <w:rFonts w:ascii="Arial" w:eastAsia="宋体" w:hAnsi="Arial" w:cs="Arial"/>
          <w:color w:val="000000"/>
          <w:sz w:val="20"/>
          <w:szCs w:val="20"/>
        </w:rPr>
        <w:t xml:space="preserve">of $66 million. </w:t>
      </w:r>
    </w:p>
    <w:p w14:paraId="4090FA73" w14:textId="77777777" w:rsidR="00833634" w:rsidRDefault="00E15D51">
      <w:pPr>
        <w:spacing w:after="180"/>
        <w:jc w:val="both"/>
      </w:pPr>
      <w:r>
        <w:rPr>
          <w:rFonts w:ascii="Arial" w:eastAsia="宋体" w:hAnsi="Arial" w:cs="Arial"/>
          <w:color w:val="000000"/>
          <w:sz w:val="20"/>
          <w:szCs w:val="20"/>
        </w:rPr>
        <w:t>We expect the impacts of the COVID-19 pandemic to continue to reduce future earnings until the commercial airline industry environment recovers.</w:t>
      </w:r>
    </w:p>
    <w:p w14:paraId="4090FA74" w14:textId="77777777" w:rsidR="00833634" w:rsidRDefault="00E15D51">
      <w:pPr>
        <w:spacing w:after="180"/>
        <w:jc w:val="both"/>
      </w:pPr>
      <w:r>
        <w:rPr>
          <w:rFonts w:ascii="Arial" w:eastAsia="宋体" w:hAnsi="Arial" w:cs="Arial"/>
          <w:color w:val="000000"/>
          <w:sz w:val="20"/>
          <w:szCs w:val="20"/>
        </w:rPr>
        <w:t xml:space="preserve">The favorable impact of cumulative contract catch-up adjustments for the nine and three months ended September 30, 2020 were $39 million higher and $103 million higher than the comparable periods in the prior year. </w:t>
      </w:r>
    </w:p>
    <w:p w14:paraId="4090FA75" w14:textId="77777777" w:rsidR="00833634" w:rsidRDefault="00E15D51">
      <w:pPr>
        <w:spacing w:after="180"/>
        <w:jc w:val="center"/>
      </w:pPr>
      <w:r>
        <w:rPr>
          <w:rFonts w:ascii="Arial" w:eastAsia="宋体" w:hAnsi="Arial" w:cs="Arial"/>
          <w:color w:val="000000"/>
          <w:sz w:val="18"/>
          <w:szCs w:val="18"/>
        </w:rPr>
        <w:t>53</w:t>
      </w:r>
    </w:p>
    <w:p w14:paraId="4090FA76" w14:textId="77777777" w:rsidR="00833634" w:rsidRDefault="00E15D51">
      <w:r>
        <w:pict w14:anchorId="4090FE55">
          <v:rect id="_x0000_i1079" style="width:415.3pt;height:1.5pt" o:hralign="center" o:hrstd="t" o:hr="t" fillcolor="#a0a0a0" stroked="f"/>
        </w:pict>
      </w:r>
    </w:p>
    <w:p w14:paraId="4090FA77" w14:textId="77777777" w:rsidR="00833634" w:rsidRDefault="00E15D51">
      <w:pPr>
        <w:spacing w:after="180"/>
        <w:jc w:val="both"/>
      </w:pPr>
      <w:hyperlink r:id="rId156" w:anchor="i8d805bfb1e1c4815a1dcd5b6d1e0b117_10" w:history="1">
        <w:r>
          <w:rPr>
            <w:rStyle w:val="a5"/>
            <w:rFonts w:ascii="Arial" w:eastAsia="宋体" w:hAnsi="Arial" w:cs="Arial"/>
            <w:sz w:val="18"/>
            <w:szCs w:val="18"/>
          </w:rPr>
          <w:t>Table of Contents</w:t>
        </w:r>
      </w:hyperlink>
    </w:p>
    <w:p w14:paraId="4090FA78" w14:textId="77777777" w:rsidR="00833634" w:rsidRDefault="00E15D51">
      <w:pPr>
        <w:spacing w:after="180"/>
        <w:jc w:val="both"/>
      </w:pPr>
      <w:r>
        <w:rPr>
          <w:rFonts w:ascii="Arial" w:eastAsia="宋体" w:hAnsi="Arial" w:cs="Arial"/>
          <w:b/>
          <w:bCs/>
          <w:color w:val="000000"/>
          <w:sz w:val="20"/>
          <w:szCs w:val="20"/>
        </w:rPr>
        <w:t>Backlog</w:t>
      </w:r>
    </w:p>
    <w:p w14:paraId="4090FA79" w14:textId="77777777" w:rsidR="00833634" w:rsidRDefault="00E15D51">
      <w:pPr>
        <w:spacing w:after="300"/>
        <w:jc w:val="both"/>
      </w:pPr>
      <w:r>
        <w:rPr>
          <w:rFonts w:ascii="Arial" w:eastAsia="宋体" w:hAnsi="Arial" w:cs="Arial"/>
          <w:color w:val="000000"/>
          <w:sz w:val="20"/>
          <w:szCs w:val="20"/>
        </w:rPr>
        <w:t>BGS backlog decreased from $22,902 million as of December 31, 2019 to $17,464 million at September 30, 2020, prim</w:t>
      </w:r>
      <w:r>
        <w:rPr>
          <w:rFonts w:ascii="Arial" w:eastAsia="宋体" w:hAnsi="Arial" w:cs="Arial"/>
          <w:color w:val="000000"/>
          <w:sz w:val="20"/>
          <w:szCs w:val="20"/>
        </w:rPr>
        <w:t>arily due to a reduction for commercial orders that in our assessment no longer meet the accounting requirements of ASC 606 for inclusion in backlog.</w:t>
      </w:r>
    </w:p>
    <w:p w14:paraId="4090FA7A" w14:textId="77777777" w:rsidR="00833634" w:rsidRDefault="00E15D51">
      <w:pPr>
        <w:spacing w:before="300" w:after="180"/>
        <w:jc w:val="both"/>
      </w:pPr>
      <w:r>
        <w:rPr>
          <w:rFonts w:ascii="Arial" w:eastAsia="宋体" w:hAnsi="Arial" w:cs="Arial"/>
          <w:b/>
          <w:bCs/>
          <w:color w:val="000000"/>
          <w:sz w:val="20"/>
          <w:szCs w:val="20"/>
        </w:rPr>
        <w:t>Boeing Capital</w:t>
      </w:r>
    </w:p>
    <w:p w14:paraId="4090FA7B" w14:textId="77777777" w:rsidR="00833634" w:rsidRDefault="00E15D51">
      <w:pPr>
        <w:jc w:val="both"/>
      </w:pPr>
      <w:r>
        <w:rPr>
          <w:rFonts w:ascii="Arial" w:eastAsia="宋体" w:hAnsi="Arial" w:cs="Arial"/>
          <w:b/>
          <w:bCs/>
          <w:color w:val="000000"/>
          <w:sz w:val="20"/>
          <w:szCs w:val="20"/>
        </w:rPr>
        <w:t>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38"/>
        <w:gridCol w:w="4123"/>
        <w:gridCol w:w="37"/>
        <w:gridCol w:w="45"/>
        <w:gridCol w:w="812"/>
        <w:gridCol w:w="199"/>
        <w:gridCol w:w="36"/>
        <w:gridCol w:w="36"/>
        <w:gridCol w:w="36"/>
        <w:gridCol w:w="44"/>
        <w:gridCol w:w="742"/>
        <w:gridCol w:w="198"/>
        <w:gridCol w:w="36"/>
        <w:gridCol w:w="36"/>
        <w:gridCol w:w="36"/>
        <w:gridCol w:w="48"/>
        <w:gridCol w:w="632"/>
        <w:gridCol w:w="199"/>
        <w:gridCol w:w="37"/>
        <w:gridCol w:w="37"/>
        <w:gridCol w:w="37"/>
        <w:gridCol w:w="48"/>
        <w:gridCol w:w="646"/>
        <w:gridCol w:w="198"/>
      </w:tblGrid>
      <w:tr w:rsidR="00833634" w14:paraId="4090FA94" w14:textId="77777777">
        <w:tc>
          <w:tcPr>
            <w:tcW w:w="50" w:type="pct"/>
            <w:shd w:val="clear" w:color="auto" w:fill="auto"/>
          </w:tcPr>
          <w:p w14:paraId="4090FA7C" w14:textId="77777777" w:rsidR="00833634" w:rsidRDefault="00833634">
            <w:pPr>
              <w:rPr>
                <w:rFonts w:ascii="宋体"/>
              </w:rPr>
            </w:pPr>
          </w:p>
        </w:tc>
        <w:tc>
          <w:tcPr>
            <w:tcW w:w="2533" w:type="pct"/>
            <w:shd w:val="clear" w:color="auto" w:fill="auto"/>
          </w:tcPr>
          <w:p w14:paraId="4090FA7D" w14:textId="77777777" w:rsidR="00833634" w:rsidRDefault="00833634">
            <w:pPr>
              <w:rPr>
                <w:rFonts w:ascii="宋体"/>
              </w:rPr>
            </w:pPr>
          </w:p>
        </w:tc>
        <w:tc>
          <w:tcPr>
            <w:tcW w:w="5" w:type="pct"/>
            <w:shd w:val="clear" w:color="auto" w:fill="auto"/>
          </w:tcPr>
          <w:p w14:paraId="4090FA7E" w14:textId="77777777" w:rsidR="00833634" w:rsidRDefault="00833634">
            <w:pPr>
              <w:rPr>
                <w:rFonts w:ascii="宋体"/>
              </w:rPr>
            </w:pPr>
          </w:p>
        </w:tc>
        <w:tc>
          <w:tcPr>
            <w:tcW w:w="50" w:type="pct"/>
            <w:shd w:val="clear" w:color="auto" w:fill="auto"/>
          </w:tcPr>
          <w:p w14:paraId="4090FA7F" w14:textId="77777777" w:rsidR="00833634" w:rsidRDefault="00833634">
            <w:pPr>
              <w:rPr>
                <w:rFonts w:ascii="宋体"/>
              </w:rPr>
            </w:pPr>
          </w:p>
        </w:tc>
        <w:tc>
          <w:tcPr>
            <w:tcW w:w="553" w:type="pct"/>
            <w:shd w:val="clear" w:color="auto" w:fill="auto"/>
          </w:tcPr>
          <w:p w14:paraId="4090FA80" w14:textId="77777777" w:rsidR="00833634" w:rsidRDefault="00833634">
            <w:pPr>
              <w:rPr>
                <w:rFonts w:ascii="宋体"/>
              </w:rPr>
            </w:pPr>
          </w:p>
        </w:tc>
        <w:tc>
          <w:tcPr>
            <w:tcW w:w="5" w:type="pct"/>
            <w:shd w:val="clear" w:color="auto" w:fill="auto"/>
          </w:tcPr>
          <w:p w14:paraId="4090FA81" w14:textId="77777777" w:rsidR="00833634" w:rsidRDefault="00833634">
            <w:pPr>
              <w:rPr>
                <w:rFonts w:ascii="宋体"/>
              </w:rPr>
            </w:pPr>
          </w:p>
        </w:tc>
        <w:tc>
          <w:tcPr>
            <w:tcW w:w="5" w:type="pct"/>
            <w:shd w:val="clear" w:color="auto" w:fill="auto"/>
          </w:tcPr>
          <w:p w14:paraId="4090FA82" w14:textId="77777777" w:rsidR="00833634" w:rsidRDefault="00833634">
            <w:pPr>
              <w:rPr>
                <w:rFonts w:ascii="宋体"/>
              </w:rPr>
            </w:pPr>
          </w:p>
        </w:tc>
        <w:tc>
          <w:tcPr>
            <w:tcW w:w="30" w:type="pct"/>
            <w:shd w:val="clear" w:color="auto" w:fill="auto"/>
          </w:tcPr>
          <w:p w14:paraId="4090FA83" w14:textId="77777777" w:rsidR="00833634" w:rsidRDefault="00833634">
            <w:pPr>
              <w:rPr>
                <w:rFonts w:ascii="宋体"/>
              </w:rPr>
            </w:pPr>
          </w:p>
        </w:tc>
        <w:tc>
          <w:tcPr>
            <w:tcW w:w="5" w:type="pct"/>
            <w:shd w:val="clear" w:color="auto" w:fill="auto"/>
          </w:tcPr>
          <w:p w14:paraId="4090FA84" w14:textId="77777777" w:rsidR="00833634" w:rsidRDefault="00833634">
            <w:pPr>
              <w:rPr>
                <w:rFonts w:ascii="宋体"/>
              </w:rPr>
            </w:pPr>
          </w:p>
        </w:tc>
        <w:tc>
          <w:tcPr>
            <w:tcW w:w="50" w:type="pct"/>
            <w:shd w:val="clear" w:color="auto" w:fill="auto"/>
          </w:tcPr>
          <w:p w14:paraId="4090FA85" w14:textId="77777777" w:rsidR="00833634" w:rsidRDefault="00833634">
            <w:pPr>
              <w:rPr>
                <w:rFonts w:ascii="宋体"/>
              </w:rPr>
            </w:pPr>
          </w:p>
        </w:tc>
        <w:tc>
          <w:tcPr>
            <w:tcW w:w="545" w:type="pct"/>
            <w:shd w:val="clear" w:color="auto" w:fill="auto"/>
          </w:tcPr>
          <w:p w14:paraId="4090FA86" w14:textId="77777777" w:rsidR="00833634" w:rsidRDefault="00833634">
            <w:pPr>
              <w:rPr>
                <w:rFonts w:ascii="宋体"/>
              </w:rPr>
            </w:pPr>
          </w:p>
        </w:tc>
        <w:tc>
          <w:tcPr>
            <w:tcW w:w="5" w:type="pct"/>
            <w:shd w:val="clear" w:color="auto" w:fill="auto"/>
          </w:tcPr>
          <w:p w14:paraId="4090FA87" w14:textId="77777777" w:rsidR="00833634" w:rsidRDefault="00833634">
            <w:pPr>
              <w:rPr>
                <w:rFonts w:ascii="宋体"/>
              </w:rPr>
            </w:pPr>
          </w:p>
        </w:tc>
        <w:tc>
          <w:tcPr>
            <w:tcW w:w="5" w:type="pct"/>
            <w:shd w:val="clear" w:color="auto" w:fill="auto"/>
          </w:tcPr>
          <w:p w14:paraId="4090FA88" w14:textId="77777777" w:rsidR="00833634" w:rsidRDefault="00833634">
            <w:pPr>
              <w:rPr>
                <w:rFonts w:ascii="宋体"/>
              </w:rPr>
            </w:pPr>
          </w:p>
        </w:tc>
        <w:tc>
          <w:tcPr>
            <w:tcW w:w="30" w:type="pct"/>
            <w:shd w:val="clear" w:color="auto" w:fill="auto"/>
          </w:tcPr>
          <w:p w14:paraId="4090FA89" w14:textId="77777777" w:rsidR="00833634" w:rsidRDefault="00833634">
            <w:pPr>
              <w:rPr>
                <w:rFonts w:ascii="宋体"/>
              </w:rPr>
            </w:pPr>
          </w:p>
        </w:tc>
        <w:tc>
          <w:tcPr>
            <w:tcW w:w="5" w:type="pct"/>
            <w:shd w:val="clear" w:color="auto" w:fill="auto"/>
          </w:tcPr>
          <w:p w14:paraId="4090FA8A" w14:textId="77777777" w:rsidR="00833634" w:rsidRDefault="00833634">
            <w:pPr>
              <w:rPr>
                <w:rFonts w:ascii="宋体"/>
              </w:rPr>
            </w:pPr>
          </w:p>
        </w:tc>
        <w:tc>
          <w:tcPr>
            <w:tcW w:w="50" w:type="pct"/>
            <w:shd w:val="clear" w:color="auto" w:fill="auto"/>
          </w:tcPr>
          <w:p w14:paraId="4090FA8B" w14:textId="77777777" w:rsidR="00833634" w:rsidRDefault="00833634">
            <w:pPr>
              <w:rPr>
                <w:rFonts w:ascii="宋体"/>
              </w:rPr>
            </w:pPr>
          </w:p>
        </w:tc>
        <w:tc>
          <w:tcPr>
            <w:tcW w:w="481" w:type="pct"/>
            <w:shd w:val="clear" w:color="auto" w:fill="auto"/>
          </w:tcPr>
          <w:p w14:paraId="4090FA8C" w14:textId="77777777" w:rsidR="00833634" w:rsidRDefault="00833634">
            <w:pPr>
              <w:rPr>
                <w:rFonts w:ascii="宋体"/>
              </w:rPr>
            </w:pPr>
          </w:p>
        </w:tc>
        <w:tc>
          <w:tcPr>
            <w:tcW w:w="5" w:type="pct"/>
            <w:shd w:val="clear" w:color="auto" w:fill="auto"/>
          </w:tcPr>
          <w:p w14:paraId="4090FA8D" w14:textId="77777777" w:rsidR="00833634" w:rsidRDefault="00833634">
            <w:pPr>
              <w:rPr>
                <w:rFonts w:ascii="宋体"/>
              </w:rPr>
            </w:pPr>
          </w:p>
        </w:tc>
        <w:tc>
          <w:tcPr>
            <w:tcW w:w="5" w:type="pct"/>
            <w:shd w:val="clear" w:color="auto" w:fill="auto"/>
          </w:tcPr>
          <w:p w14:paraId="4090FA8E" w14:textId="77777777" w:rsidR="00833634" w:rsidRDefault="00833634">
            <w:pPr>
              <w:rPr>
                <w:rFonts w:ascii="宋体"/>
              </w:rPr>
            </w:pPr>
          </w:p>
        </w:tc>
        <w:tc>
          <w:tcPr>
            <w:tcW w:w="30" w:type="pct"/>
            <w:shd w:val="clear" w:color="auto" w:fill="auto"/>
          </w:tcPr>
          <w:p w14:paraId="4090FA8F" w14:textId="77777777" w:rsidR="00833634" w:rsidRDefault="00833634">
            <w:pPr>
              <w:rPr>
                <w:rFonts w:ascii="宋体"/>
              </w:rPr>
            </w:pPr>
          </w:p>
        </w:tc>
        <w:tc>
          <w:tcPr>
            <w:tcW w:w="5" w:type="pct"/>
            <w:shd w:val="clear" w:color="auto" w:fill="auto"/>
          </w:tcPr>
          <w:p w14:paraId="4090FA90" w14:textId="77777777" w:rsidR="00833634" w:rsidRDefault="00833634">
            <w:pPr>
              <w:rPr>
                <w:rFonts w:ascii="宋体"/>
              </w:rPr>
            </w:pPr>
          </w:p>
        </w:tc>
        <w:tc>
          <w:tcPr>
            <w:tcW w:w="50" w:type="pct"/>
            <w:shd w:val="clear" w:color="auto" w:fill="auto"/>
          </w:tcPr>
          <w:p w14:paraId="4090FA91" w14:textId="77777777" w:rsidR="00833634" w:rsidRDefault="00833634">
            <w:pPr>
              <w:rPr>
                <w:rFonts w:ascii="宋体"/>
              </w:rPr>
            </w:pPr>
          </w:p>
        </w:tc>
        <w:tc>
          <w:tcPr>
            <w:tcW w:w="490" w:type="pct"/>
            <w:shd w:val="clear" w:color="auto" w:fill="auto"/>
          </w:tcPr>
          <w:p w14:paraId="4090FA92" w14:textId="77777777" w:rsidR="00833634" w:rsidRDefault="00833634">
            <w:pPr>
              <w:rPr>
                <w:rFonts w:ascii="宋体"/>
              </w:rPr>
            </w:pPr>
          </w:p>
        </w:tc>
        <w:tc>
          <w:tcPr>
            <w:tcW w:w="5" w:type="pct"/>
            <w:shd w:val="clear" w:color="auto" w:fill="auto"/>
          </w:tcPr>
          <w:p w14:paraId="4090FA93" w14:textId="77777777" w:rsidR="00833634" w:rsidRDefault="00833634">
            <w:pPr>
              <w:rPr>
                <w:rFonts w:ascii="宋体"/>
              </w:rPr>
            </w:pPr>
          </w:p>
        </w:tc>
      </w:tr>
      <w:tr w:rsidR="00833634" w14:paraId="4090FA99" w14:textId="77777777">
        <w:tc>
          <w:tcPr>
            <w:tcW w:w="0" w:type="auto"/>
            <w:gridSpan w:val="3"/>
            <w:shd w:val="clear" w:color="auto" w:fill="auto"/>
            <w:tcMar>
              <w:top w:w="40" w:type="dxa"/>
              <w:left w:w="20" w:type="dxa"/>
              <w:bottom w:w="40" w:type="dxa"/>
              <w:right w:w="20" w:type="dxa"/>
            </w:tcMar>
            <w:vAlign w:val="bottom"/>
          </w:tcPr>
          <w:p w14:paraId="4090FA95"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A96"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A97"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A98"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AA2"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A9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A9B"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A9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A9D"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A9E"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A9F"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AA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AA1" w14:textId="77777777" w:rsidR="00833634" w:rsidRDefault="00E15D51">
            <w:pPr>
              <w:jc w:val="right"/>
              <w:textAlignment w:val="bottom"/>
            </w:pPr>
            <w:r>
              <w:rPr>
                <w:rFonts w:ascii="Arial" w:eastAsia="宋体" w:hAnsi="Arial" w:cs="Arial"/>
                <w:color w:val="000000"/>
                <w:sz w:val="20"/>
                <w:szCs w:val="20"/>
              </w:rPr>
              <w:t>2019</w:t>
            </w:r>
          </w:p>
        </w:tc>
      </w:tr>
      <w:tr w:rsidR="00833634" w14:paraId="4090FAAF"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AA3" w14:textId="77777777" w:rsidR="00833634" w:rsidRDefault="00E15D51">
            <w:pPr>
              <w:textAlignment w:val="bottom"/>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A4" w14:textId="77777777" w:rsidR="00833634" w:rsidRDefault="00E15D51">
            <w:pPr>
              <w:jc w:val="right"/>
              <w:textAlignment w:val="bottom"/>
            </w:pPr>
            <w:r>
              <w:rPr>
                <w:rFonts w:ascii="Arial" w:eastAsia="宋体" w:hAnsi="Arial" w:cs="Arial"/>
                <w:b/>
                <w:bCs/>
                <w:color w:val="000000"/>
                <w:sz w:val="20"/>
                <w:szCs w:val="20"/>
              </w:rPr>
              <w:t>$205</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A5"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AA6"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A7" w14:textId="77777777" w:rsidR="00833634" w:rsidRDefault="00E15D51">
            <w:pPr>
              <w:jc w:val="right"/>
              <w:textAlignment w:val="bottom"/>
            </w:pPr>
            <w:r>
              <w:rPr>
                <w:rFonts w:ascii="Arial" w:eastAsia="宋体" w:hAnsi="Arial" w:cs="Arial"/>
                <w:color w:val="000000"/>
                <w:sz w:val="20"/>
                <w:szCs w:val="20"/>
              </w:rPr>
              <w:t>$207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A8"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AA9"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AA" w14:textId="77777777" w:rsidR="00833634" w:rsidRDefault="00E15D51">
            <w:pPr>
              <w:jc w:val="right"/>
              <w:textAlignment w:val="bottom"/>
            </w:pPr>
            <w:r>
              <w:rPr>
                <w:rFonts w:ascii="Arial" w:eastAsia="宋体" w:hAnsi="Arial" w:cs="Arial"/>
                <w:b/>
                <w:bCs/>
                <w:color w:val="000000"/>
                <w:sz w:val="20"/>
                <w:szCs w:val="20"/>
              </w:rPr>
              <w:t>$71</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AB"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AAC"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AD" w14:textId="77777777" w:rsidR="00833634" w:rsidRDefault="00E15D51">
            <w:pPr>
              <w:jc w:val="right"/>
              <w:textAlignment w:val="bottom"/>
            </w:pPr>
            <w:r>
              <w:rPr>
                <w:rFonts w:ascii="Arial" w:eastAsia="宋体" w:hAnsi="Arial" w:cs="Arial"/>
                <w:color w:val="000000"/>
                <w:sz w:val="20"/>
                <w:szCs w:val="20"/>
              </w:rPr>
              <w:t>$66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AE" w14:textId="77777777" w:rsidR="00833634" w:rsidRDefault="00833634">
            <w:pPr>
              <w:jc w:val="right"/>
              <w:rPr>
                <w:rFonts w:ascii="宋体"/>
              </w:rPr>
            </w:pPr>
          </w:p>
        </w:tc>
      </w:tr>
      <w:tr w:rsidR="00833634" w14:paraId="4090FABC" w14:textId="77777777">
        <w:tc>
          <w:tcPr>
            <w:tcW w:w="0" w:type="auto"/>
            <w:gridSpan w:val="3"/>
            <w:shd w:val="clear" w:color="auto" w:fill="auto"/>
            <w:tcMar>
              <w:top w:w="40" w:type="dxa"/>
              <w:left w:w="20" w:type="dxa"/>
              <w:bottom w:w="40" w:type="dxa"/>
              <w:right w:w="20" w:type="dxa"/>
            </w:tcMar>
            <w:vAlign w:val="bottom"/>
          </w:tcPr>
          <w:p w14:paraId="4090FAB0" w14:textId="77777777" w:rsidR="00833634" w:rsidRDefault="00E15D51">
            <w:pPr>
              <w:textAlignment w:val="bottom"/>
            </w:pPr>
            <w:r>
              <w:rPr>
                <w:rFonts w:ascii="Arial" w:eastAsia="宋体" w:hAnsi="Arial" w:cs="Arial"/>
                <w:color w:val="000000"/>
                <w:sz w:val="20"/>
                <w:szCs w:val="20"/>
              </w:rPr>
              <w:t>Earnings from operations</w:t>
            </w:r>
          </w:p>
        </w:tc>
        <w:tc>
          <w:tcPr>
            <w:tcW w:w="0" w:type="auto"/>
            <w:gridSpan w:val="2"/>
            <w:shd w:val="clear" w:color="auto" w:fill="auto"/>
            <w:tcMar>
              <w:top w:w="40" w:type="dxa"/>
              <w:left w:w="20" w:type="dxa"/>
              <w:bottom w:w="40" w:type="dxa"/>
              <w:right w:w="0" w:type="dxa"/>
            </w:tcMar>
            <w:vAlign w:val="bottom"/>
          </w:tcPr>
          <w:p w14:paraId="4090FAB1" w14:textId="77777777" w:rsidR="00833634" w:rsidRDefault="00E15D51">
            <w:pPr>
              <w:jc w:val="right"/>
              <w:textAlignment w:val="bottom"/>
            </w:pPr>
            <w:r>
              <w:rPr>
                <w:rFonts w:ascii="Arial" w:eastAsia="宋体" w:hAnsi="Arial" w:cs="Arial"/>
                <w:b/>
                <w:bCs/>
                <w:color w:val="000000"/>
                <w:sz w:val="20"/>
                <w:szCs w:val="20"/>
              </w:rPr>
              <w:t>$47</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AB2"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AB3"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AB4" w14:textId="77777777" w:rsidR="00833634" w:rsidRDefault="00E15D51">
            <w:pPr>
              <w:jc w:val="right"/>
              <w:textAlignment w:val="bottom"/>
            </w:pPr>
            <w:r>
              <w:rPr>
                <w:rFonts w:ascii="Arial" w:eastAsia="宋体" w:hAnsi="Arial" w:cs="Arial"/>
                <w:color w:val="000000"/>
                <w:sz w:val="20"/>
                <w:szCs w:val="20"/>
              </w:rPr>
              <w:t>$86 </w:t>
            </w:r>
          </w:p>
        </w:tc>
        <w:tc>
          <w:tcPr>
            <w:tcW w:w="0" w:type="auto"/>
            <w:shd w:val="clear" w:color="auto" w:fill="auto"/>
            <w:tcMar>
              <w:top w:w="40" w:type="dxa"/>
              <w:left w:w="0" w:type="dxa"/>
              <w:bottom w:w="40" w:type="dxa"/>
              <w:right w:w="20" w:type="dxa"/>
            </w:tcMar>
            <w:vAlign w:val="bottom"/>
          </w:tcPr>
          <w:p w14:paraId="4090FAB5"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AB6"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AB7" w14:textId="77777777" w:rsidR="00833634" w:rsidRDefault="00E15D51">
            <w:pPr>
              <w:jc w:val="right"/>
              <w:textAlignment w:val="bottom"/>
            </w:pPr>
            <w:r>
              <w:rPr>
                <w:rFonts w:ascii="Arial" w:eastAsia="宋体" w:hAnsi="Arial" w:cs="Arial"/>
                <w:b/>
                <w:bCs/>
                <w:color w:val="000000"/>
                <w:sz w:val="20"/>
                <w:szCs w:val="20"/>
              </w:rPr>
              <w:t>$30</w:t>
            </w:r>
            <w:r>
              <w:rPr>
                <w:rFonts w:ascii="Arial" w:eastAsia="宋体" w:hAnsi="Arial" w:cs="Arial"/>
                <w:color w:val="000000"/>
                <w:sz w:val="20"/>
                <w:szCs w:val="20"/>
              </w:rPr>
              <w:t> </w:t>
            </w:r>
          </w:p>
        </w:tc>
        <w:tc>
          <w:tcPr>
            <w:tcW w:w="0" w:type="auto"/>
            <w:shd w:val="clear" w:color="auto" w:fill="auto"/>
            <w:tcMar>
              <w:top w:w="40" w:type="dxa"/>
              <w:left w:w="0" w:type="dxa"/>
              <w:bottom w:w="40" w:type="dxa"/>
              <w:right w:w="20" w:type="dxa"/>
            </w:tcMar>
            <w:vAlign w:val="bottom"/>
          </w:tcPr>
          <w:p w14:paraId="4090FAB8" w14:textId="77777777" w:rsidR="00833634" w:rsidRDefault="00833634">
            <w:pPr>
              <w:jc w:val="right"/>
              <w:rPr>
                <w:rFonts w:ascii="宋体"/>
              </w:rPr>
            </w:pPr>
          </w:p>
        </w:tc>
        <w:tc>
          <w:tcPr>
            <w:tcW w:w="0" w:type="auto"/>
            <w:gridSpan w:val="3"/>
            <w:shd w:val="clear" w:color="auto" w:fill="auto"/>
            <w:tcMar>
              <w:top w:w="0" w:type="dxa"/>
              <w:left w:w="20" w:type="dxa"/>
              <w:bottom w:w="0" w:type="dxa"/>
              <w:right w:w="20" w:type="dxa"/>
            </w:tcMar>
          </w:tcPr>
          <w:p w14:paraId="4090FAB9" w14:textId="77777777" w:rsidR="00833634" w:rsidRDefault="00833634">
            <w:pPr>
              <w:rPr>
                <w:rFonts w:ascii="宋体"/>
              </w:rPr>
            </w:pPr>
          </w:p>
        </w:tc>
        <w:tc>
          <w:tcPr>
            <w:tcW w:w="0" w:type="auto"/>
            <w:gridSpan w:val="2"/>
            <w:shd w:val="clear" w:color="auto" w:fill="auto"/>
            <w:tcMar>
              <w:top w:w="40" w:type="dxa"/>
              <w:left w:w="20" w:type="dxa"/>
              <w:bottom w:w="40" w:type="dxa"/>
              <w:right w:w="0" w:type="dxa"/>
            </w:tcMar>
            <w:vAlign w:val="bottom"/>
          </w:tcPr>
          <w:p w14:paraId="4090FABA" w14:textId="77777777" w:rsidR="00833634" w:rsidRDefault="00E15D51">
            <w:pPr>
              <w:jc w:val="right"/>
              <w:textAlignment w:val="bottom"/>
            </w:pPr>
            <w:r>
              <w:rPr>
                <w:rFonts w:ascii="Arial" w:eastAsia="宋体" w:hAnsi="Arial" w:cs="Arial"/>
                <w:color w:val="000000"/>
                <w:sz w:val="20"/>
                <w:szCs w:val="20"/>
              </w:rPr>
              <w:t>$29 </w:t>
            </w:r>
          </w:p>
        </w:tc>
        <w:tc>
          <w:tcPr>
            <w:tcW w:w="0" w:type="auto"/>
            <w:shd w:val="clear" w:color="auto" w:fill="auto"/>
            <w:tcMar>
              <w:top w:w="40" w:type="dxa"/>
              <w:left w:w="0" w:type="dxa"/>
              <w:bottom w:w="40" w:type="dxa"/>
              <w:right w:w="20" w:type="dxa"/>
            </w:tcMar>
            <w:vAlign w:val="bottom"/>
          </w:tcPr>
          <w:p w14:paraId="4090FABB" w14:textId="77777777" w:rsidR="00833634" w:rsidRDefault="00833634">
            <w:pPr>
              <w:jc w:val="right"/>
              <w:rPr>
                <w:rFonts w:ascii="宋体"/>
              </w:rPr>
            </w:pPr>
          </w:p>
        </w:tc>
      </w:tr>
      <w:tr w:rsidR="00833634" w14:paraId="4090FAC9" w14:textId="77777777">
        <w:tc>
          <w:tcPr>
            <w:tcW w:w="0" w:type="auto"/>
            <w:gridSpan w:val="3"/>
            <w:tcBorders>
              <w:bottom w:val="double" w:sz="6" w:space="0" w:color="000000"/>
            </w:tcBorders>
            <w:shd w:val="clear" w:color="auto" w:fill="CCEEFF"/>
            <w:tcMar>
              <w:top w:w="40" w:type="dxa"/>
              <w:left w:w="20" w:type="dxa"/>
              <w:bottom w:w="40" w:type="dxa"/>
              <w:right w:w="20" w:type="dxa"/>
            </w:tcMar>
            <w:vAlign w:val="bottom"/>
          </w:tcPr>
          <w:p w14:paraId="4090FABD" w14:textId="77777777" w:rsidR="00833634" w:rsidRDefault="00E15D51">
            <w:pPr>
              <w:textAlignment w:val="bottom"/>
            </w:pPr>
            <w:r>
              <w:rPr>
                <w:rFonts w:ascii="Arial" w:eastAsia="宋体" w:hAnsi="Arial" w:cs="Arial"/>
                <w:color w:val="000000"/>
                <w:sz w:val="20"/>
                <w:szCs w:val="20"/>
              </w:rPr>
              <w:t>Operating margins</w:t>
            </w: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ABE" w14:textId="77777777" w:rsidR="00833634" w:rsidRDefault="00E15D51">
            <w:pPr>
              <w:jc w:val="right"/>
              <w:textAlignment w:val="bottom"/>
            </w:pPr>
            <w:r>
              <w:rPr>
                <w:rFonts w:ascii="Arial" w:eastAsia="宋体" w:hAnsi="Arial" w:cs="Arial"/>
                <w:b/>
                <w:bCs/>
                <w:color w:val="000000"/>
                <w:sz w:val="20"/>
                <w:szCs w:val="20"/>
              </w:rPr>
              <w:t>23</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ABF"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AC0"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AC1" w14:textId="77777777" w:rsidR="00833634" w:rsidRDefault="00E15D51">
            <w:pPr>
              <w:jc w:val="right"/>
              <w:textAlignment w:val="bottom"/>
            </w:pPr>
            <w:r>
              <w:rPr>
                <w:rFonts w:ascii="Arial" w:eastAsia="宋体" w:hAnsi="Arial" w:cs="Arial"/>
                <w:color w:val="000000"/>
                <w:sz w:val="20"/>
                <w:szCs w:val="20"/>
              </w:rPr>
              <w:t>42 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AC2" w14:textId="77777777" w:rsidR="00833634" w:rsidRDefault="00E15D51">
            <w:pPr>
              <w:jc w:val="right"/>
              <w:textAlignment w:val="bottom"/>
            </w:pPr>
            <w:r>
              <w:rPr>
                <w:rFonts w:ascii="Arial" w:eastAsia="宋体" w:hAnsi="Arial" w:cs="Arial"/>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AC3"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AC4" w14:textId="77777777" w:rsidR="00833634" w:rsidRDefault="00E15D51">
            <w:pPr>
              <w:jc w:val="right"/>
              <w:textAlignment w:val="bottom"/>
            </w:pPr>
            <w:r>
              <w:rPr>
                <w:rFonts w:ascii="Arial" w:eastAsia="宋体" w:hAnsi="Arial" w:cs="Arial"/>
                <w:b/>
                <w:bCs/>
                <w:color w:val="000000"/>
                <w:sz w:val="20"/>
                <w:szCs w:val="20"/>
              </w:rPr>
              <w:t>42</w:t>
            </w:r>
            <w:r>
              <w:rPr>
                <w:rFonts w:ascii="Arial" w:eastAsia="宋体" w:hAnsi="Arial" w:cs="Arial"/>
                <w:color w:val="000000"/>
                <w:sz w:val="20"/>
                <w:szCs w:val="20"/>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AC5"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bottom w:val="double" w:sz="6" w:space="0" w:color="000000"/>
            </w:tcBorders>
            <w:shd w:val="clear" w:color="auto" w:fill="CCEEFF"/>
            <w:tcMar>
              <w:top w:w="0" w:type="dxa"/>
              <w:left w:w="20" w:type="dxa"/>
              <w:bottom w:w="0" w:type="dxa"/>
              <w:right w:w="20" w:type="dxa"/>
            </w:tcMar>
          </w:tcPr>
          <w:p w14:paraId="4090FAC6" w14:textId="77777777" w:rsidR="00833634" w:rsidRDefault="00833634">
            <w:pPr>
              <w:rPr>
                <w:rFonts w:ascii="宋体"/>
              </w:rPr>
            </w:pPr>
          </w:p>
        </w:tc>
        <w:tc>
          <w:tcPr>
            <w:tcW w:w="0" w:type="auto"/>
            <w:gridSpan w:val="2"/>
            <w:tcBorders>
              <w:bottom w:val="double" w:sz="6" w:space="0" w:color="000000"/>
            </w:tcBorders>
            <w:shd w:val="clear" w:color="auto" w:fill="CCEEFF"/>
            <w:tcMar>
              <w:top w:w="40" w:type="dxa"/>
              <w:left w:w="20" w:type="dxa"/>
              <w:bottom w:w="40" w:type="dxa"/>
              <w:right w:w="0" w:type="dxa"/>
            </w:tcMar>
            <w:vAlign w:val="bottom"/>
          </w:tcPr>
          <w:p w14:paraId="4090FAC7" w14:textId="77777777" w:rsidR="00833634" w:rsidRDefault="00E15D51">
            <w:pPr>
              <w:jc w:val="right"/>
              <w:textAlignment w:val="bottom"/>
            </w:pPr>
            <w:r>
              <w:rPr>
                <w:rFonts w:ascii="Arial" w:eastAsia="宋体" w:hAnsi="Arial" w:cs="Arial"/>
                <w:color w:val="000000"/>
                <w:sz w:val="20"/>
                <w:szCs w:val="20"/>
              </w:rPr>
              <w:t>44 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4090FAC8" w14:textId="77777777" w:rsidR="00833634" w:rsidRDefault="00E15D51">
            <w:pPr>
              <w:jc w:val="right"/>
              <w:textAlignment w:val="bottom"/>
            </w:pPr>
            <w:r>
              <w:rPr>
                <w:rFonts w:ascii="Arial" w:eastAsia="宋体" w:hAnsi="Arial" w:cs="Arial"/>
                <w:color w:val="000000"/>
                <w:sz w:val="20"/>
                <w:szCs w:val="20"/>
              </w:rPr>
              <w:t>%</w:t>
            </w:r>
          </w:p>
        </w:tc>
      </w:tr>
    </w:tbl>
    <w:p w14:paraId="4090FACA" w14:textId="77777777" w:rsidR="00833634" w:rsidRDefault="00E15D51">
      <w:pPr>
        <w:spacing w:after="180"/>
        <w:jc w:val="both"/>
      </w:pPr>
      <w:r>
        <w:rPr>
          <w:rFonts w:ascii="Arial" w:eastAsia="宋体" w:hAnsi="Arial" w:cs="Arial"/>
          <w:b/>
          <w:bCs/>
          <w:color w:val="000000"/>
          <w:sz w:val="20"/>
          <w:szCs w:val="20"/>
        </w:rPr>
        <w:t>Revenues</w:t>
      </w:r>
    </w:p>
    <w:p w14:paraId="4090FACB" w14:textId="77777777" w:rsidR="00833634" w:rsidRDefault="00E15D51">
      <w:pPr>
        <w:spacing w:after="180"/>
        <w:jc w:val="both"/>
      </w:pPr>
      <w:r>
        <w:rPr>
          <w:rFonts w:ascii="Arial" w:eastAsia="宋体" w:hAnsi="Arial" w:cs="Arial"/>
          <w:color w:val="000000"/>
          <w:sz w:val="20"/>
          <w:szCs w:val="20"/>
        </w:rPr>
        <w:t>BCC segment revenues consist principally of lease income from equipment under operating lease, interest income from financing receivables and notes, and other income. BCC’s revenues for the nine and three month</w:t>
      </w:r>
      <w:r>
        <w:rPr>
          <w:rFonts w:ascii="Arial" w:eastAsia="宋体" w:hAnsi="Arial" w:cs="Arial"/>
          <w:color w:val="000000"/>
          <w:sz w:val="20"/>
          <w:szCs w:val="20"/>
        </w:rPr>
        <w:t>s ended September 30, 2020 were largely consistent with the same periods in 2019.</w:t>
      </w:r>
    </w:p>
    <w:p w14:paraId="4090FACC" w14:textId="77777777" w:rsidR="00833634" w:rsidRDefault="00E15D51">
      <w:pPr>
        <w:spacing w:after="180"/>
        <w:jc w:val="both"/>
      </w:pPr>
      <w:r>
        <w:rPr>
          <w:rFonts w:ascii="Arial" w:eastAsia="宋体" w:hAnsi="Arial" w:cs="Arial"/>
          <w:b/>
          <w:bCs/>
          <w:color w:val="000000"/>
          <w:sz w:val="20"/>
          <w:szCs w:val="20"/>
        </w:rPr>
        <w:t>Earnings From Operations</w:t>
      </w:r>
    </w:p>
    <w:p w14:paraId="4090FACD" w14:textId="77777777" w:rsidR="00833634" w:rsidRDefault="00E15D51">
      <w:pPr>
        <w:spacing w:after="180"/>
        <w:jc w:val="both"/>
      </w:pPr>
      <w:r>
        <w:rPr>
          <w:rFonts w:ascii="Arial" w:eastAsia="宋体" w:hAnsi="Arial" w:cs="Arial"/>
          <w:color w:val="000000"/>
          <w:sz w:val="20"/>
          <w:szCs w:val="20"/>
        </w:rPr>
        <w:t>BCC’s earnings from operations are presented net of interest expense, provision for (recovery of) losses, asset impairment expense, depreciation on l</w:t>
      </w:r>
      <w:r>
        <w:rPr>
          <w:rFonts w:ascii="Arial" w:eastAsia="宋体" w:hAnsi="Arial" w:cs="Arial"/>
          <w:color w:val="000000"/>
          <w:sz w:val="20"/>
          <w:szCs w:val="20"/>
        </w:rPr>
        <w:t>eased equipment and other operating expenses. Earnings from operations for the nine and three months ended September 30, 2020 decreased compared with the same periods in 2019 primarily due to higher asset impairment expense along with higher provision expe</w:t>
      </w:r>
      <w:r>
        <w:rPr>
          <w:rFonts w:ascii="Arial" w:eastAsia="宋体" w:hAnsi="Arial" w:cs="Arial"/>
          <w:color w:val="000000"/>
          <w:sz w:val="20"/>
          <w:szCs w:val="20"/>
        </w:rPr>
        <w:t>nse.</w:t>
      </w:r>
    </w:p>
    <w:p w14:paraId="4090FACE" w14:textId="77777777" w:rsidR="00833634" w:rsidRDefault="00E15D51">
      <w:pPr>
        <w:spacing w:after="180"/>
        <w:jc w:val="both"/>
      </w:pPr>
      <w:r>
        <w:rPr>
          <w:rFonts w:ascii="Arial" w:eastAsia="宋体" w:hAnsi="Arial" w:cs="Arial"/>
          <w:b/>
          <w:bCs/>
          <w:color w:val="000000"/>
          <w:sz w:val="20"/>
          <w:szCs w:val="20"/>
        </w:rPr>
        <w:t>Financial Position</w:t>
      </w:r>
    </w:p>
    <w:p w14:paraId="4090FACF" w14:textId="77777777" w:rsidR="00833634" w:rsidRDefault="00E15D51">
      <w:pPr>
        <w:jc w:val="both"/>
      </w:pPr>
      <w:r>
        <w:rPr>
          <w:rFonts w:ascii="Arial" w:eastAsia="宋体" w:hAnsi="Arial" w:cs="Arial"/>
          <w:color w:val="000000"/>
          <w:sz w:val="20"/>
          <w:szCs w:val="20"/>
        </w:rPr>
        <w:t>The following table presents selected financial data for BCC:</w:t>
      </w:r>
    </w:p>
    <w:tbl>
      <w:tblPr>
        <w:tblW w:w="4992" w:type="pct"/>
        <w:tblCellMar>
          <w:top w:w="15" w:type="dxa"/>
          <w:left w:w="15" w:type="dxa"/>
          <w:bottom w:w="15" w:type="dxa"/>
          <w:right w:w="15" w:type="dxa"/>
        </w:tblCellMar>
        <w:tblLook w:val="04A0" w:firstRow="1" w:lastRow="0" w:firstColumn="1" w:lastColumn="0" w:noHBand="0" w:noVBand="1"/>
      </w:tblPr>
      <w:tblGrid>
        <w:gridCol w:w="62"/>
        <w:gridCol w:w="5675"/>
        <w:gridCol w:w="39"/>
        <w:gridCol w:w="70"/>
        <w:gridCol w:w="1163"/>
        <w:gridCol w:w="36"/>
        <w:gridCol w:w="36"/>
        <w:gridCol w:w="36"/>
        <w:gridCol w:w="36"/>
        <w:gridCol w:w="68"/>
        <w:gridCol w:w="1066"/>
        <w:gridCol w:w="36"/>
      </w:tblGrid>
      <w:tr w:rsidR="00833634" w14:paraId="4090FADC" w14:textId="77777777">
        <w:tc>
          <w:tcPr>
            <w:tcW w:w="50" w:type="pct"/>
            <w:shd w:val="clear" w:color="auto" w:fill="auto"/>
          </w:tcPr>
          <w:p w14:paraId="4090FAD0" w14:textId="77777777" w:rsidR="00833634" w:rsidRDefault="00833634">
            <w:pPr>
              <w:rPr>
                <w:rFonts w:ascii="宋体"/>
              </w:rPr>
            </w:pPr>
          </w:p>
        </w:tc>
        <w:tc>
          <w:tcPr>
            <w:tcW w:w="3420" w:type="pct"/>
            <w:shd w:val="clear" w:color="auto" w:fill="auto"/>
          </w:tcPr>
          <w:p w14:paraId="4090FAD1" w14:textId="77777777" w:rsidR="00833634" w:rsidRDefault="00833634">
            <w:pPr>
              <w:rPr>
                <w:rFonts w:ascii="宋体"/>
              </w:rPr>
            </w:pPr>
          </w:p>
        </w:tc>
        <w:tc>
          <w:tcPr>
            <w:tcW w:w="5" w:type="pct"/>
            <w:shd w:val="clear" w:color="auto" w:fill="auto"/>
          </w:tcPr>
          <w:p w14:paraId="4090FAD2" w14:textId="77777777" w:rsidR="00833634" w:rsidRDefault="00833634">
            <w:pPr>
              <w:rPr>
                <w:rFonts w:ascii="宋体"/>
              </w:rPr>
            </w:pPr>
          </w:p>
        </w:tc>
        <w:tc>
          <w:tcPr>
            <w:tcW w:w="50" w:type="pct"/>
            <w:shd w:val="clear" w:color="auto" w:fill="auto"/>
          </w:tcPr>
          <w:p w14:paraId="4090FAD3" w14:textId="77777777" w:rsidR="00833634" w:rsidRDefault="00833634">
            <w:pPr>
              <w:rPr>
                <w:rFonts w:ascii="宋体"/>
              </w:rPr>
            </w:pPr>
          </w:p>
        </w:tc>
        <w:tc>
          <w:tcPr>
            <w:tcW w:w="715" w:type="pct"/>
            <w:shd w:val="clear" w:color="auto" w:fill="auto"/>
          </w:tcPr>
          <w:p w14:paraId="4090FAD4" w14:textId="77777777" w:rsidR="00833634" w:rsidRDefault="00833634">
            <w:pPr>
              <w:rPr>
                <w:rFonts w:ascii="宋体"/>
              </w:rPr>
            </w:pPr>
          </w:p>
        </w:tc>
        <w:tc>
          <w:tcPr>
            <w:tcW w:w="5" w:type="pct"/>
            <w:shd w:val="clear" w:color="auto" w:fill="auto"/>
          </w:tcPr>
          <w:p w14:paraId="4090FAD5" w14:textId="77777777" w:rsidR="00833634" w:rsidRDefault="00833634">
            <w:pPr>
              <w:rPr>
                <w:rFonts w:ascii="宋体"/>
              </w:rPr>
            </w:pPr>
          </w:p>
        </w:tc>
        <w:tc>
          <w:tcPr>
            <w:tcW w:w="5" w:type="pct"/>
            <w:shd w:val="clear" w:color="auto" w:fill="auto"/>
          </w:tcPr>
          <w:p w14:paraId="4090FAD6" w14:textId="77777777" w:rsidR="00833634" w:rsidRDefault="00833634">
            <w:pPr>
              <w:rPr>
                <w:rFonts w:ascii="宋体"/>
              </w:rPr>
            </w:pPr>
          </w:p>
        </w:tc>
        <w:tc>
          <w:tcPr>
            <w:tcW w:w="30" w:type="pct"/>
            <w:shd w:val="clear" w:color="auto" w:fill="auto"/>
          </w:tcPr>
          <w:p w14:paraId="4090FAD7" w14:textId="77777777" w:rsidR="00833634" w:rsidRDefault="00833634">
            <w:pPr>
              <w:rPr>
                <w:rFonts w:ascii="宋体"/>
              </w:rPr>
            </w:pPr>
          </w:p>
        </w:tc>
        <w:tc>
          <w:tcPr>
            <w:tcW w:w="5" w:type="pct"/>
            <w:shd w:val="clear" w:color="auto" w:fill="auto"/>
          </w:tcPr>
          <w:p w14:paraId="4090FAD8" w14:textId="77777777" w:rsidR="00833634" w:rsidRDefault="00833634">
            <w:pPr>
              <w:rPr>
                <w:rFonts w:ascii="宋体"/>
              </w:rPr>
            </w:pPr>
          </w:p>
        </w:tc>
        <w:tc>
          <w:tcPr>
            <w:tcW w:w="50" w:type="pct"/>
            <w:shd w:val="clear" w:color="auto" w:fill="auto"/>
          </w:tcPr>
          <w:p w14:paraId="4090FAD9" w14:textId="77777777" w:rsidR="00833634" w:rsidRDefault="00833634">
            <w:pPr>
              <w:rPr>
                <w:rFonts w:ascii="宋体"/>
              </w:rPr>
            </w:pPr>
          </w:p>
        </w:tc>
        <w:tc>
          <w:tcPr>
            <w:tcW w:w="659" w:type="pct"/>
            <w:shd w:val="clear" w:color="auto" w:fill="auto"/>
          </w:tcPr>
          <w:p w14:paraId="4090FADA" w14:textId="77777777" w:rsidR="00833634" w:rsidRDefault="00833634">
            <w:pPr>
              <w:rPr>
                <w:rFonts w:ascii="宋体"/>
              </w:rPr>
            </w:pPr>
          </w:p>
        </w:tc>
        <w:tc>
          <w:tcPr>
            <w:tcW w:w="5" w:type="pct"/>
            <w:shd w:val="clear" w:color="auto" w:fill="auto"/>
          </w:tcPr>
          <w:p w14:paraId="4090FADB" w14:textId="77777777" w:rsidR="00833634" w:rsidRDefault="00833634">
            <w:pPr>
              <w:rPr>
                <w:rFonts w:ascii="宋体"/>
              </w:rPr>
            </w:pPr>
          </w:p>
        </w:tc>
      </w:tr>
      <w:tr w:rsidR="00833634" w14:paraId="4090FAE1" w14:textId="77777777">
        <w:tc>
          <w:tcPr>
            <w:tcW w:w="0" w:type="auto"/>
            <w:gridSpan w:val="3"/>
            <w:shd w:val="clear" w:color="auto" w:fill="auto"/>
            <w:tcMar>
              <w:top w:w="40" w:type="dxa"/>
              <w:left w:w="20" w:type="dxa"/>
              <w:bottom w:w="40" w:type="dxa"/>
              <w:right w:w="20" w:type="dxa"/>
            </w:tcMar>
            <w:vAlign w:val="bottom"/>
          </w:tcPr>
          <w:p w14:paraId="4090FADD"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3"/>
            <w:shd w:val="clear" w:color="auto" w:fill="auto"/>
            <w:tcMar>
              <w:top w:w="40" w:type="dxa"/>
              <w:left w:w="20" w:type="dxa"/>
              <w:bottom w:w="40" w:type="dxa"/>
              <w:right w:w="20" w:type="dxa"/>
            </w:tcMar>
            <w:vAlign w:val="bottom"/>
          </w:tcPr>
          <w:p w14:paraId="4090FADE" w14:textId="77777777" w:rsidR="00833634" w:rsidRDefault="00E15D51">
            <w:pPr>
              <w:jc w:val="right"/>
              <w:textAlignment w:val="bottom"/>
            </w:pPr>
            <w:r>
              <w:rPr>
                <w:rFonts w:ascii="Arial" w:eastAsia="宋体" w:hAnsi="Arial" w:cs="Arial"/>
                <w:b/>
                <w:bCs/>
                <w:color w:val="000000"/>
                <w:sz w:val="20"/>
                <w:szCs w:val="20"/>
              </w:rPr>
              <w:t>September 30</w:t>
            </w:r>
            <w:r>
              <w:rPr>
                <w:rFonts w:ascii="Arial" w:eastAsia="宋体" w:hAnsi="Arial" w:cs="Arial"/>
                <w:b/>
                <w:bCs/>
                <w:color w:val="000000"/>
                <w:sz w:val="20"/>
                <w:szCs w:val="20"/>
              </w:rPr>
              <w:br/>
              <w:t>2020</w:t>
            </w:r>
          </w:p>
        </w:tc>
        <w:tc>
          <w:tcPr>
            <w:tcW w:w="0" w:type="auto"/>
            <w:gridSpan w:val="3"/>
            <w:shd w:val="clear" w:color="auto" w:fill="auto"/>
            <w:tcMar>
              <w:top w:w="0" w:type="dxa"/>
              <w:left w:w="20" w:type="dxa"/>
              <w:bottom w:w="0" w:type="dxa"/>
              <w:right w:w="20" w:type="dxa"/>
            </w:tcMar>
          </w:tcPr>
          <w:p w14:paraId="4090FADF"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AE0" w14:textId="77777777" w:rsidR="00833634" w:rsidRDefault="00E15D51">
            <w:pPr>
              <w:jc w:val="right"/>
              <w:textAlignment w:val="bottom"/>
            </w:pPr>
            <w:r>
              <w:rPr>
                <w:rFonts w:ascii="Arial" w:eastAsia="宋体" w:hAnsi="Arial" w:cs="Arial"/>
                <w:color w:val="000000"/>
                <w:sz w:val="20"/>
                <w:szCs w:val="20"/>
              </w:rPr>
              <w:t>December 31</w:t>
            </w:r>
            <w:r>
              <w:rPr>
                <w:rFonts w:ascii="Arial" w:eastAsia="宋体" w:hAnsi="Arial" w:cs="Arial"/>
                <w:color w:val="000000"/>
                <w:sz w:val="20"/>
                <w:szCs w:val="20"/>
              </w:rPr>
              <w:br/>
              <w:t>2019</w:t>
            </w:r>
          </w:p>
        </w:tc>
      </w:tr>
      <w:tr w:rsidR="00833634" w14:paraId="4090FAE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AE2" w14:textId="77777777" w:rsidR="00833634" w:rsidRDefault="00E15D51">
            <w:pPr>
              <w:textAlignment w:val="bottom"/>
            </w:pPr>
            <w:r>
              <w:rPr>
                <w:rFonts w:ascii="Arial" w:eastAsia="宋体" w:hAnsi="Arial" w:cs="Arial"/>
                <w:color w:val="000000"/>
                <w:sz w:val="20"/>
                <w:szCs w:val="20"/>
              </w:rPr>
              <w:t>Customer financing and investment portfolio,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E3" w14:textId="77777777" w:rsidR="00833634" w:rsidRDefault="00E15D51">
            <w:pPr>
              <w:jc w:val="right"/>
              <w:textAlignment w:val="bottom"/>
            </w:pPr>
            <w:r>
              <w:rPr>
                <w:rFonts w:ascii="Arial" w:eastAsia="宋体" w:hAnsi="Arial" w:cs="Arial"/>
                <w:b/>
                <w:bCs/>
                <w:color w:val="000000"/>
                <w:sz w:val="20"/>
                <w:szCs w:val="20"/>
              </w:rPr>
              <w:t>$2,037</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E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AE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E6" w14:textId="77777777" w:rsidR="00833634" w:rsidRDefault="00E15D51">
            <w:pPr>
              <w:jc w:val="right"/>
              <w:textAlignment w:val="bottom"/>
            </w:pPr>
            <w:r>
              <w:rPr>
                <w:rFonts w:ascii="Arial" w:eastAsia="宋体" w:hAnsi="Arial" w:cs="Arial"/>
                <w:color w:val="000000"/>
                <w:sz w:val="20"/>
                <w:szCs w:val="20"/>
              </w:rPr>
              <w:t>$2,251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E7" w14:textId="77777777" w:rsidR="00833634" w:rsidRDefault="00833634">
            <w:pPr>
              <w:jc w:val="right"/>
              <w:rPr>
                <w:rFonts w:ascii="宋体"/>
              </w:rPr>
            </w:pPr>
          </w:p>
        </w:tc>
      </w:tr>
      <w:tr w:rsidR="00833634" w14:paraId="4090FAEF" w14:textId="77777777">
        <w:tc>
          <w:tcPr>
            <w:tcW w:w="0" w:type="auto"/>
            <w:gridSpan w:val="3"/>
            <w:shd w:val="clear" w:color="auto" w:fill="FFFFFF"/>
            <w:tcMar>
              <w:top w:w="40" w:type="dxa"/>
              <w:left w:w="20" w:type="dxa"/>
              <w:bottom w:w="40" w:type="dxa"/>
              <w:right w:w="20" w:type="dxa"/>
            </w:tcMar>
            <w:vAlign w:val="bottom"/>
          </w:tcPr>
          <w:p w14:paraId="4090FAE9" w14:textId="77777777" w:rsidR="00833634" w:rsidRDefault="00E15D51">
            <w:pPr>
              <w:textAlignment w:val="bottom"/>
            </w:pPr>
            <w:r>
              <w:rPr>
                <w:rFonts w:ascii="Arial" w:eastAsia="宋体" w:hAnsi="Arial" w:cs="Arial"/>
                <w:color w:val="000000"/>
                <w:sz w:val="20"/>
                <w:szCs w:val="20"/>
              </w:rPr>
              <w:t xml:space="preserve">Other assets, </w:t>
            </w:r>
            <w:r>
              <w:rPr>
                <w:rFonts w:ascii="Arial" w:eastAsia="宋体" w:hAnsi="Arial" w:cs="Arial"/>
                <w:color w:val="000000"/>
                <w:sz w:val="20"/>
                <w:szCs w:val="20"/>
              </w:rPr>
              <w:t>primarily cash and short-term investments</w:t>
            </w:r>
          </w:p>
        </w:tc>
        <w:tc>
          <w:tcPr>
            <w:tcW w:w="0" w:type="auto"/>
            <w:gridSpan w:val="2"/>
            <w:shd w:val="clear" w:color="auto" w:fill="FFFFFF"/>
            <w:tcMar>
              <w:top w:w="40" w:type="dxa"/>
              <w:left w:w="20" w:type="dxa"/>
              <w:bottom w:w="40" w:type="dxa"/>
              <w:right w:w="0" w:type="dxa"/>
            </w:tcMar>
            <w:vAlign w:val="bottom"/>
          </w:tcPr>
          <w:p w14:paraId="4090FAEA" w14:textId="77777777" w:rsidR="00833634" w:rsidRDefault="00E15D51">
            <w:pPr>
              <w:jc w:val="right"/>
              <w:textAlignment w:val="bottom"/>
            </w:pPr>
            <w:r>
              <w:rPr>
                <w:rFonts w:ascii="Arial" w:eastAsia="宋体" w:hAnsi="Arial" w:cs="Arial"/>
                <w:b/>
                <w:bCs/>
                <w:color w:val="000000"/>
                <w:sz w:val="20"/>
                <w:szCs w:val="20"/>
              </w:rPr>
              <w:t>707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AE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AE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AED" w14:textId="77777777" w:rsidR="00833634" w:rsidRDefault="00E15D51">
            <w:pPr>
              <w:jc w:val="right"/>
              <w:textAlignment w:val="bottom"/>
            </w:pPr>
            <w:r>
              <w:rPr>
                <w:rFonts w:ascii="Arial" w:eastAsia="宋体" w:hAnsi="Arial" w:cs="Arial"/>
                <w:color w:val="000000"/>
                <w:sz w:val="20"/>
                <w:szCs w:val="20"/>
              </w:rPr>
              <w:t>535 </w:t>
            </w:r>
          </w:p>
        </w:tc>
        <w:tc>
          <w:tcPr>
            <w:tcW w:w="0" w:type="auto"/>
            <w:shd w:val="clear" w:color="auto" w:fill="FFFFFF"/>
            <w:tcMar>
              <w:top w:w="40" w:type="dxa"/>
              <w:left w:w="0" w:type="dxa"/>
              <w:bottom w:w="40" w:type="dxa"/>
              <w:right w:w="20" w:type="dxa"/>
            </w:tcMar>
            <w:vAlign w:val="bottom"/>
          </w:tcPr>
          <w:p w14:paraId="4090FAEE" w14:textId="77777777" w:rsidR="00833634" w:rsidRDefault="00833634">
            <w:pPr>
              <w:jc w:val="right"/>
              <w:rPr>
                <w:rFonts w:ascii="宋体"/>
              </w:rPr>
            </w:pPr>
          </w:p>
        </w:tc>
      </w:tr>
      <w:tr w:rsidR="00833634" w14:paraId="4090FAF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AF0" w14:textId="77777777" w:rsidR="00833634" w:rsidRDefault="00E15D51">
            <w:pPr>
              <w:textAlignment w:val="bottom"/>
            </w:pPr>
            <w:r>
              <w:rPr>
                <w:rFonts w:ascii="Arial" w:eastAsia="宋体" w:hAnsi="Arial" w:cs="Arial"/>
                <w:color w:val="000000"/>
                <w:sz w:val="20"/>
                <w:szCs w:val="20"/>
              </w:rPr>
              <w:t>Total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F1" w14:textId="77777777" w:rsidR="00833634" w:rsidRDefault="00E15D51">
            <w:pPr>
              <w:jc w:val="right"/>
              <w:textAlignment w:val="bottom"/>
            </w:pPr>
            <w:r>
              <w:rPr>
                <w:rFonts w:ascii="Arial" w:eastAsia="宋体" w:hAnsi="Arial" w:cs="Arial"/>
                <w:b/>
                <w:bCs/>
                <w:color w:val="000000"/>
                <w:sz w:val="20"/>
                <w:szCs w:val="20"/>
              </w:rPr>
              <w:t>$2,744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F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AF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AF4" w14:textId="77777777" w:rsidR="00833634" w:rsidRDefault="00E15D51">
            <w:pPr>
              <w:jc w:val="right"/>
              <w:textAlignment w:val="bottom"/>
            </w:pPr>
            <w:r>
              <w:rPr>
                <w:rFonts w:ascii="Arial" w:eastAsia="宋体" w:hAnsi="Arial" w:cs="Arial"/>
                <w:color w:val="000000"/>
                <w:sz w:val="20"/>
                <w:szCs w:val="20"/>
              </w:rPr>
              <w:t>$2,786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AF5" w14:textId="77777777" w:rsidR="00833634" w:rsidRDefault="00833634">
            <w:pPr>
              <w:jc w:val="right"/>
              <w:rPr>
                <w:rFonts w:ascii="宋体"/>
              </w:rPr>
            </w:pPr>
          </w:p>
        </w:tc>
      </w:tr>
      <w:tr w:rsidR="00833634" w14:paraId="4090FAFB" w14:textId="77777777">
        <w:trPr>
          <w:trHeight w:val="180"/>
        </w:trPr>
        <w:tc>
          <w:tcPr>
            <w:tcW w:w="0" w:type="auto"/>
            <w:gridSpan w:val="3"/>
            <w:tcBorders>
              <w:top w:val="single" w:sz="8" w:space="0" w:color="000000"/>
            </w:tcBorders>
            <w:shd w:val="clear" w:color="auto" w:fill="FFFFFF"/>
            <w:tcMar>
              <w:top w:w="0" w:type="dxa"/>
              <w:left w:w="20" w:type="dxa"/>
              <w:bottom w:w="0" w:type="dxa"/>
              <w:right w:w="20" w:type="dxa"/>
            </w:tcMar>
          </w:tcPr>
          <w:p w14:paraId="4090FAF7"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AF8"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AF9" w14:textId="77777777" w:rsidR="00833634" w:rsidRDefault="00833634">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AFA" w14:textId="77777777" w:rsidR="00833634" w:rsidRDefault="00833634">
            <w:pPr>
              <w:rPr>
                <w:rFonts w:ascii="宋体"/>
              </w:rPr>
            </w:pPr>
          </w:p>
        </w:tc>
      </w:tr>
      <w:tr w:rsidR="00833634" w14:paraId="4090FB02" w14:textId="77777777">
        <w:tc>
          <w:tcPr>
            <w:tcW w:w="0" w:type="auto"/>
            <w:gridSpan w:val="3"/>
            <w:shd w:val="clear" w:color="auto" w:fill="CCEEFF"/>
            <w:tcMar>
              <w:top w:w="40" w:type="dxa"/>
              <w:left w:w="20" w:type="dxa"/>
              <w:bottom w:w="40" w:type="dxa"/>
              <w:right w:w="20" w:type="dxa"/>
            </w:tcMar>
            <w:vAlign w:val="bottom"/>
          </w:tcPr>
          <w:p w14:paraId="4090FAFC" w14:textId="77777777" w:rsidR="00833634" w:rsidRDefault="00E15D51">
            <w:pPr>
              <w:textAlignment w:val="bottom"/>
            </w:pPr>
            <w:r>
              <w:rPr>
                <w:rFonts w:ascii="Arial" w:eastAsia="宋体" w:hAnsi="Arial" w:cs="Arial"/>
                <w:color w:val="000000"/>
                <w:sz w:val="20"/>
                <w:szCs w:val="20"/>
              </w:rPr>
              <w:t>Other liabilities, primarily deferred income taxes</w:t>
            </w:r>
          </w:p>
        </w:tc>
        <w:tc>
          <w:tcPr>
            <w:tcW w:w="0" w:type="auto"/>
            <w:gridSpan w:val="2"/>
            <w:shd w:val="clear" w:color="auto" w:fill="CCEEFF"/>
            <w:tcMar>
              <w:top w:w="40" w:type="dxa"/>
              <w:left w:w="20" w:type="dxa"/>
              <w:bottom w:w="40" w:type="dxa"/>
              <w:right w:w="0" w:type="dxa"/>
            </w:tcMar>
            <w:vAlign w:val="bottom"/>
          </w:tcPr>
          <w:p w14:paraId="4090FAFD" w14:textId="77777777" w:rsidR="00833634" w:rsidRDefault="00E15D51">
            <w:pPr>
              <w:jc w:val="right"/>
              <w:textAlignment w:val="bottom"/>
            </w:pPr>
            <w:r>
              <w:rPr>
                <w:rFonts w:ascii="Arial" w:eastAsia="宋体" w:hAnsi="Arial" w:cs="Arial"/>
                <w:b/>
                <w:bCs/>
                <w:color w:val="000000"/>
                <w:sz w:val="20"/>
                <w:szCs w:val="20"/>
              </w:rPr>
              <w:t>$401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AF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AF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B00" w14:textId="77777777" w:rsidR="00833634" w:rsidRDefault="00E15D51">
            <w:pPr>
              <w:jc w:val="right"/>
              <w:textAlignment w:val="bottom"/>
            </w:pPr>
            <w:r>
              <w:rPr>
                <w:rFonts w:ascii="Arial" w:eastAsia="宋体" w:hAnsi="Arial" w:cs="Arial"/>
                <w:color w:val="000000"/>
                <w:sz w:val="20"/>
                <w:szCs w:val="20"/>
              </w:rPr>
              <w:t>$432 </w:t>
            </w:r>
          </w:p>
        </w:tc>
        <w:tc>
          <w:tcPr>
            <w:tcW w:w="0" w:type="auto"/>
            <w:shd w:val="clear" w:color="auto" w:fill="CCEEFF"/>
            <w:tcMar>
              <w:top w:w="40" w:type="dxa"/>
              <w:left w:w="0" w:type="dxa"/>
              <w:bottom w:w="40" w:type="dxa"/>
              <w:right w:w="20" w:type="dxa"/>
            </w:tcMar>
            <w:vAlign w:val="bottom"/>
          </w:tcPr>
          <w:p w14:paraId="4090FB01" w14:textId="77777777" w:rsidR="00833634" w:rsidRDefault="00833634">
            <w:pPr>
              <w:jc w:val="right"/>
              <w:rPr>
                <w:rFonts w:ascii="宋体"/>
              </w:rPr>
            </w:pPr>
          </w:p>
        </w:tc>
      </w:tr>
      <w:tr w:rsidR="00833634" w14:paraId="4090FB09" w14:textId="77777777">
        <w:tc>
          <w:tcPr>
            <w:tcW w:w="0" w:type="auto"/>
            <w:gridSpan w:val="3"/>
            <w:shd w:val="clear" w:color="auto" w:fill="FFFFFF"/>
            <w:tcMar>
              <w:top w:w="40" w:type="dxa"/>
              <w:left w:w="20" w:type="dxa"/>
              <w:bottom w:w="40" w:type="dxa"/>
              <w:right w:w="20" w:type="dxa"/>
            </w:tcMar>
            <w:vAlign w:val="bottom"/>
          </w:tcPr>
          <w:p w14:paraId="4090FB03" w14:textId="77777777" w:rsidR="00833634" w:rsidRDefault="00E15D51">
            <w:pPr>
              <w:textAlignment w:val="bottom"/>
            </w:pPr>
            <w:r>
              <w:rPr>
                <w:rFonts w:ascii="Arial" w:eastAsia="宋体" w:hAnsi="Arial" w:cs="Arial"/>
                <w:color w:val="000000"/>
                <w:sz w:val="20"/>
                <w:szCs w:val="20"/>
              </w:rPr>
              <w:t xml:space="preserve">Debt, including intercompany loans </w:t>
            </w:r>
          </w:p>
        </w:tc>
        <w:tc>
          <w:tcPr>
            <w:tcW w:w="0" w:type="auto"/>
            <w:gridSpan w:val="2"/>
            <w:shd w:val="clear" w:color="auto" w:fill="FFFFFF"/>
            <w:tcMar>
              <w:top w:w="40" w:type="dxa"/>
              <w:left w:w="20" w:type="dxa"/>
              <w:bottom w:w="40" w:type="dxa"/>
              <w:right w:w="0" w:type="dxa"/>
            </w:tcMar>
            <w:vAlign w:val="bottom"/>
          </w:tcPr>
          <w:p w14:paraId="4090FB04" w14:textId="77777777" w:rsidR="00833634" w:rsidRDefault="00E15D51">
            <w:pPr>
              <w:jc w:val="right"/>
              <w:textAlignment w:val="bottom"/>
            </w:pPr>
            <w:r>
              <w:rPr>
                <w:rFonts w:ascii="Arial" w:eastAsia="宋体" w:hAnsi="Arial" w:cs="Arial"/>
                <w:b/>
                <w:bCs/>
                <w:color w:val="000000"/>
                <w:sz w:val="20"/>
                <w:szCs w:val="20"/>
              </w:rPr>
              <w:t>1,943</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B0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B0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B07" w14:textId="77777777" w:rsidR="00833634" w:rsidRDefault="00E15D51">
            <w:pPr>
              <w:jc w:val="right"/>
              <w:textAlignment w:val="bottom"/>
            </w:pPr>
            <w:r>
              <w:rPr>
                <w:rFonts w:ascii="Arial" w:eastAsia="宋体" w:hAnsi="Arial" w:cs="Arial"/>
                <w:color w:val="000000"/>
                <w:sz w:val="20"/>
                <w:szCs w:val="20"/>
              </w:rPr>
              <w:t>1,960 </w:t>
            </w:r>
          </w:p>
        </w:tc>
        <w:tc>
          <w:tcPr>
            <w:tcW w:w="0" w:type="auto"/>
            <w:shd w:val="clear" w:color="auto" w:fill="FFFFFF"/>
            <w:tcMar>
              <w:top w:w="40" w:type="dxa"/>
              <w:left w:w="0" w:type="dxa"/>
              <w:bottom w:w="40" w:type="dxa"/>
              <w:right w:w="20" w:type="dxa"/>
            </w:tcMar>
            <w:vAlign w:val="bottom"/>
          </w:tcPr>
          <w:p w14:paraId="4090FB08" w14:textId="77777777" w:rsidR="00833634" w:rsidRDefault="00833634">
            <w:pPr>
              <w:jc w:val="right"/>
              <w:rPr>
                <w:rFonts w:ascii="宋体"/>
              </w:rPr>
            </w:pPr>
          </w:p>
        </w:tc>
      </w:tr>
      <w:tr w:rsidR="00833634" w14:paraId="4090FB10" w14:textId="77777777">
        <w:tc>
          <w:tcPr>
            <w:tcW w:w="0" w:type="auto"/>
            <w:gridSpan w:val="3"/>
            <w:shd w:val="clear" w:color="auto" w:fill="CCEEFF"/>
            <w:tcMar>
              <w:top w:w="40" w:type="dxa"/>
              <w:left w:w="20" w:type="dxa"/>
              <w:bottom w:w="40" w:type="dxa"/>
              <w:right w:w="20" w:type="dxa"/>
            </w:tcMar>
            <w:vAlign w:val="bottom"/>
          </w:tcPr>
          <w:p w14:paraId="4090FB0A" w14:textId="77777777" w:rsidR="00833634" w:rsidRDefault="00E15D51">
            <w:pPr>
              <w:textAlignment w:val="bottom"/>
            </w:pPr>
            <w:r>
              <w:rPr>
                <w:rFonts w:ascii="Arial" w:eastAsia="宋体" w:hAnsi="Arial" w:cs="Arial"/>
                <w:color w:val="000000"/>
                <w:sz w:val="20"/>
                <w:szCs w:val="20"/>
              </w:rPr>
              <w:t>Equity</w:t>
            </w:r>
          </w:p>
        </w:tc>
        <w:tc>
          <w:tcPr>
            <w:tcW w:w="0" w:type="auto"/>
            <w:gridSpan w:val="2"/>
            <w:shd w:val="clear" w:color="auto" w:fill="CCEEFF"/>
            <w:tcMar>
              <w:top w:w="40" w:type="dxa"/>
              <w:left w:w="20" w:type="dxa"/>
              <w:bottom w:w="40" w:type="dxa"/>
              <w:right w:w="0" w:type="dxa"/>
            </w:tcMar>
            <w:vAlign w:val="bottom"/>
          </w:tcPr>
          <w:p w14:paraId="4090FB0B" w14:textId="77777777" w:rsidR="00833634" w:rsidRDefault="00E15D51">
            <w:pPr>
              <w:jc w:val="right"/>
              <w:textAlignment w:val="bottom"/>
            </w:pPr>
            <w:r>
              <w:rPr>
                <w:rFonts w:ascii="Arial" w:eastAsia="宋体" w:hAnsi="Arial" w:cs="Arial"/>
                <w:b/>
                <w:bCs/>
                <w:color w:val="000000"/>
                <w:sz w:val="20"/>
                <w:szCs w:val="20"/>
              </w:rPr>
              <w:t>400</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B0C"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B0D"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B0E" w14:textId="77777777" w:rsidR="00833634" w:rsidRDefault="00E15D51">
            <w:pPr>
              <w:jc w:val="right"/>
              <w:textAlignment w:val="bottom"/>
            </w:pPr>
            <w:r>
              <w:rPr>
                <w:rFonts w:ascii="Arial" w:eastAsia="宋体" w:hAnsi="Arial" w:cs="Arial"/>
                <w:color w:val="000000"/>
                <w:sz w:val="20"/>
                <w:szCs w:val="20"/>
              </w:rPr>
              <w:t>394 </w:t>
            </w:r>
          </w:p>
        </w:tc>
        <w:tc>
          <w:tcPr>
            <w:tcW w:w="0" w:type="auto"/>
            <w:shd w:val="clear" w:color="auto" w:fill="CCEEFF"/>
            <w:tcMar>
              <w:top w:w="40" w:type="dxa"/>
              <w:left w:w="0" w:type="dxa"/>
              <w:bottom w:w="40" w:type="dxa"/>
              <w:right w:w="20" w:type="dxa"/>
            </w:tcMar>
            <w:vAlign w:val="bottom"/>
          </w:tcPr>
          <w:p w14:paraId="4090FB0F" w14:textId="77777777" w:rsidR="00833634" w:rsidRDefault="00833634">
            <w:pPr>
              <w:jc w:val="right"/>
              <w:rPr>
                <w:rFonts w:ascii="宋体"/>
              </w:rPr>
            </w:pPr>
          </w:p>
        </w:tc>
      </w:tr>
      <w:tr w:rsidR="00833634" w14:paraId="4090FB17"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FB11" w14:textId="77777777" w:rsidR="00833634" w:rsidRDefault="00E15D51">
            <w:pPr>
              <w:textAlignment w:val="bottom"/>
            </w:pPr>
            <w:r>
              <w:rPr>
                <w:rFonts w:ascii="Arial" w:eastAsia="宋体" w:hAnsi="Arial" w:cs="Arial"/>
                <w:color w:val="000000"/>
                <w:sz w:val="20"/>
                <w:szCs w:val="20"/>
              </w:rPr>
              <w:t xml:space="preserve">Total </w:t>
            </w:r>
            <w:r>
              <w:rPr>
                <w:rFonts w:ascii="Arial" w:eastAsia="宋体" w:hAnsi="Arial" w:cs="Arial"/>
                <w:color w:val="000000"/>
                <w:sz w:val="20"/>
                <w:szCs w:val="20"/>
              </w:rPr>
              <w:t>liabilities and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B12" w14:textId="77777777" w:rsidR="00833634" w:rsidRDefault="00E15D51">
            <w:pPr>
              <w:jc w:val="right"/>
              <w:textAlignment w:val="bottom"/>
            </w:pPr>
            <w:r>
              <w:rPr>
                <w:rFonts w:ascii="Arial" w:eastAsia="宋体" w:hAnsi="Arial" w:cs="Arial"/>
                <w:b/>
                <w:bCs/>
                <w:color w:val="000000"/>
                <w:sz w:val="20"/>
                <w:szCs w:val="20"/>
              </w:rPr>
              <w:t>$2,744</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B13"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B14"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B15" w14:textId="77777777" w:rsidR="00833634" w:rsidRDefault="00E15D51">
            <w:pPr>
              <w:jc w:val="right"/>
              <w:textAlignment w:val="bottom"/>
            </w:pPr>
            <w:r>
              <w:rPr>
                <w:rFonts w:ascii="Arial" w:eastAsia="宋体" w:hAnsi="Arial" w:cs="Arial"/>
                <w:color w:val="000000"/>
                <w:sz w:val="20"/>
                <w:szCs w:val="20"/>
              </w:rPr>
              <w:t>$2,786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B16" w14:textId="77777777" w:rsidR="00833634" w:rsidRDefault="00833634">
            <w:pPr>
              <w:jc w:val="right"/>
              <w:rPr>
                <w:rFonts w:ascii="宋体"/>
              </w:rPr>
            </w:pPr>
          </w:p>
        </w:tc>
      </w:tr>
      <w:tr w:rsidR="00833634" w14:paraId="4090FB1C" w14:textId="77777777">
        <w:trPr>
          <w:trHeight w:val="180"/>
        </w:trPr>
        <w:tc>
          <w:tcPr>
            <w:tcW w:w="0" w:type="auto"/>
            <w:gridSpan w:val="3"/>
            <w:tcBorders>
              <w:top w:val="single" w:sz="8" w:space="0" w:color="000000"/>
            </w:tcBorders>
            <w:shd w:val="clear" w:color="auto" w:fill="CCEEFF"/>
            <w:tcMar>
              <w:top w:w="0" w:type="dxa"/>
              <w:left w:w="20" w:type="dxa"/>
              <w:bottom w:w="0" w:type="dxa"/>
              <w:right w:w="20" w:type="dxa"/>
            </w:tcMar>
          </w:tcPr>
          <w:p w14:paraId="4090FB18"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B19"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B1A"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B1B" w14:textId="77777777" w:rsidR="00833634" w:rsidRDefault="00833634">
            <w:pPr>
              <w:rPr>
                <w:rFonts w:ascii="宋体"/>
              </w:rPr>
            </w:pPr>
          </w:p>
        </w:tc>
      </w:tr>
      <w:tr w:rsidR="00833634" w14:paraId="4090FB21" w14:textId="77777777">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4090FB1D" w14:textId="77777777" w:rsidR="00833634" w:rsidRDefault="00E15D51">
            <w:pPr>
              <w:textAlignment w:val="bottom"/>
            </w:pPr>
            <w:r>
              <w:rPr>
                <w:rFonts w:ascii="Arial" w:eastAsia="宋体" w:hAnsi="Arial" w:cs="Arial"/>
                <w:color w:val="000000"/>
                <w:sz w:val="20"/>
                <w:szCs w:val="20"/>
              </w:rPr>
              <w:t>Debt-to-equity ratio</w:t>
            </w:r>
          </w:p>
        </w:tc>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4090FB1E" w14:textId="77777777" w:rsidR="00833634" w:rsidRDefault="00E15D51">
            <w:pPr>
              <w:jc w:val="right"/>
              <w:textAlignment w:val="bottom"/>
            </w:pPr>
            <w:r>
              <w:rPr>
                <w:rFonts w:ascii="Arial" w:eastAsia="宋体" w:hAnsi="Arial" w:cs="Arial"/>
                <w:b/>
                <w:bCs/>
                <w:color w:val="000000"/>
                <w:sz w:val="20"/>
                <w:szCs w:val="20"/>
              </w:rPr>
              <w:t>4.9-to-1</w:t>
            </w:r>
          </w:p>
        </w:tc>
        <w:tc>
          <w:tcPr>
            <w:tcW w:w="0" w:type="auto"/>
            <w:gridSpan w:val="3"/>
            <w:tcBorders>
              <w:bottom w:val="double" w:sz="6" w:space="0" w:color="000000"/>
            </w:tcBorders>
            <w:shd w:val="clear" w:color="auto" w:fill="FFFFFF"/>
            <w:tcMar>
              <w:top w:w="0" w:type="dxa"/>
              <w:left w:w="20" w:type="dxa"/>
              <w:bottom w:w="0" w:type="dxa"/>
              <w:right w:w="20" w:type="dxa"/>
            </w:tcMar>
          </w:tcPr>
          <w:p w14:paraId="4090FB1F" w14:textId="77777777" w:rsidR="00833634" w:rsidRDefault="00833634">
            <w:pPr>
              <w:rPr>
                <w:rFonts w:ascii="宋体"/>
              </w:rPr>
            </w:pPr>
          </w:p>
        </w:tc>
        <w:tc>
          <w:tcPr>
            <w:tcW w:w="0" w:type="auto"/>
            <w:gridSpan w:val="3"/>
            <w:tcBorders>
              <w:bottom w:val="double" w:sz="6" w:space="0" w:color="000000"/>
            </w:tcBorders>
            <w:shd w:val="clear" w:color="auto" w:fill="FFFFFF"/>
            <w:tcMar>
              <w:top w:w="40" w:type="dxa"/>
              <w:left w:w="20" w:type="dxa"/>
              <w:bottom w:w="40" w:type="dxa"/>
              <w:right w:w="20" w:type="dxa"/>
            </w:tcMar>
            <w:vAlign w:val="bottom"/>
          </w:tcPr>
          <w:p w14:paraId="4090FB20" w14:textId="77777777" w:rsidR="00833634" w:rsidRDefault="00E15D51">
            <w:pPr>
              <w:jc w:val="right"/>
              <w:textAlignment w:val="bottom"/>
            </w:pPr>
            <w:r>
              <w:rPr>
                <w:rFonts w:ascii="Arial" w:eastAsia="宋体" w:hAnsi="Arial" w:cs="Arial"/>
                <w:color w:val="000000"/>
                <w:sz w:val="20"/>
                <w:szCs w:val="20"/>
              </w:rPr>
              <w:t>5.0-to-1</w:t>
            </w:r>
          </w:p>
        </w:tc>
      </w:tr>
    </w:tbl>
    <w:p w14:paraId="4090FB22" w14:textId="77777777" w:rsidR="00833634" w:rsidRDefault="00E15D51">
      <w:pPr>
        <w:spacing w:after="180"/>
        <w:jc w:val="both"/>
      </w:pPr>
      <w:r>
        <w:rPr>
          <w:rFonts w:ascii="Arial" w:eastAsia="宋体" w:hAnsi="Arial" w:cs="Arial"/>
          <w:color w:val="000000"/>
          <w:sz w:val="20"/>
          <w:szCs w:val="20"/>
        </w:rPr>
        <w:t xml:space="preserve">BCC’s customer financing and investment portfolio at September 30, 2020 decreased from December 31, 2019 primarily due to $237 million of note payoffs and </w:t>
      </w:r>
      <w:r>
        <w:rPr>
          <w:rFonts w:ascii="Arial" w:eastAsia="宋体" w:hAnsi="Arial" w:cs="Arial"/>
          <w:color w:val="000000"/>
          <w:sz w:val="20"/>
          <w:szCs w:val="20"/>
        </w:rPr>
        <w:t>portfolio run-off.</w:t>
      </w:r>
    </w:p>
    <w:p w14:paraId="4090FB23" w14:textId="77777777" w:rsidR="00833634" w:rsidRDefault="00E15D51">
      <w:pPr>
        <w:spacing w:after="180"/>
        <w:jc w:val="both"/>
      </w:pPr>
      <w:r>
        <w:rPr>
          <w:rFonts w:ascii="Arial" w:eastAsia="宋体" w:hAnsi="Arial" w:cs="Arial"/>
          <w:color w:val="000000"/>
          <w:sz w:val="20"/>
          <w:szCs w:val="20"/>
        </w:rPr>
        <w:t xml:space="preserve">BCC enters into certain transactions with Boeing, reflected in Unallocated items, eliminations and other, in the form of intercompany guarantees and other subsidies that mitigate the effects of certain credit quality or asset impairment </w:t>
      </w:r>
      <w:r>
        <w:rPr>
          <w:rFonts w:ascii="Arial" w:eastAsia="宋体" w:hAnsi="Arial" w:cs="Arial"/>
          <w:color w:val="000000"/>
          <w:sz w:val="20"/>
          <w:szCs w:val="20"/>
        </w:rPr>
        <w:t>issues on the BCC segment.</w:t>
      </w:r>
    </w:p>
    <w:p w14:paraId="4090FB24" w14:textId="77777777" w:rsidR="00833634" w:rsidRDefault="00E15D51">
      <w:pPr>
        <w:spacing w:after="300"/>
        <w:jc w:val="both"/>
      </w:pPr>
      <w:r>
        <w:rPr>
          <w:rFonts w:ascii="Arial" w:eastAsia="宋体" w:hAnsi="Arial" w:cs="Arial"/>
          <w:color w:val="000000"/>
          <w:sz w:val="20"/>
          <w:szCs w:val="20"/>
        </w:rPr>
        <w:t>Aircraft subject to leases with a carrying value of approximately $60 million are scheduled to be returned off lease in the next 12 months. We are seeking to remarket these aircraft or have the leases extended.</w:t>
      </w:r>
    </w:p>
    <w:p w14:paraId="4090FB25" w14:textId="77777777" w:rsidR="00833634" w:rsidRDefault="00E15D51">
      <w:pPr>
        <w:spacing w:after="180"/>
        <w:jc w:val="center"/>
      </w:pPr>
      <w:r>
        <w:rPr>
          <w:rFonts w:ascii="Arial" w:eastAsia="宋体" w:hAnsi="Arial" w:cs="Arial"/>
          <w:color w:val="000000"/>
          <w:sz w:val="18"/>
          <w:szCs w:val="18"/>
        </w:rPr>
        <w:t>54</w:t>
      </w:r>
    </w:p>
    <w:p w14:paraId="4090FB26" w14:textId="77777777" w:rsidR="00833634" w:rsidRDefault="00E15D51">
      <w:r>
        <w:pict w14:anchorId="4090FE56">
          <v:rect id="_x0000_i1080" style="width:415.3pt;height:1.5pt" o:hralign="center" o:hrstd="t" o:hr="t" fillcolor="#a0a0a0" stroked="f"/>
        </w:pict>
      </w:r>
    </w:p>
    <w:p w14:paraId="4090FB27" w14:textId="77777777" w:rsidR="00833634" w:rsidRDefault="00E15D51">
      <w:pPr>
        <w:spacing w:after="180"/>
        <w:jc w:val="both"/>
      </w:pPr>
      <w:hyperlink r:id="rId157" w:anchor="i8d805bfb1e1c4815a1dcd5b6d1e0b117_10" w:history="1">
        <w:r>
          <w:rPr>
            <w:rStyle w:val="a5"/>
            <w:rFonts w:ascii="Arial" w:eastAsia="宋体" w:hAnsi="Arial" w:cs="Arial"/>
            <w:sz w:val="18"/>
            <w:szCs w:val="18"/>
          </w:rPr>
          <w:t>Table of Contents</w:t>
        </w:r>
      </w:hyperlink>
    </w:p>
    <w:p w14:paraId="4090FB28" w14:textId="77777777" w:rsidR="00833634" w:rsidRDefault="00E15D51">
      <w:pPr>
        <w:spacing w:before="300" w:after="180"/>
        <w:jc w:val="both"/>
      </w:pPr>
      <w:r>
        <w:rPr>
          <w:rFonts w:ascii="Arial" w:eastAsia="宋体" w:hAnsi="Arial" w:cs="Arial"/>
          <w:b/>
          <w:bCs/>
          <w:color w:val="000000"/>
          <w:sz w:val="20"/>
          <w:szCs w:val="20"/>
        </w:rPr>
        <w:t>Liquidity and Capital Resources</w:t>
      </w:r>
    </w:p>
    <w:p w14:paraId="4090FB29" w14:textId="77777777" w:rsidR="00833634" w:rsidRDefault="00E15D51">
      <w:pPr>
        <w:jc w:val="both"/>
      </w:pPr>
      <w:r>
        <w:rPr>
          <w:rFonts w:ascii="Arial" w:eastAsia="宋体" w:hAnsi="Arial" w:cs="Arial"/>
          <w:b/>
          <w:bCs/>
          <w:color w:val="000000"/>
          <w:sz w:val="20"/>
          <w:szCs w:val="20"/>
        </w:rPr>
        <w:t>Cash Flow Summary</w:t>
      </w:r>
    </w:p>
    <w:tbl>
      <w:tblPr>
        <w:tblW w:w="4992" w:type="pct"/>
        <w:tblCellMar>
          <w:top w:w="15" w:type="dxa"/>
          <w:left w:w="15" w:type="dxa"/>
          <w:bottom w:w="15" w:type="dxa"/>
          <w:right w:w="15" w:type="dxa"/>
        </w:tblCellMar>
        <w:tblLook w:val="04A0" w:firstRow="1" w:lastRow="0" w:firstColumn="1" w:lastColumn="0" w:noHBand="0" w:noVBand="1"/>
      </w:tblPr>
      <w:tblGrid>
        <w:gridCol w:w="63"/>
        <w:gridCol w:w="6196"/>
        <w:gridCol w:w="37"/>
        <w:gridCol w:w="69"/>
        <w:gridCol w:w="856"/>
        <w:gridCol w:w="37"/>
        <w:gridCol w:w="37"/>
        <w:gridCol w:w="36"/>
        <w:gridCol w:w="36"/>
        <w:gridCol w:w="60"/>
        <w:gridCol w:w="860"/>
        <w:gridCol w:w="36"/>
      </w:tblGrid>
      <w:tr w:rsidR="00833634" w14:paraId="4090FB36" w14:textId="77777777">
        <w:tc>
          <w:tcPr>
            <w:tcW w:w="50" w:type="pct"/>
            <w:shd w:val="clear" w:color="auto" w:fill="auto"/>
          </w:tcPr>
          <w:p w14:paraId="4090FB2A" w14:textId="77777777" w:rsidR="00833634" w:rsidRDefault="00833634">
            <w:pPr>
              <w:rPr>
                <w:rFonts w:ascii="宋体"/>
              </w:rPr>
            </w:pPr>
          </w:p>
        </w:tc>
        <w:tc>
          <w:tcPr>
            <w:tcW w:w="3733" w:type="pct"/>
            <w:shd w:val="clear" w:color="auto" w:fill="auto"/>
          </w:tcPr>
          <w:p w14:paraId="4090FB2B" w14:textId="77777777" w:rsidR="00833634" w:rsidRDefault="00833634">
            <w:pPr>
              <w:rPr>
                <w:rFonts w:ascii="宋体"/>
              </w:rPr>
            </w:pPr>
          </w:p>
        </w:tc>
        <w:tc>
          <w:tcPr>
            <w:tcW w:w="5" w:type="pct"/>
            <w:shd w:val="clear" w:color="auto" w:fill="auto"/>
          </w:tcPr>
          <w:p w14:paraId="4090FB2C" w14:textId="77777777" w:rsidR="00833634" w:rsidRDefault="00833634">
            <w:pPr>
              <w:rPr>
                <w:rFonts w:ascii="宋体"/>
              </w:rPr>
            </w:pPr>
          </w:p>
        </w:tc>
        <w:tc>
          <w:tcPr>
            <w:tcW w:w="50" w:type="pct"/>
            <w:shd w:val="clear" w:color="auto" w:fill="auto"/>
          </w:tcPr>
          <w:p w14:paraId="4090FB2D" w14:textId="77777777" w:rsidR="00833634" w:rsidRDefault="00833634">
            <w:pPr>
              <w:rPr>
                <w:rFonts w:ascii="宋体"/>
              </w:rPr>
            </w:pPr>
          </w:p>
        </w:tc>
        <w:tc>
          <w:tcPr>
            <w:tcW w:w="530" w:type="pct"/>
            <w:shd w:val="clear" w:color="auto" w:fill="auto"/>
          </w:tcPr>
          <w:p w14:paraId="4090FB2E" w14:textId="77777777" w:rsidR="00833634" w:rsidRDefault="00833634">
            <w:pPr>
              <w:rPr>
                <w:rFonts w:ascii="宋体"/>
              </w:rPr>
            </w:pPr>
          </w:p>
        </w:tc>
        <w:tc>
          <w:tcPr>
            <w:tcW w:w="5" w:type="pct"/>
            <w:shd w:val="clear" w:color="auto" w:fill="auto"/>
          </w:tcPr>
          <w:p w14:paraId="4090FB2F" w14:textId="77777777" w:rsidR="00833634" w:rsidRDefault="00833634">
            <w:pPr>
              <w:rPr>
                <w:rFonts w:ascii="宋体"/>
              </w:rPr>
            </w:pPr>
          </w:p>
        </w:tc>
        <w:tc>
          <w:tcPr>
            <w:tcW w:w="5" w:type="pct"/>
            <w:shd w:val="clear" w:color="auto" w:fill="auto"/>
          </w:tcPr>
          <w:p w14:paraId="4090FB30" w14:textId="77777777" w:rsidR="00833634" w:rsidRDefault="00833634">
            <w:pPr>
              <w:rPr>
                <w:rFonts w:ascii="宋体"/>
              </w:rPr>
            </w:pPr>
          </w:p>
        </w:tc>
        <w:tc>
          <w:tcPr>
            <w:tcW w:w="30" w:type="pct"/>
            <w:shd w:val="clear" w:color="auto" w:fill="auto"/>
          </w:tcPr>
          <w:p w14:paraId="4090FB31" w14:textId="77777777" w:rsidR="00833634" w:rsidRDefault="00833634">
            <w:pPr>
              <w:rPr>
                <w:rFonts w:ascii="宋体"/>
              </w:rPr>
            </w:pPr>
          </w:p>
        </w:tc>
        <w:tc>
          <w:tcPr>
            <w:tcW w:w="5" w:type="pct"/>
            <w:shd w:val="clear" w:color="auto" w:fill="auto"/>
          </w:tcPr>
          <w:p w14:paraId="4090FB32" w14:textId="77777777" w:rsidR="00833634" w:rsidRDefault="00833634">
            <w:pPr>
              <w:rPr>
                <w:rFonts w:ascii="宋体"/>
              </w:rPr>
            </w:pPr>
          </w:p>
        </w:tc>
        <w:tc>
          <w:tcPr>
            <w:tcW w:w="50" w:type="pct"/>
            <w:shd w:val="clear" w:color="auto" w:fill="auto"/>
          </w:tcPr>
          <w:p w14:paraId="4090FB33" w14:textId="77777777" w:rsidR="00833634" w:rsidRDefault="00833634">
            <w:pPr>
              <w:rPr>
                <w:rFonts w:ascii="宋体"/>
              </w:rPr>
            </w:pPr>
          </w:p>
        </w:tc>
        <w:tc>
          <w:tcPr>
            <w:tcW w:w="530" w:type="pct"/>
            <w:shd w:val="clear" w:color="auto" w:fill="auto"/>
          </w:tcPr>
          <w:p w14:paraId="4090FB34" w14:textId="77777777" w:rsidR="00833634" w:rsidRDefault="00833634">
            <w:pPr>
              <w:rPr>
                <w:rFonts w:ascii="宋体"/>
              </w:rPr>
            </w:pPr>
          </w:p>
        </w:tc>
        <w:tc>
          <w:tcPr>
            <w:tcW w:w="5" w:type="pct"/>
            <w:shd w:val="clear" w:color="auto" w:fill="auto"/>
          </w:tcPr>
          <w:p w14:paraId="4090FB35" w14:textId="77777777" w:rsidR="00833634" w:rsidRDefault="00833634">
            <w:pPr>
              <w:rPr>
                <w:rFonts w:ascii="宋体"/>
              </w:rPr>
            </w:pPr>
          </w:p>
        </w:tc>
      </w:tr>
      <w:tr w:rsidR="00833634" w14:paraId="4090FB39" w14:textId="77777777">
        <w:tc>
          <w:tcPr>
            <w:tcW w:w="0" w:type="auto"/>
            <w:gridSpan w:val="3"/>
            <w:shd w:val="clear" w:color="auto" w:fill="auto"/>
            <w:tcMar>
              <w:top w:w="40" w:type="dxa"/>
              <w:left w:w="20" w:type="dxa"/>
              <w:bottom w:w="40" w:type="dxa"/>
              <w:right w:w="20" w:type="dxa"/>
            </w:tcMar>
            <w:vAlign w:val="bottom"/>
          </w:tcPr>
          <w:p w14:paraId="4090FB37" w14:textId="77777777" w:rsidR="00833634" w:rsidRDefault="00E15D51">
            <w:pPr>
              <w:textAlignment w:val="bottom"/>
            </w:pPr>
            <w:r>
              <w:rPr>
                <w:rFonts w:ascii="Arial" w:eastAsia="宋体" w:hAnsi="Arial" w:cs="Arial"/>
                <w:i/>
                <w:iCs/>
                <w:color w:val="000000"/>
                <w:sz w:val="20"/>
                <w:szCs w:val="20"/>
              </w:rPr>
              <w:t>(Dollars in millions)</w:t>
            </w:r>
          </w:p>
        </w:tc>
        <w:tc>
          <w:tcPr>
            <w:tcW w:w="0" w:type="auto"/>
            <w:gridSpan w:val="9"/>
            <w:shd w:val="clear" w:color="auto" w:fill="auto"/>
            <w:tcMar>
              <w:top w:w="40" w:type="dxa"/>
              <w:left w:w="20" w:type="dxa"/>
              <w:bottom w:w="40" w:type="dxa"/>
              <w:right w:w="20" w:type="dxa"/>
            </w:tcMar>
            <w:vAlign w:val="bottom"/>
          </w:tcPr>
          <w:p w14:paraId="4090FB38" w14:textId="77777777" w:rsidR="00833634" w:rsidRDefault="00E15D51">
            <w:pPr>
              <w:jc w:val="center"/>
              <w:textAlignment w:val="bottom"/>
            </w:pPr>
            <w:r>
              <w:rPr>
                <w:rFonts w:ascii="Arial" w:eastAsia="宋体" w:hAnsi="Arial" w:cs="Arial"/>
                <w:b/>
                <w:bCs/>
                <w:color w:val="000000"/>
                <w:sz w:val="20"/>
                <w:szCs w:val="20"/>
              </w:rPr>
              <w:t xml:space="preserve">Nine </w:t>
            </w:r>
            <w:r>
              <w:rPr>
                <w:rFonts w:ascii="Arial" w:eastAsia="宋体" w:hAnsi="Arial" w:cs="Arial"/>
                <w:b/>
                <w:bCs/>
                <w:color w:val="000000"/>
                <w:sz w:val="20"/>
                <w:szCs w:val="20"/>
              </w:rPr>
              <w:t>months ended September 30</w:t>
            </w:r>
          </w:p>
        </w:tc>
      </w:tr>
      <w:tr w:rsidR="00833634" w14:paraId="4090FB3E"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B3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B3B"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B3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B3D" w14:textId="77777777" w:rsidR="00833634" w:rsidRDefault="00E15D51">
            <w:pPr>
              <w:jc w:val="right"/>
              <w:textAlignment w:val="bottom"/>
            </w:pPr>
            <w:r>
              <w:rPr>
                <w:rFonts w:ascii="Arial" w:eastAsia="宋体" w:hAnsi="Arial" w:cs="Arial"/>
                <w:color w:val="000000"/>
                <w:sz w:val="20"/>
                <w:szCs w:val="20"/>
              </w:rPr>
              <w:t>2019</w:t>
            </w:r>
          </w:p>
        </w:tc>
      </w:tr>
      <w:tr w:rsidR="00833634" w14:paraId="4090FB45" w14:textId="77777777">
        <w:tc>
          <w:tcPr>
            <w:tcW w:w="0" w:type="auto"/>
            <w:gridSpan w:val="3"/>
            <w:tcBorders>
              <w:top w:val="single" w:sz="8" w:space="0" w:color="000000"/>
            </w:tcBorders>
            <w:shd w:val="clear" w:color="auto" w:fill="CCEEFF"/>
            <w:tcMar>
              <w:top w:w="40" w:type="dxa"/>
              <w:left w:w="135" w:type="dxa"/>
              <w:bottom w:w="40" w:type="dxa"/>
              <w:right w:w="20" w:type="dxa"/>
            </w:tcMar>
            <w:vAlign w:val="bottom"/>
          </w:tcPr>
          <w:p w14:paraId="4090FB3F" w14:textId="77777777" w:rsidR="00833634" w:rsidRDefault="00E15D51">
            <w:pPr>
              <w:textAlignment w:val="bottom"/>
            </w:pPr>
            <w:r>
              <w:rPr>
                <w:rFonts w:ascii="Arial" w:eastAsia="宋体" w:hAnsi="Arial" w:cs="Arial"/>
                <w:color w:val="000000"/>
                <w:sz w:val="20"/>
                <w:szCs w:val="20"/>
              </w:rPr>
              <w:t>Net (loss)/earnings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B40" w14:textId="77777777" w:rsidR="00833634" w:rsidRDefault="00E15D51">
            <w:pPr>
              <w:jc w:val="right"/>
              <w:textAlignment w:val="bottom"/>
            </w:pPr>
            <w:r>
              <w:rPr>
                <w:rFonts w:ascii="Arial" w:eastAsia="宋体" w:hAnsi="Arial" w:cs="Arial"/>
                <w:b/>
                <w:bCs/>
                <w:color w:val="000000"/>
                <w:sz w:val="20"/>
                <w:szCs w:val="20"/>
              </w:rPr>
              <w:t>($3,502)</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B4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B4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B43" w14:textId="77777777" w:rsidR="00833634" w:rsidRDefault="00E15D51">
            <w:pPr>
              <w:jc w:val="right"/>
              <w:textAlignment w:val="bottom"/>
            </w:pPr>
            <w:r>
              <w:rPr>
                <w:rFonts w:ascii="Arial" w:eastAsia="宋体" w:hAnsi="Arial" w:cs="Arial"/>
                <w:color w:val="000000"/>
                <w:sz w:val="20"/>
                <w:szCs w:val="20"/>
              </w:rPr>
              <w:t>$374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B44" w14:textId="77777777" w:rsidR="00833634" w:rsidRDefault="00833634">
            <w:pPr>
              <w:jc w:val="right"/>
              <w:rPr>
                <w:rFonts w:ascii="宋体"/>
              </w:rPr>
            </w:pPr>
          </w:p>
        </w:tc>
      </w:tr>
      <w:tr w:rsidR="00833634" w14:paraId="4090FB4C" w14:textId="77777777">
        <w:tc>
          <w:tcPr>
            <w:tcW w:w="0" w:type="auto"/>
            <w:gridSpan w:val="3"/>
            <w:shd w:val="clear" w:color="auto" w:fill="FFFFFF"/>
            <w:tcMar>
              <w:top w:w="40" w:type="dxa"/>
              <w:left w:w="225" w:type="dxa"/>
              <w:bottom w:w="40" w:type="dxa"/>
              <w:right w:w="20" w:type="dxa"/>
            </w:tcMar>
            <w:vAlign w:val="bottom"/>
          </w:tcPr>
          <w:p w14:paraId="4090FB46" w14:textId="77777777" w:rsidR="00833634" w:rsidRDefault="00E15D51">
            <w:pPr>
              <w:textAlignment w:val="bottom"/>
            </w:pPr>
            <w:r>
              <w:rPr>
                <w:rFonts w:ascii="Arial" w:eastAsia="宋体" w:hAnsi="Arial" w:cs="Arial"/>
                <w:color w:val="000000"/>
                <w:sz w:val="20"/>
                <w:szCs w:val="20"/>
              </w:rPr>
              <w:t>Non-cash items</w:t>
            </w:r>
          </w:p>
        </w:tc>
        <w:tc>
          <w:tcPr>
            <w:tcW w:w="0" w:type="auto"/>
            <w:gridSpan w:val="2"/>
            <w:shd w:val="clear" w:color="auto" w:fill="FFFFFF"/>
            <w:tcMar>
              <w:top w:w="40" w:type="dxa"/>
              <w:left w:w="20" w:type="dxa"/>
              <w:bottom w:w="40" w:type="dxa"/>
              <w:right w:w="0" w:type="dxa"/>
            </w:tcMar>
            <w:vAlign w:val="bottom"/>
          </w:tcPr>
          <w:p w14:paraId="4090FB47" w14:textId="77777777" w:rsidR="00833634" w:rsidRDefault="00E15D51">
            <w:pPr>
              <w:jc w:val="right"/>
              <w:textAlignment w:val="bottom"/>
            </w:pPr>
            <w:r>
              <w:rPr>
                <w:rFonts w:ascii="Arial" w:eastAsia="宋体" w:hAnsi="Arial" w:cs="Arial"/>
                <w:b/>
                <w:bCs/>
                <w:color w:val="000000"/>
                <w:sz w:val="20"/>
                <w:szCs w:val="20"/>
              </w:rPr>
              <w:t>2,874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B4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B4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B4A" w14:textId="77777777" w:rsidR="00833634" w:rsidRDefault="00E15D51">
            <w:pPr>
              <w:jc w:val="right"/>
              <w:textAlignment w:val="bottom"/>
            </w:pPr>
            <w:r>
              <w:rPr>
                <w:rFonts w:ascii="Arial" w:eastAsia="宋体" w:hAnsi="Arial" w:cs="Arial"/>
                <w:color w:val="000000"/>
                <w:sz w:val="20"/>
                <w:szCs w:val="20"/>
              </w:rPr>
              <w:t>2,052 </w:t>
            </w:r>
          </w:p>
        </w:tc>
        <w:tc>
          <w:tcPr>
            <w:tcW w:w="0" w:type="auto"/>
            <w:shd w:val="clear" w:color="auto" w:fill="FFFFFF"/>
            <w:tcMar>
              <w:top w:w="40" w:type="dxa"/>
              <w:left w:w="0" w:type="dxa"/>
              <w:bottom w:w="40" w:type="dxa"/>
              <w:right w:w="20" w:type="dxa"/>
            </w:tcMar>
            <w:vAlign w:val="bottom"/>
          </w:tcPr>
          <w:p w14:paraId="4090FB4B" w14:textId="77777777" w:rsidR="00833634" w:rsidRDefault="00833634">
            <w:pPr>
              <w:jc w:val="right"/>
              <w:rPr>
                <w:rFonts w:ascii="宋体"/>
              </w:rPr>
            </w:pPr>
          </w:p>
        </w:tc>
      </w:tr>
      <w:tr w:rsidR="00833634" w14:paraId="4090FB53" w14:textId="77777777">
        <w:tc>
          <w:tcPr>
            <w:tcW w:w="0" w:type="auto"/>
            <w:gridSpan w:val="3"/>
            <w:shd w:val="clear" w:color="auto" w:fill="CCEEFF"/>
            <w:tcMar>
              <w:top w:w="40" w:type="dxa"/>
              <w:left w:w="225" w:type="dxa"/>
              <w:bottom w:w="40" w:type="dxa"/>
              <w:right w:w="20" w:type="dxa"/>
            </w:tcMar>
            <w:vAlign w:val="bottom"/>
          </w:tcPr>
          <w:p w14:paraId="4090FB4D" w14:textId="77777777" w:rsidR="00833634" w:rsidRDefault="00E15D51">
            <w:pPr>
              <w:textAlignment w:val="bottom"/>
            </w:pPr>
            <w:r>
              <w:rPr>
                <w:rFonts w:ascii="Arial" w:eastAsia="宋体" w:hAnsi="Arial" w:cs="Arial"/>
                <w:color w:val="000000"/>
                <w:sz w:val="20"/>
                <w:szCs w:val="20"/>
              </w:rPr>
              <w:t>Changes in working capital</w:t>
            </w:r>
          </w:p>
        </w:tc>
        <w:tc>
          <w:tcPr>
            <w:tcW w:w="0" w:type="auto"/>
            <w:gridSpan w:val="2"/>
            <w:shd w:val="clear" w:color="auto" w:fill="CCEEFF"/>
            <w:tcMar>
              <w:top w:w="40" w:type="dxa"/>
              <w:left w:w="20" w:type="dxa"/>
              <w:bottom w:w="40" w:type="dxa"/>
              <w:right w:w="0" w:type="dxa"/>
            </w:tcMar>
            <w:vAlign w:val="bottom"/>
          </w:tcPr>
          <w:p w14:paraId="4090FB4E" w14:textId="77777777" w:rsidR="00833634" w:rsidRDefault="00E15D51">
            <w:pPr>
              <w:jc w:val="right"/>
              <w:textAlignment w:val="bottom"/>
            </w:pPr>
            <w:r>
              <w:rPr>
                <w:rFonts w:ascii="Arial" w:eastAsia="宋体" w:hAnsi="Arial" w:cs="Arial"/>
                <w:b/>
                <w:bCs/>
                <w:color w:val="000000"/>
                <w:sz w:val="20"/>
                <w:szCs w:val="20"/>
              </w:rPr>
              <w:t>(13,773)</w:t>
            </w:r>
          </w:p>
        </w:tc>
        <w:tc>
          <w:tcPr>
            <w:tcW w:w="0" w:type="auto"/>
            <w:shd w:val="clear" w:color="auto" w:fill="CCEEFF"/>
            <w:tcMar>
              <w:top w:w="40" w:type="dxa"/>
              <w:left w:w="0" w:type="dxa"/>
              <w:bottom w:w="40" w:type="dxa"/>
              <w:right w:w="20" w:type="dxa"/>
            </w:tcMar>
            <w:vAlign w:val="bottom"/>
          </w:tcPr>
          <w:p w14:paraId="4090FB4F"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B50"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B51" w14:textId="77777777" w:rsidR="00833634" w:rsidRDefault="00E15D51">
            <w:pPr>
              <w:jc w:val="right"/>
              <w:textAlignment w:val="bottom"/>
            </w:pPr>
            <w:r>
              <w:rPr>
                <w:rFonts w:ascii="Arial" w:eastAsia="宋体" w:hAnsi="Arial" w:cs="Arial"/>
                <w:color w:val="000000"/>
                <w:sz w:val="20"/>
                <w:szCs w:val="20"/>
              </w:rPr>
              <w:t>(2,652)</w:t>
            </w:r>
          </w:p>
        </w:tc>
        <w:tc>
          <w:tcPr>
            <w:tcW w:w="0" w:type="auto"/>
            <w:shd w:val="clear" w:color="auto" w:fill="CCEEFF"/>
            <w:tcMar>
              <w:top w:w="40" w:type="dxa"/>
              <w:left w:w="0" w:type="dxa"/>
              <w:bottom w:w="40" w:type="dxa"/>
              <w:right w:w="20" w:type="dxa"/>
            </w:tcMar>
            <w:vAlign w:val="bottom"/>
          </w:tcPr>
          <w:p w14:paraId="4090FB52" w14:textId="77777777" w:rsidR="00833634" w:rsidRDefault="00833634">
            <w:pPr>
              <w:jc w:val="right"/>
              <w:rPr>
                <w:rFonts w:ascii="宋体"/>
              </w:rPr>
            </w:pPr>
          </w:p>
        </w:tc>
      </w:tr>
      <w:tr w:rsidR="00833634" w14:paraId="4090FB5A" w14:textId="77777777">
        <w:tc>
          <w:tcPr>
            <w:tcW w:w="0" w:type="auto"/>
            <w:gridSpan w:val="3"/>
            <w:tcBorders>
              <w:top w:val="single" w:sz="8" w:space="0" w:color="000000"/>
            </w:tcBorders>
            <w:shd w:val="clear" w:color="auto" w:fill="FFFFFF"/>
            <w:tcMar>
              <w:top w:w="40" w:type="dxa"/>
              <w:bottom w:w="40" w:type="dxa"/>
              <w:right w:w="20" w:type="dxa"/>
            </w:tcMar>
            <w:vAlign w:val="bottom"/>
          </w:tcPr>
          <w:p w14:paraId="4090FB54" w14:textId="77777777" w:rsidR="00833634" w:rsidRDefault="00E15D51">
            <w:pPr>
              <w:textAlignment w:val="bottom"/>
            </w:pPr>
            <w:r>
              <w:rPr>
                <w:rFonts w:ascii="Arial" w:eastAsia="宋体" w:hAnsi="Arial" w:cs="Arial"/>
                <w:b/>
                <w:bCs/>
                <w:color w:val="000000"/>
                <w:sz w:val="20"/>
                <w:szCs w:val="20"/>
              </w:rPr>
              <w:t>Net cash used by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B55" w14:textId="77777777" w:rsidR="00833634" w:rsidRDefault="00E15D51">
            <w:pPr>
              <w:jc w:val="right"/>
              <w:textAlignment w:val="bottom"/>
            </w:pPr>
            <w:r>
              <w:rPr>
                <w:rFonts w:ascii="Arial" w:eastAsia="宋体" w:hAnsi="Arial" w:cs="Arial"/>
                <w:b/>
                <w:bCs/>
                <w:color w:val="000000"/>
                <w:sz w:val="20"/>
                <w:szCs w:val="20"/>
              </w:rPr>
              <w:t>(14,401)</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B56"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B57"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B58" w14:textId="77777777" w:rsidR="00833634" w:rsidRDefault="00E15D51">
            <w:pPr>
              <w:jc w:val="right"/>
              <w:textAlignment w:val="bottom"/>
            </w:pPr>
            <w:r>
              <w:rPr>
                <w:rFonts w:ascii="Arial" w:eastAsia="宋体" w:hAnsi="Arial" w:cs="Arial"/>
                <w:color w:val="000000"/>
                <w:sz w:val="20"/>
                <w:szCs w:val="20"/>
              </w:rPr>
              <w:t>(226)</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B59" w14:textId="77777777" w:rsidR="00833634" w:rsidRDefault="00833634">
            <w:pPr>
              <w:jc w:val="right"/>
              <w:rPr>
                <w:rFonts w:ascii="宋体"/>
              </w:rPr>
            </w:pPr>
          </w:p>
        </w:tc>
      </w:tr>
      <w:tr w:rsidR="00833634" w14:paraId="4090FB61" w14:textId="77777777">
        <w:tc>
          <w:tcPr>
            <w:tcW w:w="0" w:type="auto"/>
            <w:gridSpan w:val="3"/>
            <w:shd w:val="clear" w:color="auto" w:fill="CCEEFF"/>
            <w:tcMar>
              <w:top w:w="40" w:type="dxa"/>
              <w:left w:w="20" w:type="dxa"/>
              <w:bottom w:w="40" w:type="dxa"/>
              <w:right w:w="20" w:type="dxa"/>
            </w:tcMar>
            <w:vAlign w:val="bottom"/>
          </w:tcPr>
          <w:p w14:paraId="4090FB5B" w14:textId="77777777" w:rsidR="00833634" w:rsidRDefault="00E15D51">
            <w:pPr>
              <w:textAlignment w:val="bottom"/>
            </w:pPr>
            <w:r>
              <w:rPr>
                <w:rFonts w:ascii="Arial" w:eastAsia="宋体" w:hAnsi="Arial" w:cs="Arial"/>
                <w:b/>
                <w:bCs/>
                <w:color w:val="000000"/>
                <w:sz w:val="20"/>
                <w:szCs w:val="20"/>
              </w:rPr>
              <w:t xml:space="preserve">Net cash used by investing </w:t>
            </w:r>
            <w:r>
              <w:rPr>
                <w:rFonts w:ascii="Arial" w:eastAsia="宋体" w:hAnsi="Arial" w:cs="Arial"/>
                <w:b/>
                <w:bCs/>
                <w:color w:val="000000"/>
                <w:sz w:val="20"/>
                <w:szCs w:val="20"/>
              </w:rPr>
              <w:t>activities</w:t>
            </w:r>
          </w:p>
        </w:tc>
        <w:tc>
          <w:tcPr>
            <w:tcW w:w="0" w:type="auto"/>
            <w:gridSpan w:val="2"/>
            <w:shd w:val="clear" w:color="auto" w:fill="CCEEFF"/>
            <w:tcMar>
              <w:top w:w="40" w:type="dxa"/>
              <w:left w:w="20" w:type="dxa"/>
              <w:bottom w:w="40" w:type="dxa"/>
              <w:right w:w="0" w:type="dxa"/>
            </w:tcMar>
            <w:vAlign w:val="bottom"/>
          </w:tcPr>
          <w:p w14:paraId="4090FB5C" w14:textId="77777777" w:rsidR="00833634" w:rsidRDefault="00E15D51">
            <w:pPr>
              <w:jc w:val="right"/>
              <w:textAlignment w:val="bottom"/>
            </w:pPr>
            <w:r>
              <w:rPr>
                <w:rFonts w:ascii="Arial" w:eastAsia="宋体" w:hAnsi="Arial" w:cs="Arial"/>
                <w:b/>
                <w:bCs/>
                <w:color w:val="000000"/>
                <w:sz w:val="20"/>
                <w:szCs w:val="20"/>
              </w:rPr>
              <w:t>(16,823)</w:t>
            </w:r>
          </w:p>
        </w:tc>
        <w:tc>
          <w:tcPr>
            <w:tcW w:w="0" w:type="auto"/>
            <w:shd w:val="clear" w:color="auto" w:fill="CCEEFF"/>
            <w:tcMar>
              <w:top w:w="40" w:type="dxa"/>
              <w:left w:w="0" w:type="dxa"/>
              <w:bottom w:w="40" w:type="dxa"/>
              <w:right w:w="20" w:type="dxa"/>
            </w:tcMar>
            <w:vAlign w:val="bottom"/>
          </w:tcPr>
          <w:p w14:paraId="4090FB5D"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B5E"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B5F" w14:textId="77777777" w:rsidR="00833634" w:rsidRDefault="00E15D51">
            <w:pPr>
              <w:jc w:val="right"/>
              <w:textAlignment w:val="bottom"/>
            </w:pPr>
            <w:r>
              <w:rPr>
                <w:rFonts w:ascii="Arial" w:eastAsia="宋体" w:hAnsi="Arial" w:cs="Arial"/>
                <w:color w:val="000000"/>
                <w:sz w:val="20"/>
                <w:szCs w:val="20"/>
              </w:rPr>
              <w:t>(2,047)</w:t>
            </w:r>
          </w:p>
        </w:tc>
        <w:tc>
          <w:tcPr>
            <w:tcW w:w="0" w:type="auto"/>
            <w:shd w:val="clear" w:color="auto" w:fill="CCEEFF"/>
            <w:tcMar>
              <w:top w:w="40" w:type="dxa"/>
              <w:left w:w="0" w:type="dxa"/>
              <w:bottom w:w="40" w:type="dxa"/>
              <w:right w:w="20" w:type="dxa"/>
            </w:tcMar>
            <w:vAlign w:val="bottom"/>
          </w:tcPr>
          <w:p w14:paraId="4090FB60" w14:textId="77777777" w:rsidR="00833634" w:rsidRDefault="00833634">
            <w:pPr>
              <w:jc w:val="right"/>
              <w:rPr>
                <w:rFonts w:ascii="宋体"/>
              </w:rPr>
            </w:pPr>
          </w:p>
        </w:tc>
      </w:tr>
      <w:tr w:rsidR="00833634" w14:paraId="4090FB68" w14:textId="77777777">
        <w:tc>
          <w:tcPr>
            <w:tcW w:w="0" w:type="auto"/>
            <w:gridSpan w:val="3"/>
            <w:shd w:val="clear" w:color="auto" w:fill="FFFFFF"/>
            <w:tcMar>
              <w:top w:w="40" w:type="dxa"/>
              <w:left w:w="20" w:type="dxa"/>
              <w:bottom w:w="40" w:type="dxa"/>
              <w:right w:w="20" w:type="dxa"/>
            </w:tcMar>
            <w:vAlign w:val="bottom"/>
          </w:tcPr>
          <w:p w14:paraId="4090FB62" w14:textId="77777777" w:rsidR="00833634" w:rsidRDefault="00E15D51">
            <w:pPr>
              <w:textAlignment w:val="bottom"/>
            </w:pPr>
            <w:r>
              <w:rPr>
                <w:rFonts w:ascii="Arial" w:eastAsia="宋体" w:hAnsi="Arial" w:cs="Arial"/>
                <w:b/>
                <w:bCs/>
                <w:color w:val="000000"/>
                <w:sz w:val="20"/>
                <w:szCs w:val="20"/>
              </w:rPr>
              <w:t>Net cash provided by financing activities</w:t>
            </w:r>
          </w:p>
        </w:tc>
        <w:tc>
          <w:tcPr>
            <w:tcW w:w="0" w:type="auto"/>
            <w:gridSpan w:val="2"/>
            <w:shd w:val="clear" w:color="auto" w:fill="FFFFFF"/>
            <w:tcMar>
              <w:top w:w="40" w:type="dxa"/>
              <w:left w:w="20" w:type="dxa"/>
              <w:bottom w:w="40" w:type="dxa"/>
              <w:right w:w="0" w:type="dxa"/>
            </w:tcMar>
            <w:vAlign w:val="bottom"/>
          </w:tcPr>
          <w:p w14:paraId="4090FB63" w14:textId="77777777" w:rsidR="00833634" w:rsidRDefault="00E15D51">
            <w:pPr>
              <w:jc w:val="right"/>
              <w:textAlignment w:val="bottom"/>
            </w:pPr>
            <w:r>
              <w:rPr>
                <w:rFonts w:ascii="Arial" w:eastAsia="宋体" w:hAnsi="Arial" w:cs="Arial"/>
                <w:b/>
                <w:bCs/>
                <w:color w:val="000000"/>
                <w:sz w:val="20"/>
                <w:szCs w:val="20"/>
              </w:rPr>
              <w:t>32,274</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B6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B6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B66" w14:textId="77777777" w:rsidR="00833634" w:rsidRDefault="00E15D51">
            <w:pPr>
              <w:jc w:val="right"/>
              <w:textAlignment w:val="bottom"/>
            </w:pPr>
            <w:r>
              <w:rPr>
                <w:rFonts w:ascii="Arial" w:eastAsia="宋体" w:hAnsi="Arial" w:cs="Arial"/>
                <w:color w:val="000000"/>
                <w:sz w:val="20"/>
                <w:szCs w:val="20"/>
              </w:rPr>
              <w:t>4,336 </w:t>
            </w:r>
          </w:p>
        </w:tc>
        <w:tc>
          <w:tcPr>
            <w:tcW w:w="0" w:type="auto"/>
            <w:shd w:val="clear" w:color="auto" w:fill="FFFFFF"/>
            <w:tcMar>
              <w:top w:w="40" w:type="dxa"/>
              <w:left w:w="0" w:type="dxa"/>
              <w:bottom w:w="40" w:type="dxa"/>
              <w:right w:w="20" w:type="dxa"/>
            </w:tcMar>
            <w:vAlign w:val="bottom"/>
          </w:tcPr>
          <w:p w14:paraId="4090FB67" w14:textId="77777777" w:rsidR="00833634" w:rsidRDefault="00833634">
            <w:pPr>
              <w:jc w:val="right"/>
              <w:rPr>
                <w:rFonts w:ascii="宋体"/>
              </w:rPr>
            </w:pPr>
          </w:p>
        </w:tc>
      </w:tr>
      <w:tr w:rsidR="00833634" w14:paraId="4090FB6F" w14:textId="77777777">
        <w:tc>
          <w:tcPr>
            <w:tcW w:w="0" w:type="auto"/>
            <w:gridSpan w:val="3"/>
            <w:shd w:val="clear" w:color="auto" w:fill="CCEEFF"/>
            <w:tcMar>
              <w:top w:w="40" w:type="dxa"/>
              <w:left w:w="20" w:type="dxa"/>
              <w:bottom w:w="40" w:type="dxa"/>
              <w:right w:w="20" w:type="dxa"/>
            </w:tcMar>
            <w:vAlign w:val="bottom"/>
          </w:tcPr>
          <w:p w14:paraId="4090FB69" w14:textId="77777777" w:rsidR="00833634" w:rsidRDefault="00E15D51">
            <w:pPr>
              <w:textAlignment w:val="bottom"/>
            </w:pPr>
            <w:r>
              <w:rPr>
                <w:rFonts w:ascii="Arial" w:eastAsia="宋体" w:hAnsi="Arial" w:cs="Arial"/>
                <w:color w:val="000000"/>
                <w:sz w:val="20"/>
                <w:szCs w:val="20"/>
              </w:rPr>
              <w:t>Effect of exchange rate changes on cash and cash equivalents</w:t>
            </w:r>
          </w:p>
        </w:tc>
        <w:tc>
          <w:tcPr>
            <w:tcW w:w="0" w:type="auto"/>
            <w:gridSpan w:val="2"/>
            <w:shd w:val="clear" w:color="auto" w:fill="CCEEFF"/>
            <w:tcMar>
              <w:top w:w="40" w:type="dxa"/>
              <w:left w:w="20" w:type="dxa"/>
              <w:bottom w:w="40" w:type="dxa"/>
              <w:right w:w="0" w:type="dxa"/>
            </w:tcMar>
            <w:vAlign w:val="bottom"/>
          </w:tcPr>
          <w:p w14:paraId="4090FB6A" w14:textId="77777777" w:rsidR="00833634" w:rsidRDefault="00E15D51">
            <w:pPr>
              <w:jc w:val="right"/>
              <w:textAlignment w:val="bottom"/>
            </w:pPr>
            <w:r>
              <w:rPr>
                <w:rFonts w:ascii="Arial" w:eastAsia="宋体" w:hAnsi="Arial" w:cs="Arial"/>
                <w:b/>
                <w:bCs/>
                <w:color w:val="000000"/>
                <w:sz w:val="20"/>
                <w:szCs w:val="20"/>
              </w:rPr>
              <w:t>26</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B6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B6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B6D" w14:textId="77777777" w:rsidR="00833634" w:rsidRDefault="00E15D51">
            <w:pPr>
              <w:jc w:val="right"/>
              <w:textAlignment w:val="bottom"/>
            </w:pPr>
            <w:r>
              <w:rPr>
                <w:rFonts w:ascii="Arial" w:eastAsia="宋体" w:hAnsi="Arial" w:cs="Arial"/>
                <w:color w:val="000000"/>
                <w:sz w:val="20"/>
                <w:szCs w:val="20"/>
              </w:rPr>
              <w:t>(27)</w:t>
            </w:r>
          </w:p>
        </w:tc>
        <w:tc>
          <w:tcPr>
            <w:tcW w:w="0" w:type="auto"/>
            <w:shd w:val="clear" w:color="auto" w:fill="CCEEFF"/>
            <w:tcMar>
              <w:top w:w="40" w:type="dxa"/>
              <w:left w:w="0" w:type="dxa"/>
              <w:bottom w:w="40" w:type="dxa"/>
              <w:right w:w="20" w:type="dxa"/>
            </w:tcMar>
            <w:vAlign w:val="bottom"/>
          </w:tcPr>
          <w:p w14:paraId="4090FB6E" w14:textId="77777777" w:rsidR="00833634" w:rsidRDefault="00833634">
            <w:pPr>
              <w:jc w:val="right"/>
              <w:rPr>
                <w:rFonts w:ascii="宋体"/>
              </w:rPr>
            </w:pPr>
          </w:p>
        </w:tc>
      </w:tr>
      <w:tr w:rsidR="00833634" w14:paraId="4090FB76"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FB70" w14:textId="77777777" w:rsidR="00833634" w:rsidRDefault="00E15D51">
            <w:pPr>
              <w:textAlignment w:val="bottom"/>
            </w:pPr>
            <w:r>
              <w:rPr>
                <w:rFonts w:ascii="Arial" w:eastAsia="宋体" w:hAnsi="Arial" w:cs="Arial"/>
                <w:b/>
                <w:bCs/>
                <w:color w:val="000000"/>
                <w:sz w:val="20"/>
                <w:szCs w:val="20"/>
              </w:rPr>
              <w:t>Net increase in cash &amp; cash equivalents, including restricted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B71" w14:textId="77777777" w:rsidR="00833634" w:rsidRDefault="00E15D51">
            <w:pPr>
              <w:jc w:val="right"/>
              <w:textAlignment w:val="bottom"/>
            </w:pPr>
            <w:r>
              <w:rPr>
                <w:rFonts w:ascii="Arial" w:eastAsia="宋体" w:hAnsi="Arial" w:cs="Arial"/>
                <w:b/>
                <w:bCs/>
                <w:color w:val="000000"/>
                <w:sz w:val="20"/>
                <w:szCs w:val="20"/>
              </w:rPr>
              <w:t>1,076</w:t>
            </w:r>
            <w:r>
              <w:rPr>
                <w:rFonts w:ascii="Arial" w:eastAsia="宋体" w:hAnsi="Arial" w:cs="Arial"/>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B72"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B73"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B74" w14:textId="77777777" w:rsidR="00833634" w:rsidRDefault="00E15D51">
            <w:pPr>
              <w:jc w:val="right"/>
              <w:textAlignment w:val="bottom"/>
            </w:pPr>
            <w:r>
              <w:rPr>
                <w:rFonts w:ascii="Arial" w:eastAsia="宋体" w:hAnsi="Arial" w:cs="Arial"/>
                <w:color w:val="000000"/>
                <w:sz w:val="20"/>
                <w:szCs w:val="20"/>
              </w:rPr>
              <w:t>2,036 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B75" w14:textId="77777777" w:rsidR="00833634" w:rsidRDefault="00833634">
            <w:pPr>
              <w:jc w:val="right"/>
              <w:rPr>
                <w:rFonts w:ascii="宋体"/>
              </w:rPr>
            </w:pPr>
          </w:p>
        </w:tc>
      </w:tr>
      <w:tr w:rsidR="00833634" w14:paraId="4090FB7D" w14:textId="77777777">
        <w:tc>
          <w:tcPr>
            <w:tcW w:w="0" w:type="auto"/>
            <w:gridSpan w:val="3"/>
            <w:shd w:val="clear" w:color="auto" w:fill="CCEEFF"/>
            <w:tcMar>
              <w:top w:w="40" w:type="dxa"/>
              <w:left w:w="20" w:type="dxa"/>
              <w:bottom w:w="40" w:type="dxa"/>
              <w:right w:w="20" w:type="dxa"/>
            </w:tcMar>
            <w:vAlign w:val="bottom"/>
          </w:tcPr>
          <w:p w14:paraId="4090FB77" w14:textId="77777777" w:rsidR="00833634" w:rsidRDefault="00E15D51">
            <w:pPr>
              <w:textAlignment w:val="bottom"/>
            </w:pPr>
            <w:r>
              <w:rPr>
                <w:rFonts w:ascii="Arial" w:eastAsia="宋体" w:hAnsi="Arial" w:cs="Arial"/>
                <w:color w:val="000000"/>
                <w:sz w:val="20"/>
                <w:szCs w:val="20"/>
              </w:rPr>
              <w:t xml:space="preserve">Cash &amp; </w:t>
            </w:r>
            <w:r>
              <w:rPr>
                <w:rFonts w:ascii="Arial" w:eastAsia="宋体" w:hAnsi="Arial" w:cs="Arial"/>
                <w:color w:val="000000"/>
                <w:sz w:val="20"/>
                <w:szCs w:val="20"/>
              </w:rPr>
              <w:t>cash equivalents, including restricted, at beginning of year</w:t>
            </w:r>
          </w:p>
        </w:tc>
        <w:tc>
          <w:tcPr>
            <w:tcW w:w="0" w:type="auto"/>
            <w:gridSpan w:val="2"/>
            <w:shd w:val="clear" w:color="auto" w:fill="CCEEFF"/>
            <w:tcMar>
              <w:top w:w="40" w:type="dxa"/>
              <w:left w:w="20" w:type="dxa"/>
              <w:bottom w:w="40" w:type="dxa"/>
              <w:right w:w="0" w:type="dxa"/>
            </w:tcMar>
            <w:vAlign w:val="bottom"/>
          </w:tcPr>
          <w:p w14:paraId="4090FB78" w14:textId="77777777" w:rsidR="00833634" w:rsidRDefault="00E15D51">
            <w:pPr>
              <w:jc w:val="right"/>
              <w:textAlignment w:val="bottom"/>
            </w:pPr>
            <w:r>
              <w:rPr>
                <w:rFonts w:ascii="Arial" w:eastAsia="宋体" w:hAnsi="Arial" w:cs="Arial"/>
                <w:b/>
                <w:bCs/>
                <w:color w:val="000000"/>
                <w:sz w:val="20"/>
                <w:szCs w:val="20"/>
              </w:rPr>
              <w:t>9,571</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B79"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B7A"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B7B" w14:textId="77777777" w:rsidR="00833634" w:rsidRDefault="00E15D51">
            <w:pPr>
              <w:jc w:val="right"/>
              <w:textAlignment w:val="bottom"/>
            </w:pPr>
            <w:r>
              <w:rPr>
                <w:rFonts w:ascii="Arial" w:eastAsia="宋体" w:hAnsi="Arial" w:cs="Arial"/>
                <w:color w:val="000000"/>
                <w:sz w:val="20"/>
                <w:szCs w:val="20"/>
              </w:rPr>
              <w:t>7,813 </w:t>
            </w:r>
          </w:p>
        </w:tc>
        <w:tc>
          <w:tcPr>
            <w:tcW w:w="0" w:type="auto"/>
            <w:shd w:val="clear" w:color="auto" w:fill="CCEEFF"/>
            <w:tcMar>
              <w:top w:w="40" w:type="dxa"/>
              <w:left w:w="0" w:type="dxa"/>
              <w:bottom w:w="40" w:type="dxa"/>
              <w:right w:w="20" w:type="dxa"/>
            </w:tcMar>
            <w:vAlign w:val="bottom"/>
          </w:tcPr>
          <w:p w14:paraId="4090FB7C" w14:textId="77777777" w:rsidR="00833634" w:rsidRDefault="00833634">
            <w:pPr>
              <w:jc w:val="right"/>
              <w:rPr>
                <w:rFonts w:ascii="宋体"/>
              </w:rPr>
            </w:pPr>
          </w:p>
        </w:tc>
      </w:tr>
      <w:tr w:rsidR="00833634" w14:paraId="4090FB84"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FB7E" w14:textId="77777777" w:rsidR="00833634" w:rsidRDefault="00E15D51">
            <w:pPr>
              <w:textAlignment w:val="bottom"/>
            </w:pPr>
            <w:r>
              <w:rPr>
                <w:rFonts w:ascii="Arial" w:eastAsia="宋体" w:hAnsi="Arial" w:cs="Arial"/>
                <w:b/>
                <w:bCs/>
                <w:color w:val="000000"/>
                <w:sz w:val="20"/>
                <w:szCs w:val="20"/>
              </w:rPr>
              <w:t>Cash &amp; cash equivalents, including restricted, at end of period</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B7F" w14:textId="77777777" w:rsidR="00833634" w:rsidRDefault="00E15D51">
            <w:pPr>
              <w:jc w:val="right"/>
              <w:textAlignment w:val="bottom"/>
            </w:pPr>
            <w:r>
              <w:rPr>
                <w:rFonts w:ascii="Arial" w:eastAsia="宋体" w:hAnsi="Arial" w:cs="Arial"/>
                <w:b/>
                <w:bCs/>
                <w:color w:val="000000"/>
                <w:sz w:val="20"/>
                <w:szCs w:val="20"/>
              </w:rPr>
              <w:t>$10,647</w:t>
            </w:r>
            <w:r>
              <w:rPr>
                <w:rFonts w:ascii="Arial" w:eastAsia="宋体" w:hAnsi="Arial" w:cs="Arial"/>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B80"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B81"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B82" w14:textId="77777777" w:rsidR="00833634" w:rsidRDefault="00E15D51">
            <w:pPr>
              <w:jc w:val="right"/>
              <w:textAlignment w:val="bottom"/>
            </w:pPr>
            <w:r>
              <w:rPr>
                <w:rFonts w:ascii="Arial" w:eastAsia="宋体" w:hAnsi="Arial" w:cs="Arial"/>
                <w:color w:val="000000"/>
                <w:sz w:val="20"/>
                <w:szCs w:val="20"/>
              </w:rPr>
              <w:t>$9,849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B83" w14:textId="77777777" w:rsidR="00833634" w:rsidRDefault="00833634">
            <w:pPr>
              <w:jc w:val="right"/>
              <w:rPr>
                <w:rFonts w:ascii="宋体"/>
              </w:rPr>
            </w:pPr>
          </w:p>
        </w:tc>
      </w:tr>
    </w:tbl>
    <w:p w14:paraId="4090FB85" w14:textId="77777777" w:rsidR="00833634" w:rsidRDefault="00E15D51">
      <w:pPr>
        <w:spacing w:after="180"/>
        <w:jc w:val="both"/>
      </w:pPr>
      <w:r>
        <w:rPr>
          <w:rFonts w:ascii="Arial" w:eastAsia="宋体" w:hAnsi="Arial" w:cs="Arial"/>
          <w:b/>
          <w:bCs/>
          <w:color w:val="000000"/>
          <w:sz w:val="20"/>
          <w:szCs w:val="20"/>
        </w:rPr>
        <w:t>Operating Activities</w:t>
      </w:r>
      <w:r>
        <w:rPr>
          <w:rFonts w:ascii="Arial" w:eastAsia="宋体" w:hAnsi="Arial" w:cs="Arial"/>
          <w:color w:val="000000"/>
          <w:sz w:val="20"/>
          <w:szCs w:val="20"/>
        </w:rPr>
        <w:t xml:space="preserve"> Net cash used by operating activities was $14.4 billion during the nine months ended September 30, 2020, compared with cash used of $0.2 billion during the same period in 2019 primarily driven by changes in working capital. The changes in working capital </w:t>
      </w:r>
      <w:r>
        <w:rPr>
          <w:rFonts w:ascii="Arial" w:eastAsia="宋体" w:hAnsi="Arial" w:cs="Arial"/>
          <w:color w:val="000000"/>
          <w:sz w:val="20"/>
          <w:szCs w:val="20"/>
        </w:rPr>
        <w:t>in 2020 are primarily driven by increases in commercial airplane inventory largely reflecting lower deliveries of wide-body aircraft and the continued 737 MAX grounding. The changes in working capital in 2020 also reflect lower accounts payable in 2020 due</w:t>
      </w:r>
      <w:r>
        <w:rPr>
          <w:rFonts w:ascii="Arial" w:eastAsia="宋体" w:hAnsi="Arial" w:cs="Arial"/>
          <w:color w:val="000000"/>
          <w:sz w:val="20"/>
          <w:szCs w:val="20"/>
        </w:rPr>
        <w:t xml:space="preserve"> to reductions in commercial purchases from suppliers. Compensation payments to 737 MAX customers totaled $1.7 billion during the first nine months of 2020. Through the third quarter of 2019, we recorded an earnings charge and recognized a liability of $5.</w:t>
      </w:r>
      <w:r>
        <w:rPr>
          <w:rFonts w:ascii="Arial" w:eastAsia="宋体" w:hAnsi="Arial" w:cs="Arial"/>
          <w:color w:val="000000"/>
          <w:sz w:val="20"/>
          <w:szCs w:val="20"/>
        </w:rPr>
        <w:t>6 billion for customer considerations. In the third quarter of 2019, we collected $500 million from our insurances carriers, which was partially offset by compensation payments. The impacts of the COVID-19 pandemic and the 737 MAX grounding are expected to</w:t>
      </w:r>
      <w:r>
        <w:rPr>
          <w:rFonts w:ascii="Arial" w:eastAsia="宋体" w:hAnsi="Arial" w:cs="Arial"/>
          <w:color w:val="000000"/>
          <w:sz w:val="20"/>
          <w:szCs w:val="20"/>
        </w:rPr>
        <w:t xml:space="preserve"> continue to have a significant negative impact on our operating cash flows during 2020.</w:t>
      </w:r>
    </w:p>
    <w:p w14:paraId="4090FB86" w14:textId="77777777" w:rsidR="00833634" w:rsidRDefault="00E15D51">
      <w:pPr>
        <w:spacing w:after="180"/>
        <w:jc w:val="both"/>
      </w:pPr>
      <w:r>
        <w:rPr>
          <w:rFonts w:ascii="Arial" w:eastAsia="宋体" w:hAnsi="Arial" w:cs="Arial"/>
          <w:color w:val="000000"/>
          <w:sz w:val="20"/>
          <w:szCs w:val="20"/>
        </w:rPr>
        <w:t>Payables to suppliers who elected to participate in supply chain financing programs declined by $1.0 billion for the nine months ended September 30, 2020 and increased</w:t>
      </w:r>
      <w:r>
        <w:rPr>
          <w:rFonts w:ascii="Arial" w:eastAsia="宋体" w:hAnsi="Arial" w:cs="Arial"/>
          <w:color w:val="000000"/>
          <w:sz w:val="20"/>
          <w:szCs w:val="20"/>
        </w:rPr>
        <w:t xml:space="preserve"> by $2.1 billion for the same period in the prior year. Supply chain financing is not material to our overall liquidity. The decline for the nine months ended September 30, 2020 was primarily due to reductions in commercial purchases from suppliers. The in</w:t>
      </w:r>
      <w:r>
        <w:rPr>
          <w:rFonts w:ascii="Arial" w:eastAsia="宋体" w:hAnsi="Arial" w:cs="Arial"/>
          <w:color w:val="000000"/>
          <w:sz w:val="20"/>
          <w:szCs w:val="20"/>
        </w:rPr>
        <w:t>crease for the nine months ended September 30, 2019 reflects a combination of higher purchases, an extension of payment terms with certain suppliers, and increased utilization of our supply chain financing programs.</w:t>
      </w:r>
    </w:p>
    <w:p w14:paraId="4090FB87" w14:textId="77777777" w:rsidR="00833634" w:rsidRDefault="00E15D51">
      <w:pPr>
        <w:spacing w:after="180"/>
        <w:jc w:val="both"/>
      </w:pPr>
      <w:r>
        <w:rPr>
          <w:rFonts w:ascii="Arial" w:eastAsia="宋体" w:hAnsi="Arial" w:cs="Arial"/>
          <w:b/>
          <w:bCs/>
          <w:color w:val="000000"/>
          <w:sz w:val="20"/>
          <w:szCs w:val="20"/>
        </w:rPr>
        <w:t>Investing Activities</w:t>
      </w:r>
      <w:r>
        <w:rPr>
          <w:rFonts w:ascii="Arial" w:eastAsia="宋体" w:hAnsi="Arial" w:cs="Arial"/>
          <w:color w:val="000000"/>
          <w:sz w:val="20"/>
          <w:szCs w:val="20"/>
        </w:rPr>
        <w:t xml:space="preserve"> Cash used by invest</w:t>
      </w:r>
      <w:r>
        <w:rPr>
          <w:rFonts w:ascii="Arial" w:eastAsia="宋体" w:hAnsi="Arial" w:cs="Arial"/>
          <w:color w:val="000000"/>
          <w:sz w:val="20"/>
          <w:szCs w:val="20"/>
        </w:rPr>
        <w:t>ing activities was $16.8 billion during the nine months ended September 30, 2020, compared with $2.0 billion during the same period in 2019, primarily due to $15.6 billion of higher net contributions to investments. In the nine months ended September 30, 2</w:t>
      </w:r>
      <w:r>
        <w:rPr>
          <w:rFonts w:ascii="Arial" w:eastAsia="宋体" w:hAnsi="Arial" w:cs="Arial"/>
          <w:color w:val="000000"/>
          <w:sz w:val="20"/>
          <w:szCs w:val="20"/>
        </w:rPr>
        <w:t>020 and 2019, capital expenditures totaled $1.0 billion and $1.4 billion. We now expect capital expenditures in 2020 to be lower than 2019.</w:t>
      </w:r>
    </w:p>
    <w:p w14:paraId="4090FB88" w14:textId="77777777" w:rsidR="00833634" w:rsidRDefault="00E15D51">
      <w:pPr>
        <w:spacing w:after="180"/>
        <w:jc w:val="both"/>
      </w:pPr>
      <w:r>
        <w:rPr>
          <w:rFonts w:ascii="Arial" w:eastAsia="宋体" w:hAnsi="Arial" w:cs="Arial"/>
          <w:b/>
          <w:bCs/>
          <w:color w:val="000000"/>
          <w:sz w:val="20"/>
          <w:szCs w:val="20"/>
        </w:rPr>
        <w:t>Financing Activities</w:t>
      </w:r>
      <w:r>
        <w:rPr>
          <w:rFonts w:ascii="Arial" w:eastAsia="宋体" w:hAnsi="Arial" w:cs="Arial"/>
          <w:color w:val="000000"/>
          <w:sz w:val="20"/>
          <w:szCs w:val="20"/>
        </w:rPr>
        <w:t xml:space="preserve"> Cash provided by financing activities was $32.3 billion during the nine months ended September </w:t>
      </w:r>
      <w:r>
        <w:rPr>
          <w:rFonts w:ascii="Arial" w:eastAsia="宋体" w:hAnsi="Arial" w:cs="Arial"/>
          <w:color w:val="000000"/>
          <w:sz w:val="20"/>
          <w:szCs w:val="20"/>
        </w:rPr>
        <w:t>30, 2020 compared with cash provided of $4.3 billion during the same period in 2019, primarily reflecting higher net borrowings, lower share repurchases and lower dividends paid. During the nine months ended September 30, 2020, new borrowings net of repaym</w:t>
      </w:r>
      <w:r>
        <w:rPr>
          <w:rFonts w:ascii="Arial" w:eastAsia="宋体" w:hAnsi="Arial" w:cs="Arial"/>
          <w:color w:val="000000"/>
          <w:sz w:val="20"/>
          <w:szCs w:val="20"/>
        </w:rPr>
        <w:t>ents were $33.6 billion compared with $10.6 billion in the same period in 2019, primarily due to $25 billion of fixed rate senior notes issued in the second quarter of 2020 and $13.8 billion of new borrowings under a two-year delayed draw term loan agreeme</w:t>
      </w:r>
      <w:r>
        <w:rPr>
          <w:rFonts w:ascii="Arial" w:eastAsia="宋体" w:hAnsi="Arial" w:cs="Arial"/>
          <w:color w:val="000000"/>
          <w:sz w:val="20"/>
          <w:szCs w:val="20"/>
        </w:rPr>
        <w:t>nt entered into in the first quarter of 2020. For further discussion see Liquidity Matters in Note 1 to our Condensed Consolidated Financial Statements.</w:t>
      </w:r>
    </w:p>
    <w:p w14:paraId="4090FB89" w14:textId="77777777" w:rsidR="00833634" w:rsidRDefault="00E15D51">
      <w:pPr>
        <w:spacing w:after="180"/>
        <w:jc w:val="center"/>
      </w:pPr>
      <w:r>
        <w:rPr>
          <w:rFonts w:ascii="Arial" w:eastAsia="宋体" w:hAnsi="Arial" w:cs="Arial"/>
          <w:color w:val="000000"/>
          <w:sz w:val="18"/>
          <w:szCs w:val="18"/>
        </w:rPr>
        <w:t>55</w:t>
      </w:r>
    </w:p>
    <w:p w14:paraId="4090FB8A" w14:textId="77777777" w:rsidR="00833634" w:rsidRDefault="00E15D51">
      <w:r>
        <w:pict w14:anchorId="4090FE57">
          <v:rect id="_x0000_i1081" style="width:415.3pt;height:1.5pt" o:hralign="center" o:hrstd="t" o:hr="t" fillcolor="#a0a0a0" stroked="f"/>
        </w:pict>
      </w:r>
    </w:p>
    <w:p w14:paraId="4090FB8B" w14:textId="77777777" w:rsidR="00833634" w:rsidRDefault="00E15D51">
      <w:pPr>
        <w:spacing w:after="180"/>
        <w:jc w:val="both"/>
      </w:pPr>
      <w:hyperlink r:id="rId158" w:anchor="i8d805bfb1e1c4815a1dcd5b6d1e0b117_10" w:history="1">
        <w:r>
          <w:rPr>
            <w:rStyle w:val="a5"/>
            <w:rFonts w:ascii="Arial" w:eastAsia="宋体" w:hAnsi="Arial" w:cs="Arial"/>
            <w:sz w:val="18"/>
            <w:szCs w:val="18"/>
          </w:rPr>
          <w:t>Table of Contents</w:t>
        </w:r>
      </w:hyperlink>
    </w:p>
    <w:p w14:paraId="4090FB8C" w14:textId="77777777" w:rsidR="00833634" w:rsidRDefault="00E15D51">
      <w:pPr>
        <w:spacing w:after="180"/>
        <w:jc w:val="both"/>
      </w:pPr>
      <w:r>
        <w:rPr>
          <w:rFonts w:ascii="Arial" w:eastAsia="宋体" w:hAnsi="Arial" w:cs="Arial"/>
          <w:color w:val="000000"/>
          <w:sz w:val="20"/>
          <w:szCs w:val="20"/>
        </w:rPr>
        <w:t xml:space="preserve">As of September 30, 2020, the total debt balance was $61.0 billion up from $27.3 billion at December 31, 2019. At September 30, 2020, $3.6 billion of debt was classified as </w:t>
      </w:r>
      <w:r>
        <w:rPr>
          <w:rFonts w:ascii="Arial" w:eastAsia="宋体" w:hAnsi="Arial" w:cs="Arial"/>
          <w:color w:val="000000"/>
          <w:sz w:val="20"/>
          <w:szCs w:val="20"/>
        </w:rPr>
        <w:t>short-term. Debt, including intercompany loans, attributable to BCC totaled $1.9 billion, of which $0.9 billion was classified as short-term.</w:t>
      </w:r>
    </w:p>
    <w:p w14:paraId="4090FB8D" w14:textId="77777777" w:rsidR="00833634" w:rsidRDefault="00E15D51">
      <w:pPr>
        <w:spacing w:after="180"/>
        <w:jc w:val="both"/>
      </w:pPr>
      <w:r>
        <w:rPr>
          <w:rFonts w:ascii="Arial" w:eastAsia="宋体" w:hAnsi="Arial" w:cs="Arial"/>
          <w:color w:val="000000"/>
          <w:sz w:val="20"/>
          <w:szCs w:val="20"/>
        </w:rPr>
        <w:t>During the nine months ended September 30, 2020 we did not repurchase any shares through our open market share rep</w:t>
      </w:r>
      <w:r>
        <w:rPr>
          <w:rFonts w:ascii="Arial" w:eastAsia="宋体" w:hAnsi="Arial" w:cs="Arial"/>
          <w:color w:val="000000"/>
          <w:sz w:val="20"/>
          <w:szCs w:val="20"/>
        </w:rPr>
        <w:t>urchase program compared to share repurchases of $2.7 billion in the same period in 2019. Share repurchases under this plan had been suspended since April 2019. In March 2020, the Board of Directors terminated its prior authorization to repurchase shares o</w:t>
      </w:r>
      <w:r>
        <w:rPr>
          <w:rFonts w:ascii="Arial" w:eastAsia="宋体" w:hAnsi="Arial" w:cs="Arial"/>
          <w:color w:val="000000"/>
          <w:sz w:val="20"/>
          <w:szCs w:val="20"/>
        </w:rPr>
        <w:t>f the Company's outstanding common stock.</w:t>
      </w:r>
    </w:p>
    <w:p w14:paraId="4090FB8E" w14:textId="77777777" w:rsidR="00833634" w:rsidRDefault="00E15D51">
      <w:pPr>
        <w:spacing w:after="180"/>
        <w:jc w:val="both"/>
      </w:pPr>
      <w:r>
        <w:rPr>
          <w:rFonts w:ascii="Arial" w:eastAsia="宋体" w:hAnsi="Arial" w:cs="Arial"/>
          <w:color w:val="000000"/>
          <w:sz w:val="20"/>
          <w:szCs w:val="20"/>
        </w:rPr>
        <w:t>During the nine months ended September 30, 2020 we paid dividends of $1.2 billion compared with $3.5 billion in the same period in 2019. In March 2020, the Company announced that our dividend will be suspended unti</w:t>
      </w:r>
      <w:r>
        <w:rPr>
          <w:rFonts w:ascii="Arial" w:eastAsia="宋体" w:hAnsi="Arial" w:cs="Arial"/>
          <w:color w:val="000000"/>
          <w:sz w:val="20"/>
          <w:szCs w:val="20"/>
        </w:rPr>
        <w:t>l further notice.</w:t>
      </w:r>
    </w:p>
    <w:p w14:paraId="4090FB8F" w14:textId="77777777" w:rsidR="00833634" w:rsidRDefault="00E15D51">
      <w:pPr>
        <w:spacing w:after="180"/>
        <w:jc w:val="both"/>
      </w:pPr>
      <w:r>
        <w:rPr>
          <w:rFonts w:ascii="Arial" w:eastAsia="宋体" w:hAnsi="Arial" w:cs="Arial"/>
          <w:b/>
          <w:bCs/>
          <w:color w:val="000000"/>
          <w:sz w:val="20"/>
          <w:szCs w:val="20"/>
        </w:rPr>
        <w:t>Capital Resources</w:t>
      </w:r>
      <w:r>
        <w:rPr>
          <w:rFonts w:ascii="Arial" w:eastAsia="宋体" w:hAnsi="Arial" w:cs="Arial"/>
          <w:color w:val="000000"/>
          <w:sz w:val="20"/>
          <w:szCs w:val="20"/>
        </w:rPr>
        <w:t xml:space="preserve"> The impacts of the COVID-19 pandemic and 737 MAX grounding are having a significant negative impact on our liquidity and ongoing operations and creating significant uncertainty. For further discussion see Liquidity Matte</w:t>
      </w:r>
      <w:r>
        <w:rPr>
          <w:rFonts w:ascii="Arial" w:eastAsia="宋体" w:hAnsi="Arial" w:cs="Arial"/>
          <w:color w:val="000000"/>
          <w:sz w:val="20"/>
          <w:szCs w:val="20"/>
        </w:rPr>
        <w:t>rs in Note 1 to our Condensed Consolidated Financial Statements.</w:t>
      </w:r>
    </w:p>
    <w:p w14:paraId="4090FB90" w14:textId="77777777" w:rsidR="00833634" w:rsidRDefault="00E15D51">
      <w:pPr>
        <w:spacing w:after="180"/>
        <w:jc w:val="both"/>
      </w:pPr>
      <w:r>
        <w:rPr>
          <w:rFonts w:ascii="Arial" w:eastAsia="宋体" w:hAnsi="Arial" w:cs="Arial"/>
          <w:color w:val="000000"/>
          <w:sz w:val="20"/>
          <w:szCs w:val="20"/>
        </w:rPr>
        <w:t xml:space="preserve">At September 30, 2020, we had $9.6 billion of unused borrowing capacity on revolving credit line agreements. We anticipate that these credit lines will primarily serve as backup liquidity to </w:t>
      </w:r>
      <w:r>
        <w:rPr>
          <w:rFonts w:ascii="Arial" w:eastAsia="宋体" w:hAnsi="Arial" w:cs="Arial"/>
          <w:color w:val="000000"/>
          <w:sz w:val="20"/>
          <w:szCs w:val="20"/>
        </w:rPr>
        <w:t>support our general corporate borrowing needs. $3.2 billion of the $9.6 billion is a 364-day revolving credit facility, which was set to expire in October 2020. We renewed that 364-day revolving credit facility at $3.1 billion, which now expires in October</w:t>
      </w:r>
      <w:r>
        <w:rPr>
          <w:rFonts w:ascii="Arial" w:eastAsia="宋体" w:hAnsi="Arial" w:cs="Arial"/>
          <w:color w:val="000000"/>
          <w:sz w:val="20"/>
          <w:szCs w:val="20"/>
        </w:rPr>
        <w:t xml:space="preserve"> 2021. </w:t>
      </w:r>
    </w:p>
    <w:p w14:paraId="4090FB91" w14:textId="77777777" w:rsidR="00833634" w:rsidRDefault="00E15D51">
      <w:pPr>
        <w:spacing w:after="180"/>
        <w:jc w:val="both"/>
      </w:pPr>
      <w:r>
        <w:rPr>
          <w:rFonts w:ascii="Arial" w:eastAsia="宋体" w:hAnsi="Arial" w:cs="Arial"/>
          <w:color w:val="000000"/>
          <w:sz w:val="20"/>
          <w:szCs w:val="20"/>
        </w:rPr>
        <w:t>Any future borrowings may affect our credit ratings and are subject to various debt covenants. At September 30, 2020, we were in compliance with the covenants for our debt and credit facilities. The most restrictive covenants include a limitation o</w:t>
      </w:r>
      <w:r>
        <w:rPr>
          <w:rFonts w:ascii="Arial" w:eastAsia="宋体" w:hAnsi="Arial" w:cs="Arial"/>
          <w:color w:val="000000"/>
          <w:sz w:val="20"/>
          <w:szCs w:val="20"/>
        </w:rPr>
        <w:t>n mortgage debt and sale and leaseback transactions as a percentage of consolidated net tangible assets (as defined in the credit agreements), and a limitation on consolidated debt as a percentage of total capital (as defined). When considering debt covena</w:t>
      </w:r>
      <w:r>
        <w:rPr>
          <w:rFonts w:ascii="Arial" w:eastAsia="宋体" w:hAnsi="Arial" w:cs="Arial"/>
          <w:color w:val="000000"/>
          <w:sz w:val="20"/>
          <w:szCs w:val="20"/>
        </w:rPr>
        <w:t>nts, we continue to have substantial borrowing capacity.</w:t>
      </w:r>
    </w:p>
    <w:p w14:paraId="4090FB92" w14:textId="77777777" w:rsidR="00833634" w:rsidRDefault="00E15D51">
      <w:pPr>
        <w:spacing w:after="180"/>
        <w:jc w:val="both"/>
      </w:pPr>
      <w:r>
        <w:rPr>
          <w:rFonts w:ascii="Arial" w:eastAsia="宋体" w:hAnsi="Arial" w:cs="Arial"/>
          <w:color w:val="000000"/>
          <w:sz w:val="20"/>
          <w:szCs w:val="20"/>
        </w:rPr>
        <w:t>Financing commitments totaled $12.6 billion and $13.4 billion at September 30, 2020 and December 31, 2019. The decrease primarily relates to financing commitment expirations. We anticipate that we wi</w:t>
      </w:r>
      <w:r>
        <w:rPr>
          <w:rFonts w:ascii="Arial" w:eastAsia="宋体" w:hAnsi="Arial" w:cs="Arial"/>
          <w:color w:val="000000"/>
          <w:sz w:val="20"/>
          <w:szCs w:val="20"/>
        </w:rPr>
        <w:t>ll not be required to fund a significant portion of our financing commitments as we continue to work with third party financiers to provide alternative financing to customers. Historically, we have not been required to fund significant amounts of outstandi</w:t>
      </w:r>
      <w:r>
        <w:rPr>
          <w:rFonts w:ascii="Arial" w:eastAsia="宋体" w:hAnsi="Arial" w:cs="Arial"/>
          <w:color w:val="000000"/>
          <w:sz w:val="20"/>
          <w:szCs w:val="20"/>
        </w:rPr>
        <w:t>ng commitments. However, there can be no assurances that we will not be required to fund greater amounts than historically required.</w:t>
      </w:r>
    </w:p>
    <w:p w14:paraId="4090FB93" w14:textId="77777777" w:rsidR="00833634" w:rsidRDefault="00E15D51">
      <w:pPr>
        <w:spacing w:after="180"/>
        <w:jc w:val="both"/>
      </w:pPr>
      <w:r>
        <w:rPr>
          <w:rFonts w:ascii="Arial" w:eastAsia="宋体" w:hAnsi="Arial" w:cs="Arial"/>
          <w:color w:val="000000"/>
          <w:sz w:val="20"/>
          <w:szCs w:val="20"/>
        </w:rPr>
        <w:t xml:space="preserve">In the fourth quarter of 2020, the Company plans to contribute $3 billion of our common stock to our defined benefit plans </w:t>
      </w:r>
      <w:r>
        <w:rPr>
          <w:rFonts w:ascii="Arial" w:eastAsia="宋体" w:hAnsi="Arial" w:cs="Arial"/>
          <w:color w:val="000000"/>
          <w:sz w:val="20"/>
          <w:szCs w:val="20"/>
        </w:rPr>
        <w:t>pension fund. In the fourth quarter of 2020, the Company also plans to begin using our common stock in lieu of cash to fund Company contributions to our 401(k) plans for the foreseeable future, which we estimate will conserve approximately $1 billion of ca</w:t>
      </w:r>
      <w:r>
        <w:rPr>
          <w:rFonts w:ascii="Arial" w:eastAsia="宋体" w:hAnsi="Arial" w:cs="Arial"/>
          <w:color w:val="000000"/>
          <w:sz w:val="20"/>
          <w:szCs w:val="20"/>
        </w:rPr>
        <w:t>sh over the next 12 months. Common stock would be contributed to our 401(k) plans following each pay period. We expect this measure to further enable the Company to conserve cash. We will retain an independent fiduciary to manage and liquidate any stock co</w:t>
      </w:r>
      <w:r>
        <w:rPr>
          <w:rFonts w:ascii="Arial" w:eastAsia="宋体" w:hAnsi="Arial" w:cs="Arial"/>
          <w:color w:val="000000"/>
          <w:sz w:val="20"/>
          <w:szCs w:val="20"/>
        </w:rPr>
        <w:t>ntributed to these plans at its discretion.</w:t>
      </w:r>
    </w:p>
    <w:p w14:paraId="4090FB94" w14:textId="77777777" w:rsidR="00833634" w:rsidRDefault="00E15D51">
      <w:pPr>
        <w:spacing w:after="300"/>
        <w:jc w:val="both"/>
      </w:pPr>
      <w:r>
        <w:rPr>
          <w:rFonts w:ascii="Arial" w:eastAsia="宋体" w:hAnsi="Arial" w:cs="Arial"/>
          <w:color w:val="000000"/>
          <w:sz w:val="20"/>
          <w:szCs w:val="20"/>
        </w:rPr>
        <w:t>For discussion regarding Embraer see Note 18 to our Condensed Consolidated Financial Statements.</w:t>
      </w:r>
    </w:p>
    <w:p w14:paraId="4090FB95" w14:textId="77777777" w:rsidR="00833634" w:rsidRDefault="00E15D51">
      <w:pPr>
        <w:spacing w:before="300" w:after="180"/>
        <w:jc w:val="both"/>
      </w:pPr>
      <w:r>
        <w:rPr>
          <w:rFonts w:ascii="Arial" w:eastAsia="宋体" w:hAnsi="Arial" w:cs="Arial"/>
          <w:b/>
          <w:bCs/>
          <w:color w:val="000000"/>
          <w:sz w:val="20"/>
          <w:szCs w:val="20"/>
        </w:rPr>
        <w:t>Off-Balance Sheet Arrangements</w:t>
      </w:r>
    </w:p>
    <w:p w14:paraId="4090FB96" w14:textId="77777777" w:rsidR="00833634" w:rsidRDefault="00E15D51">
      <w:pPr>
        <w:spacing w:after="300"/>
        <w:jc w:val="both"/>
      </w:pPr>
      <w:r>
        <w:rPr>
          <w:rFonts w:ascii="Arial" w:eastAsia="宋体" w:hAnsi="Arial" w:cs="Arial"/>
          <w:color w:val="000000"/>
          <w:sz w:val="20"/>
          <w:szCs w:val="20"/>
        </w:rPr>
        <w:t>We are a party to certain off-balance sheet arrangements including certain guarantee</w:t>
      </w:r>
      <w:r>
        <w:rPr>
          <w:rFonts w:ascii="Arial" w:eastAsia="宋体" w:hAnsi="Arial" w:cs="Arial"/>
          <w:color w:val="000000"/>
          <w:sz w:val="20"/>
          <w:szCs w:val="20"/>
        </w:rPr>
        <w:t>s. For discussion of these arrangements, see Note 11 to our Condensed Consolidated Financial Statements.</w:t>
      </w:r>
    </w:p>
    <w:p w14:paraId="4090FB97" w14:textId="77777777" w:rsidR="00833634" w:rsidRDefault="00E15D51">
      <w:pPr>
        <w:spacing w:after="180"/>
        <w:jc w:val="center"/>
      </w:pPr>
      <w:r>
        <w:rPr>
          <w:rFonts w:ascii="Arial" w:eastAsia="宋体" w:hAnsi="Arial" w:cs="Arial"/>
          <w:color w:val="000000"/>
          <w:sz w:val="18"/>
          <w:szCs w:val="18"/>
        </w:rPr>
        <w:t>56</w:t>
      </w:r>
    </w:p>
    <w:p w14:paraId="4090FB98" w14:textId="77777777" w:rsidR="00833634" w:rsidRDefault="00E15D51">
      <w:r>
        <w:pict w14:anchorId="4090FE58">
          <v:rect id="_x0000_i1082" style="width:415.3pt;height:1.5pt" o:hralign="center" o:hrstd="t" o:hr="t" fillcolor="#a0a0a0" stroked="f"/>
        </w:pict>
      </w:r>
    </w:p>
    <w:p w14:paraId="4090FB99" w14:textId="77777777" w:rsidR="00833634" w:rsidRDefault="00E15D51">
      <w:pPr>
        <w:spacing w:after="180"/>
        <w:jc w:val="both"/>
      </w:pPr>
      <w:hyperlink r:id="rId159" w:anchor="i8d805bfb1e1c4815a1dcd5b6d1e0b117_10" w:history="1">
        <w:r>
          <w:rPr>
            <w:rStyle w:val="a5"/>
            <w:rFonts w:ascii="Arial" w:eastAsia="宋体" w:hAnsi="Arial" w:cs="Arial"/>
            <w:sz w:val="18"/>
            <w:szCs w:val="18"/>
          </w:rPr>
          <w:t>Table of Contents</w:t>
        </w:r>
      </w:hyperlink>
    </w:p>
    <w:p w14:paraId="4090FB9A" w14:textId="77777777" w:rsidR="00833634" w:rsidRDefault="00E15D51">
      <w:pPr>
        <w:spacing w:before="300" w:after="180"/>
        <w:jc w:val="both"/>
      </w:pPr>
      <w:r>
        <w:rPr>
          <w:rFonts w:ascii="Arial" w:eastAsia="宋体" w:hAnsi="Arial" w:cs="Arial"/>
          <w:b/>
          <w:bCs/>
          <w:color w:val="000000"/>
          <w:sz w:val="20"/>
          <w:szCs w:val="20"/>
        </w:rPr>
        <w:t>Contingent Obligations</w:t>
      </w:r>
    </w:p>
    <w:p w14:paraId="4090FB9B" w14:textId="77777777" w:rsidR="00833634" w:rsidRDefault="00E15D51">
      <w:pPr>
        <w:spacing w:after="180"/>
        <w:jc w:val="both"/>
      </w:pPr>
      <w:r>
        <w:rPr>
          <w:rFonts w:ascii="Arial" w:eastAsia="宋体" w:hAnsi="Arial" w:cs="Arial"/>
          <w:color w:val="000000"/>
          <w:sz w:val="20"/>
          <w:szCs w:val="20"/>
        </w:rPr>
        <w:t>We have significant contingent obligations that arise in the ordinary course of business, which include the following:</w:t>
      </w:r>
    </w:p>
    <w:p w14:paraId="4090FB9C" w14:textId="77777777" w:rsidR="00833634" w:rsidRDefault="00E15D51">
      <w:pPr>
        <w:spacing w:after="180"/>
        <w:jc w:val="both"/>
      </w:pPr>
      <w:r>
        <w:rPr>
          <w:rFonts w:ascii="Arial" w:eastAsia="宋体" w:hAnsi="Arial" w:cs="Arial"/>
          <w:b/>
          <w:bCs/>
          <w:color w:val="000000"/>
          <w:sz w:val="20"/>
          <w:szCs w:val="20"/>
        </w:rPr>
        <w:t>Legal</w:t>
      </w:r>
      <w:r>
        <w:rPr>
          <w:rFonts w:ascii="Arial" w:eastAsia="宋体" w:hAnsi="Arial" w:cs="Arial"/>
          <w:color w:val="000000"/>
          <w:sz w:val="20"/>
          <w:szCs w:val="20"/>
        </w:rPr>
        <w:t xml:space="preserve"> Various legal proceedings, claims and investigations are pending against us. Legal c</w:t>
      </w:r>
      <w:r>
        <w:rPr>
          <w:rFonts w:ascii="Arial" w:eastAsia="宋体" w:hAnsi="Arial" w:cs="Arial"/>
          <w:color w:val="000000"/>
          <w:sz w:val="20"/>
          <w:szCs w:val="20"/>
        </w:rPr>
        <w:t>ontingencies are discussed in Note 18 to our Condensed Consolidated Financial Statements.</w:t>
      </w:r>
    </w:p>
    <w:p w14:paraId="4090FB9D" w14:textId="77777777" w:rsidR="00833634" w:rsidRDefault="00E15D51">
      <w:pPr>
        <w:spacing w:after="300"/>
        <w:jc w:val="both"/>
      </w:pPr>
      <w:r>
        <w:rPr>
          <w:rFonts w:ascii="Arial" w:eastAsia="宋体" w:hAnsi="Arial" w:cs="Arial"/>
          <w:b/>
          <w:bCs/>
          <w:color w:val="000000"/>
          <w:sz w:val="20"/>
          <w:szCs w:val="20"/>
        </w:rPr>
        <w:t>Environmental Remediation</w:t>
      </w:r>
      <w:r>
        <w:rPr>
          <w:rFonts w:ascii="Arial" w:eastAsia="宋体" w:hAnsi="Arial" w:cs="Arial"/>
          <w:color w:val="000000"/>
          <w:sz w:val="20"/>
          <w:szCs w:val="20"/>
        </w:rPr>
        <w:t xml:space="preserve"> We are involved with various environmental remediation activities and have recorded a liability of $571 million at September 30, 2020. For a</w:t>
      </w:r>
      <w:r>
        <w:rPr>
          <w:rFonts w:ascii="Arial" w:eastAsia="宋体" w:hAnsi="Arial" w:cs="Arial"/>
          <w:color w:val="000000"/>
          <w:sz w:val="20"/>
          <w:szCs w:val="20"/>
        </w:rPr>
        <w:t>dditional information, see Note 10 to our Condensed Consolidated Financial Statements.</w:t>
      </w:r>
    </w:p>
    <w:p w14:paraId="4090FB9E" w14:textId="77777777" w:rsidR="00833634" w:rsidRDefault="00E15D51">
      <w:pPr>
        <w:spacing w:after="180"/>
        <w:jc w:val="center"/>
      </w:pPr>
      <w:r>
        <w:rPr>
          <w:rFonts w:ascii="Arial" w:eastAsia="宋体" w:hAnsi="Arial" w:cs="Arial"/>
          <w:color w:val="000000"/>
          <w:sz w:val="18"/>
          <w:szCs w:val="18"/>
        </w:rPr>
        <w:t>57</w:t>
      </w:r>
    </w:p>
    <w:p w14:paraId="4090FB9F" w14:textId="77777777" w:rsidR="00833634" w:rsidRDefault="00E15D51">
      <w:r>
        <w:pict w14:anchorId="4090FE59">
          <v:rect id="_x0000_i1083" style="width:415.3pt;height:1.5pt" o:hralign="center" o:hrstd="t" o:hr="t" fillcolor="#a0a0a0" stroked="f"/>
        </w:pict>
      </w:r>
    </w:p>
    <w:p w14:paraId="4090FBA0" w14:textId="77777777" w:rsidR="00833634" w:rsidRDefault="00E15D51">
      <w:pPr>
        <w:spacing w:after="180"/>
        <w:jc w:val="both"/>
      </w:pPr>
      <w:hyperlink r:id="rId160" w:anchor="i8d805bfb1e1c4815a1dcd5b6d1e0b117_10" w:history="1">
        <w:r>
          <w:rPr>
            <w:rStyle w:val="a5"/>
            <w:rFonts w:ascii="Arial" w:eastAsia="宋体" w:hAnsi="Arial" w:cs="Arial"/>
            <w:sz w:val="18"/>
            <w:szCs w:val="18"/>
          </w:rPr>
          <w:t>Table of Contents</w:t>
        </w:r>
      </w:hyperlink>
    </w:p>
    <w:p w14:paraId="4090FBA1" w14:textId="77777777" w:rsidR="00833634" w:rsidRDefault="00E15D51">
      <w:pPr>
        <w:spacing w:before="300" w:after="180"/>
        <w:jc w:val="both"/>
      </w:pPr>
      <w:r>
        <w:rPr>
          <w:rFonts w:ascii="Arial" w:eastAsia="宋体" w:hAnsi="Arial" w:cs="Arial"/>
          <w:b/>
          <w:bCs/>
          <w:color w:val="000000"/>
          <w:sz w:val="20"/>
          <w:szCs w:val="20"/>
        </w:rPr>
        <w:t>Non-GAAP Measures</w:t>
      </w:r>
    </w:p>
    <w:p w14:paraId="4090FBA2" w14:textId="77777777" w:rsidR="00833634" w:rsidRDefault="00E15D51">
      <w:pPr>
        <w:spacing w:after="180"/>
        <w:jc w:val="both"/>
      </w:pPr>
      <w:r>
        <w:rPr>
          <w:rFonts w:ascii="Arial" w:eastAsia="宋体" w:hAnsi="Arial" w:cs="Arial"/>
          <w:b/>
          <w:bCs/>
          <w:color w:val="000000"/>
          <w:sz w:val="20"/>
          <w:szCs w:val="20"/>
        </w:rPr>
        <w:t>Core Operating Earnings, Core Operating Margin and Core Earnings Per</w:t>
      </w:r>
      <w:r>
        <w:rPr>
          <w:rFonts w:ascii="Arial" w:eastAsia="宋体" w:hAnsi="Arial" w:cs="Arial"/>
          <w:b/>
          <w:bCs/>
          <w:color w:val="000000"/>
          <w:sz w:val="20"/>
          <w:szCs w:val="20"/>
        </w:rPr>
        <w:t xml:space="preserve"> Share</w:t>
      </w:r>
    </w:p>
    <w:p w14:paraId="4090FBA3" w14:textId="77777777" w:rsidR="00833634" w:rsidRDefault="00E15D51">
      <w:pPr>
        <w:spacing w:after="180"/>
        <w:jc w:val="both"/>
      </w:pPr>
      <w:r>
        <w:rPr>
          <w:rFonts w:ascii="Arial" w:eastAsia="宋体" w:hAnsi="Arial" w:cs="Arial"/>
          <w:color w:val="000000"/>
          <w:sz w:val="20"/>
          <w:szCs w:val="20"/>
        </w:rPr>
        <w:t xml:space="preserve">Our unaudited condensed consolidated interim financial statements are prepared in accordance with Generally Accepted Accounting Principles in the United States of America (GAAP) which we supplement with certain non-GAAP financial information. These </w:t>
      </w:r>
      <w:r>
        <w:rPr>
          <w:rFonts w:ascii="Arial" w:eastAsia="宋体" w:hAnsi="Arial" w:cs="Arial"/>
          <w:color w:val="000000"/>
          <w:sz w:val="20"/>
          <w:szCs w:val="20"/>
        </w:rPr>
        <w:t>non-GAAP measures should not be considered in isolation or as a substitute for the related GAAP measures, and other companies may define such measures differently. We encourage investors to review our financial statements and publicly-filed reports in thei</w:t>
      </w:r>
      <w:r>
        <w:rPr>
          <w:rFonts w:ascii="Arial" w:eastAsia="宋体" w:hAnsi="Arial" w:cs="Arial"/>
          <w:color w:val="000000"/>
          <w:sz w:val="20"/>
          <w:szCs w:val="20"/>
        </w:rPr>
        <w:t>r entirety and not to rely on any single financial measure. Core operating earnings, core operating margin and core earnings per share exclude the FAS/CAS service cost adjustment. The FAS/CAS service cost adjustment represents the difference between the FA</w:t>
      </w:r>
      <w:r>
        <w:rPr>
          <w:rFonts w:ascii="Arial" w:eastAsia="宋体" w:hAnsi="Arial" w:cs="Arial"/>
          <w:color w:val="000000"/>
          <w:sz w:val="20"/>
          <w:szCs w:val="20"/>
        </w:rPr>
        <w:t>S pension and postretirement service costs calculated under GAAP and costs allocated to the business segments. Core earnings per share excludes both the FAS/CAS service cost adjustment and non-operating pension and postretirement expenses. Non-operating pe</w:t>
      </w:r>
      <w:r>
        <w:rPr>
          <w:rFonts w:ascii="Arial" w:eastAsia="宋体" w:hAnsi="Arial" w:cs="Arial"/>
          <w:color w:val="000000"/>
          <w:sz w:val="20"/>
          <w:szCs w:val="20"/>
        </w:rPr>
        <w:t>nsion and postretirement expenses represent the components of net periodic benefit costs other than service cost. Pension costs, comprising service and prior service costs computed in accordance with GAAP are allocated to BCA and certain BGS businesses sup</w:t>
      </w:r>
      <w:r>
        <w:rPr>
          <w:rFonts w:ascii="Arial" w:eastAsia="宋体" w:hAnsi="Arial" w:cs="Arial"/>
          <w:color w:val="000000"/>
          <w:sz w:val="20"/>
          <w:szCs w:val="20"/>
        </w:rPr>
        <w:t>porting commercial customers. Pension costs allocated to BDS and BGS businesses supporting government customers are computed in accordance with U.S. Government Cost Accounting Standards (CAS), which employ different actuarial assumptions and accounting con</w:t>
      </w:r>
      <w:r>
        <w:rPr>
          <w:rFonts w:ascii="Arial" w:eastAsia="宋体" w:hAnsi="Arial" w:cs="Arial"/>
          <w:color w:val="000000"/>
          <w:sz w:val="20"/>
          <w:szCs w:val="20"/>
        </w:rPr>
        <w:t>ventions than GAAP. CAS costs are allocable to government contracts. Other postretirement benefit costs are allocated to all business segments based on CAS, which is generally based on benefits paid.</w:t>
      </w:r>
    </w:p>
    <w:p w14:paraId="4090FBA4" w14:textId="77777777" w:rsidR="00833634" w:rsidRDefault="00E15D51">
      <w:pPr>
        <w:spacing w:after="180"/>
        <w:jc w:val="both"/>
      </w:pPr>
      <w:r>
        <w:rPr>
          <w:rFonts w:ascii="Arial" w:eastAsia="宋体" w:hAnsi="Arial" w:cs="Arial"/>
          <w:color w:val="000000"/>
          <w:sz w:val="20"/>
          <w:szCs w:val="20"/>
        </w:rPr>
        <w:t xml:space="preserve">The Pension FAS/CAS service cost adjustments recognized </w:t>
      </w:r>
      <w:r>
        <w:rPr>
          <w:rFonts w:ascii="Arial" w:eastAsia="宋体" w:hAnsi="Arial" w:cs="Arial"/>
          <w:color w:val="000000"/>
          <w:sz w:val="20"/>
          <w:szCs w:val="20"/>
        </w:rPr>
        <w:t>in (Loss)/earnings from operations were benefits of $773 million and $260 million for the nine and three months ended September 30, 2020, compared with benefits of $823 million and $274 million during the same periods in 2019. The non-operating pension exp</w:t>
      </w:r>
      <w:r>
        <w:rPr>
          <w:rFonts w:ascii="Arial" w:eastAsia="宋体" w:hAnsi="Arial" w:cs="Arial"/>
          <w:color w:val="000000"/>
          <w:sz w:val="20"/>
          <w:szCs w:val="20"/>
        </w:rPr>
        <w:t>enses included in Other income, net were benefits of $255 million and $84 million for the nine and three months ended September 30, 2020, compared with benefits of $280 million and $93 million for the same periods in 2019. The benefits in 2020 reflect expe</w:t>
      </w:r>
      <w:r>
        <w:rPr>
          <w:rFonts w:ascii="Arial" w:eastAsia="宋体" w:hAnsi="Arial" w:cs="Arial"/>
          <w:color w:val="000000"/>
          <w:sz w:val="20"/>
          <w:szCs w:val="20"/>
        </w:rPr>
        <w:t>cted returns in excess of interest cost and amortization of actuarial losses.</w:t>
      </w:r>
    </w:p>
    <w:p w14:paraId="4090FBA5" w14:textId="77777777" w:rsidR="00833634" w:rsidRDefault="00E15D51">
      <w:pPr>
        <w:spacing w:after="180"/>
        <w:jc w:val="both"/>
      </w:pPr>
      <w:r>
        <w:rPr>
          <w:rFonts w:ascii="Arial" w:eastAsia="宋体" w:hAnsi="Arial" w:cs="Arial"/>
          <w:color w:val="000000"/>
          <w:sz w:val="20"/>
          <w:szCs w:val="20"/>
        </w:rPr>
        <w:t>For further discussion of pension and other postretirement costs see the Management’s Discussion and Analysis on page 43 of this Form 10-Q and on page 48 of our 2019 Annual Repor</w:t>
      </w:r>
      <w:r>
        <w:rPr>
          <w:rFonts w:ascii="Arial" w:eastAsia="宋体" w:hAnsi="Arial" w:cs="Arial"/>
          <w:color w:val="000000"/>
          <w:sz w:val="20"/>
          <w:szCs w:val="20"/>
        </w:rPr>
        <w:t>t on Form 10-K. Management uses core operating earnings, core operating margin and core earnings per share for purposes of evaluating and forecasting underlying business performance. Management believes these core earnings measures provide investors additi</w:t>
      </w:r>
      <w:r>
        <w:rPr>
          <w:rFonts w:ascii="Arial" w:eastAsia="宋体" w:hAnsi="Arial" w:cs="Arial"/>
          <w:color w:val="000000"/>
          <w:sz w:val="20"/>
          <w:szCs w:val="20"/>
        </w:rPr>
        <w:t>onal insights into operational performance as unallocated pension and other postretirement benefit costs primarily represent costs driven by market factors and costs not allocable to U.S. government contracts.</w:t>
      </w:r>
    </w:p>
    <w:p w14:paraId="4090FBA6" w14:textId="77777777" w:rsidR="00833634" w:rsidRDefault="00E15D51">
      <w:pPr>
        <w:spacing w:after="180"/>
        <w:jc w:val="center"/>
      </w:pPr>
      <w:r>
        <w:rPr>
          <w:rFonts w:ascii="Arial" w:eastAsia="宋体" w:hAnsi="Arial" w:cs="Arial"/>
          <w:color w:val="000000"/>
          <w:sz w:val="18"/>
          <w:szCs w:val="18"/>
        </w:rPr>
        <w:t>58</w:t>
      </w:r>
    </w:p>
    <w:p w14:paraId="4090FBA7" w14:textId="77777777" w:rsidR="00833634" w:rsidRDefault="00E15D51">
      <w:r>
        <w:pict w14:anchorId="4090FE5A">
          <v:rect id="_x0000_i1084" style="width:415.3pt;height:1.5pt" o:hralign="center" o:hrstd="t" o:hr="t" fillcolor="#a0a0a0" stroked="f"/>
        </w:pict>
      </w:r>
    </w:p>
    <w:p w14:paraId="4090FBA8" w14:textId="77777777" w:rsidR="00833634" w:rsidRDefault="00E15D51">
      <w:pPr>
        <w:spacing w:after="180"/>
        <w:jc w:val="both"/>
      </w:pPr>
      <w:hyperlink r:id="rId161" w:anchor="i8d805bfb1e1c4815a1dcd5b6d1e0b117_10" w:history="1">
        <w:r>
          <w:rPr>
            <w:rStyle w:val="a5"/>
            <w:rFonts w:ascii="Arial" w:eastAsia="宋体" w:hAnsi="Arial" w:cs="Arial"/>
            <w:sz w:val="18"/>
            <w:szCs w:val="18"/>
          </w:rPr>
          <w:t>Table of Contents</w:t>
        </w:r>
      </w:hyperlink>
    </w:p>
    <w:p w14:paraId="4090FBA9" w14:textId="77777777" w:rsidR="00833634" w:rsidRDefault="00E15D51">
      <w:pPr>
        <w:spacing w:after="180"/>
        <w:jc w:val="both"/>
      </w:pPr>
      <w:r>
        <w:rPr>
          <w:rFonts w:ascii="Arial" w:eastAsia="宋体" w:hAnsi="Arial" w:cs="Arial"/>
          <w:b/>
          <w:bCs/>
          <w:color w:val="000000"/>
          <w:sz w:val="20"/>
          <w:szCs w:val="20"/>
        </w:rPr>
        <w:t>Reconciliation of GAAP Measures to Non-GAAP Measures</w:t>
      </w:r>
    </w:p>
    <w:p w14:paraId="4090FBAA" w14:textId="77777777" w:rsidR="00833634" w:rsidRDefault="00E15D51">
      <w:pPr>
        <w:jc w:val="both"/>
      </w:pPr>
      <w:r>
        <w:rPr>
          <w:rFonts w:ascii="Arial" w:eastAsia="宋体" w:hAnsi="Arial" w:cs="Arial"/>
          <w:color w:val="000000"/>
          <w:sz w:val="20"/>
          <w:szCs w:val="20"/>
        </w:rPr>
        <w:t>The table below reconciles the non-GAAP financial measures of core operati</w:t>
      </w:r>
      <w:r>
        <w:rPr>
          <w:rFonts w:ascii="Arial" w:eastAsia="宋体" w:hAnsi="Arial" w:cs="Arial"/>
          <w:color w:val="000000"/>
          <w:sz w:val="20"/>
          <w:szCs w:val="20"/>
        </w:rPr>
        <w:t>ng earnings/loss, core operating margin and core earnings/loss per share with the most directly comparable GAAP financial measures of earnings/loss from operations, operating margins and diluted earnings/loss per share.</w:t>
      </w:r>
    </w:p>
    <w:tbl>
      <w:tblPr>
        <w:tblW w:w="4992" w:type="pct"/>
        <w:tblCellMar>
          <w:top w:w="15" w:type="dxa"/>
          <w:left w:w="15" w:type="dxa"/>
          <w:bottom w:w="15" w:type="dxa"/>
          <w:right w:w="15" w:type="dxa"/>
        </w:tblCellMar>
        <w:tblLook w:val="04A0" w:firstRow="1" w:lastRow="0" w:firstColumn="1" w:lastColumn="0" w:noHBand="0" w:noVBand="1"/>
      </w:tblPr>
      <w:tblGrid>
        <w:gridCol w:w="39"/>
        <w:gridCol w:w="3651"/>
        <w:gridCol w:w="38"/>
        <w:gridCol w:w="63"/>
        <w:gridCol w:w="851"/>
        <w:gridCol w:w="198"/>
        <w:gridCol w:w="36"/>
        <w:gridCol w:w="36"/>
        <w:gridCol w:w="36"/>
        <w:gridCol w:w="63"/>
        <w:gridCol w:w="792"/>
        <w:gridCol w:w="198"/>
        <w:gridCol w:w="36"/>
        <w:gridCol w:w="36"/>
        <w:gridCol w:w="36"/>
        <w:gridCol w:w="63"/>
        <w:gridCol w:w="792"/>
        <w:gridCol w:w="198"/>
        <w:gridCol w:w="36"/>
        <w:gridCol w:w="36"/>
        <w:gridCol w:w="36"/>
        <w:gridCol w:w="63"/>
        <w:gridCol w:w="792"/>
        <w:gridCol w:w="198"/>
      </w:tblGrid>
      <w:tr w:rsidR="00833634" w14:paraId="4090FBC3" w14:textId="77777777">
        <w:tc>
          <w:tcPr>
            <w:tcW w:w="50" w:type="pct"/>
            <w:shd w:val="clear" w:color="auto" w:fill="auto"/>
          </w:tcPr>
          <w:p w14:paraId="4090FBAB" w14:textId="77777777" w:rsidR="00833634" w:rsidRDefault="00833634">
            <w:pPr>
              <w:rPr>
                <w:rFonts w:ascii="宋体"/>
              </w:rPr>
            </w:pPr>
          </w:p>
        </w:tc>
        <w:tc>
          <w:tcPr>
            <w:tcW w:w="2256" w:type="pct"/>
            <w:shd w:val="clear" w:color="auto" w:fill="auto"/>
          </w:tcPr>
          <w:p w14:paraId="4090FBAC" w14:textId="77777777" w:rsidR="00833634" w:rsidRDefault="00833634">
            <w:pPr>
              <w:rPr>
                <w:rFonts w:ascii="宋体"/>
              </w:rPr>
            </w:pPr>
          </w:p>
        </w:tc>
        <w:tc>
          <w:tcPr>
            <w:tcW w:w="5" w:type="pct"/>
            <w:shd w:val="clear" w:color="auto" w:fill="auto"/>
          </w:tcPr>
          <w:p w14:paraId="4090FBAD" w14:textId="77777777" w:rsidR="00833634" w:rsidRDefault="00833634">
            <w:pPr>
              <w:rPr>
                <w:rFonts w:ascii="宋体"/>
              </w:rPr>
            </w:pPr>
          </w:p>
        </w:tc>
        <w:tc>
          <w:tcPr>
            <w:tcW w:w="50" w:type="pct"/>
            <w:shd w:val="clear" w:color="auto" w:fill="auto"/>
          </w:tcPr>
          <w:p w14:paraId="4090FBAE" w14:textId="77777777" w:rsidR="00833634" w:rsidRDefault="00833634">
            <w:pPr>
              <w:rPr>
                <w:rFonts w:ascii="宋体"/>
              </w:rPr>
            </w:pPr>
          </w:p>
        </w:tc>
        <w:tc>
          <w:tcPr>
            <w:tcW w:w="587" w:type="pct"/>
            <w:shd w:val="clear" w:color="auto" w:fill="auto"/>
          </w:tcPr>
          <w:p w14:paraId="4090FBAF" w14:textId="77777777" w:rsidR="00833634" w:rsidRDefault="00833634">
            <w:pPr>
              <w:rPr>
                <w:rFonts w:ascii="宋体"/>
              </w:rPr>
            </w:pPr>
          </w:p>
        </w:tc>
        <w:tc>
          <w:tcPr>
            <w:tcW w:w="5" w:type="pct"/>
            <w:shd w:val="clear" w:color="auto" w:fill="auto"/>
          </w:tcPr>
          <w:p w14:paraId="4090FBB0" w14:textId="77777777" w:rsidR="00833634" w:rsidRDefault="00833634">
            <w:pPr>
              <w:rPr>
                <w:rFonts w:ascii="宋体"/>
              </w:rPr>
            </w:pPr>
          </w:p>
        </w:tc>
        <w:tc>
          <w:tcPr>
            <w:tcW w:w="5" w:type="pct"/>
            <w:shd w:val="clear" w:color="auto" w:fill="auto"/>
          </w:tcPr>
          <w:p w14:paraId="4090FBB1" w14:textId="77777777" w:rsidR="00833634" w:rsidRDefault="00833634">
            <w:pPr>
              <w:rPr>
                <w:rFonts w:ascii="宋体"/>
              </w:rPr>
            </w:pPr>
          </w:p>
        </w:tc>
        <w:tc>
          <w:tcPr>
            <w:tcW w:w="30" w:type="pct"/>
            <w:shd w:val="clear" w:color="auto" w:fill="auto"/>
          </w:tcPr>
          <w:p w14:paraId="4090FBB2" w14:textId="77777777" w:rsidR="00833634" w:rsidRDefault="00833634">
            <w:pPr>
              <w:rPr>
                <w:rFonts w:ascii="宋体"/>
              </w:rPr>
            </w:pPr>
          </w:p>
        </w:tc>
        <w:tc>
          <w:tcPr>
            <w:tcW w:w="5" w:type="pct"/>
            <w:shd w:val="clear" w:color="auto" w:fill="auto"/>
          </w:tcPr>
          <w:p w14:paraId="4090FBB3" w14:textId="77777777" w:rsidR="00833634" w:rsidRDefault="00833634">
            <w:pPr>
              <w:rPr>
                <w:rFonts w:ascii="宋体"/>
              </w:rPr>
            </w:pPr>
          </w:p>
        </w:tc>
        <w:tc>
          <w:tcPr>
            <w:tcW w:w="50" w:type="pct"/>
            <w:shd w:val="clear" w:color="auto" w:fill="auto"/>
          </w:tcPr>
          <w:p w14:paraId="4090FBB4" w14:textId="77777777" w:rsidR="00833634" w:rsidRDefault="00833634">
            <w:pPr>
              <w:rPr>
                <w:rFonts w:ascii="宋体"/>
              </w:rPr>
            </w:pPr>
          </w:p>
        </w:tc>
        <w:tc>
          <w:tcPr>
            <w:tcW w:w="587" w:type="pct"/>
            <w:shd w:val="clear" w:color="auto" w:fill="auto"/>
          </w:tcPr>
          <w:p w14:paraId="4090FBB5" w14:textId="77777777" w:rsidR="00833634" w:rsidRDefault="00833634">
            <w:pPr>
              <w:rPr>
                <w:rFonts w:ascii="宋体"/>
              </w:rPr>
            </w:pPr>
          </w:p>
        </w:tc>
        <w:tc>
          <w:tcPr>
            <w:tcW w:w="5" w:type="pct"/>
            <w:shd w:val="clear" w:color="auto" w:fill="auto"/>
          </w:tcPr>
          <w:p w14:paraId="4090FBB6" w14:textId="77777777" w:rsidR="00833634" w:rsidRDefault="00833634">
            <w:pPr>
              <w:rPr>
                <w:rFonts w:ascii="宋体"/>
              </w:rPr>
            </w:pPr>
          </w:p>
        </w:tc>
        <w:tc>
          <w:tcPr>
            <w:tcW w:w="5" w:type="pct"/>
            <w:shd w:val="clear" w:color="auto" w:fill="auto"/>
          </w:tcPr>
          <w:p w14:paraId="4090FBB7" w14:textId="77777777" w:rsidR="00833634" w:rsidRDefault="00833634">
            <w:pPr>
              <w:rPr>
                <w:rFonts w:ascii="宋体"/>
              </w:rPr>
            </w:pPr>
          </w:p>
        </w:tc>
        <w:tc>
          <w:tcPr>
            <w:tcW w:w="30" w:type="pct"/>
            <w:shd w:val="clear" w:color="auto" w:fill="auto"/>
          </w:tcPr>
          <w:p w14:paraId="4090FBB8" w14:textId="77777777" w:rsidR="00833634" w:rsidRDefault="00833634">
            <w:pPr>
              <w:rPr>
                <w:rFonts w:ascii="宋体"/>
              </w:rPr>
            </w:pPr>
          </w:p>
        </w:tc>
        <w:tc>
          <w:tcPr>
            <w:tcW w:w="5" w:type="pct"/>
            <w:shd w:val="clear" w:color="auto" w:fill="auto"/>
          </w:tcPr>
          <w:p w14:paraId="4090FBB9" w14:textId="77777777" w:rsidR="00833634" w:rsidRDefault="00833634">
            <w:pPr>
              <w:rPr>
                <w:rFonts w:ascii="宋体"/>
              </w:rPr>
            </w:pPr>
          </w:p>
        </w:tc>
        <w:tc>
          <w:tcPr>
            <w:tcW w:w="50" w:type="pct"/>
            <w:shd w:val="clear" w:color="auto" w:fill="auto"/>
          </w:tcPr>
          <w:p w14:paraId="4090FBBA" w14:textId="77777777" w:rsidR="00833634" w:rsidRDefault="00833634">
            <w:pPr>
              <w:rPr>
                <w:rFonts w:ascii="宋体"/>
              </w:rPr>
            </w:pPr>
          </w:p>
        </w:tc>
        <w:tc>
          <w:tcPr>
            <w:tcW w:w="587" w:type="pct"/>
            <w:shd w:val="clear" w:color="auto" w:fill="auto"/>
          </w:tcPr>
          <w:p w14:paraId="4090FBBB" w14:textId="77777777" w:rsidR="00833634" w:rsidRDefault="00833634">
            <w:pPr>
              <w:rPr>
                <w:rFonts w:ascii="宋体"/>
              </w:rPr>
            </w:pPr>
          </w:p>
        </w:tc>
        <w:tc>
          <w:tcPr>
            <w:tcW w:w="5" w:type="pct"/>
            <w:shd w:val="clear" w:color="auto" w:fill="auto"/>
          </w:tcPr>
          <w:p w14:paraId="4090FBBC" w14:textId="77777777" w:rsidR="00833634" w:rsidRDefault="00833634">
            <w:pPr>
              <w:rPr>
                <w:rFonts w:ascii="宋体"/>
              </w:rPr>
            </w:pPr>
          </w:p>
        </w:tc>
        <w:tc>
          <w:tcPr>
            <w:tcW w:w="5" w:type="pct"/>
            <w:shd w:val="clear" w:color="auto" w:fill="auto"/>
          </w:tcPr>
          <w:p w14:paraId="4090FBBD" w14:textId="77777777" w:rsidR="00833634" w:rsidRDefault="00833634">
            <w:pPr>
              <w:rPr>
                <w:rFonts w:ascii="宋体"/>
              </w:rPr>
            </w:pPr>
          </w:p>
        </w:tc>
        <w:tc>
          <w:tcPr>
            <w:tcW w:w="30" w:type="pct"/>
            <w:shd w:val="clear" w:color="auto" w:fill="auto"/>
          </w:tcPr>
          <w:p w14:paraId="4090FBBE" w14:textId="77777777" w:rsidR="00833634" w:rsidRDefault="00833634">
            <w:pPr>
              <w:rPr>
                <w:rFonts w:ascii="宋体"/>
              </w:rPr>
            </w:pPr>
          </w:p>
        </w:tc>
        <w:tc>
          <w:tcPr>
            <w:tcW w:w="5" w:type="pct"/>
            <w:shd w:val="clear" w:color="auto" w:fill="auto"/>
          </w:tcPr>
          <w:p w14:paraId="4090FBBF" w14:textId="77777777" w:rsidR="00833634" w:rsidRDefault="00833634">
            <w:pPr>
              <w:rPr>
                <w:rFonts w:ascii="宋体"/>
              </w:rPr>
            </w:pPr>
          </w:p>
        </w:tc>
        <w:tc>
          <w:tcPr>
            <w:tcW w:w="50" w:type="pct"/>
            <w:shd w:val="clear" w:color="auto" w:fill="auto"/>
          </w:tcPr>
          <w:p w14:paraId="4090FBC0" w14:textId="77777777" w:rsidR="00833634" w:rsidRDefault="00833634">
            <w:pPr>
              <w:rPr>
                <w:rFonts w:ascii="宋体"/>
              </w:rPr>
            </w:pPr>
          </w:p>
        </w:tc>
        <w:tc>
          <w:tcPr>
            <w:tcW w:w="587" w:type="pct"/>
            <w:shd w:val="clear" w:color="auto" w:fill="auto"/>
          </w:tcPr>
          <w:p w14:paraId="4090FBC1" w14:textId="77777777" w:rsidR="00833634" w:rsidRDefault="00833634">
            <w:pPr>
              <w:rPr>
                <w:rFonts w:ascii="宋体"/>
              </w:rPr>
            </w:pPr>
          </w:p>
        </w:tc>
        <w:tc>
          <w:tcPr>
            <w:tcW w:w="5" w:type="pct"/>
            <w:shd w:val="clear" w:color="auto" w:fill="auto"/>
          </w:tcPr>
          <w:p w14:paraId="4090FBC2" w14:textId="77777777" w:rsidR="00833634" w:rsidRDefault="00833634">
            <w:pPr>
              <w:rPr>
                <w:rFonts w:ascii="宋体"/>
              </w:rPr>
            </w:pPr>
          </w:p>
        </w:tc>
      </w:tr>
      <w:tr w:rsidR="00833634" w14:paraId="4090FBC8" w14:textId="77777777">
        <w:tc>
          <w:tcPr>
            <w:tcW w:w="0" w:type="auto"/>
            <w:gridSpan w:val="3"/>
            <w:shd w:val="clear" w:color="auto" w:fill="auto"/>
            <w:tcMar>
              <w:top w:w="40" w:type="dxa"/>
              <w:left w:w="20" w:type="dxa"/>
              <w:bottom w:w="40" w:type="dxa"/>
              <w:right w:w="20" w:type="dxa"/>
            </w:tcMar>
            <w:vAlign w:val="bottom"/>
          </w:tcPr>
          <w:p w14:paraId="4090FBC4" w14:textId="77777777" w:rsidR="00833634" w:rsidRDefault="00E15D51">
            <w:pPr>
              <w:textAlignment w:val="bottom"/>
            </w:pPr>
            <w:r>
              <w:rPr>
                <w:rFonts w:ascii="Arial" w:eastAsia="宋体" w:hAnsi="Arial" w:cs="Arial"/>
                <w:i/>
                <w:iCs/>
                <w:color w:val="000000"/>
                <w:sz w:val="20"/>
                <w:szCs w:val="20"/>
              </w:rPr>
              <w:t>(Dollars in millions, except per share data)</w:t>
            </w:r>
          </w:p>
        </w:tc>
        <w:tc>
          <w:tcPr>
            <w:tcW w:w="0" w:type="auto"/>
            <w:gridSpan w:val="9"/>
            <w:shd w:val="clear" w:color="auto" w:fill="auto"/>
            <w:tcMar>
              <w:top w:w="40" w:type="dxa"/>
              <w:left w:w="20" w:type="dxa"/>
              <w:bottom w:w="40" w:type="dxa"/>
              <w:right w:w="20" w:type="dxa"/>
            </w:tcMar>
            <w:vAlign w:val="bottom"/>
          </w:tcPr>
          <w:p w14:paraId="4090FBC5" w14:textId="77777777" w:rsidR="00833634" w:rsidRDefault="00E15D51">
            <w:pPr>
              <w:jc w:val="center"/>
              <w:textAlignment w:val="bottom"/>
            </w:pPr>
            <w:r>
              <w:rPr>
                <w:rFonts w:ascii="Arial" w:eastAsia="宋体" w:hAnsi="Arial" w:cs="Arial"/>
                <w:b/>
                <w:bCs/>
                <w:color w:val="000000"/>
                <w:sz w:val="20"/>
                <w:szCs w:val="20"/>
              </w:rPr>
              <w:t>Nine months ended September 30</w:t>
            </w:r>
          </w:p>
        </w:tc>
        <w:tc>
          <w:tcPr>
            <w:tcW w:w="0" w:type="auto"/>
            <w:gridSpan w:val="3"/>
            <w:shd w:val="clear" w:color="auto" w:fill="auto"/>
            <w:tcMar>
              <w:top w:w="0" w:type="dxa"/>
              <w:left w:w="20" w:type="dxa"/>
              <w:bottom w:w="0" w:type="dxa"/>
              <w:right w:w="20" w:type="dxa"/>
            </w:tcMar>
          </w:tcPr>
          <w:p w14:paraId="4090FBC6" w14:textId="77777777" w:rsidR="00833634" w:rsidRDefault="00833634">
            <w:pPr>
              <w:rPr>
                <w:rFonts w:ascii="宋体"/>
              </w:rPr>
            </w:pPr>
          </w:p>
        </w:tc>
        <w:tc>
          <w:tcPr>
            <w:tcW w:w="0" w:type="auto"/>
            <w:gridSpan w:val="9"/>
            <w:shd w:val="clear" w:color="auto" w:fill="auto"/>
            <w:tcMar>
              <w:top w:w="40" w:type="dxa"/>
              <w:left w:w="20" w:type="dxa"/>
              <w:bottom w:w="40" w:type="dxa"/>
              <w:right w:w="20" w:type="dxa"/>
            </w:tcMar>
            <w:vAlign w:val="bottom"/>
          </w:tcPr>
          <w:p w14:paraId="4090FBC7" w14:textId="77777777" w:rsidR="00833634" w:rsidRDefault="00E15D51">
            <w:pPr>
              <w:jc w:val="center"/>
              <w:textAlignment w:val="bottom"/>
            </w:pPr>
            <w:r>
              <w:rPr>
                <w:rFonts w:ascii="Arial" w:eastAsia="宋体" w:hAnsi="Arial" w:cs="Arial"/>
                <w:b/>
                <w:bCs/>
                <w:color w:val="000000"/>
                <w:sz w:val="20"/>
                <w:szCs w:val="20"/>
              </w:rPr>
              <w:t>Three months ended September 30</w:t>
            </w:r>
          </w:p>
        </w:tc>
      </w:tr>
      <w:tr w:rsidR="00833634" w14:paraId="4090FBD1" w14:textId="77777777">
        <w:tc>
          <w:tcPr>
            <w:tcW w:w="0" w:type="auto"/>
            <w:gridSpan w:val="3"/>
            <w:tcBorders>
              <w:top w:val="single" w:sz="8" w:space="0" w:color="000000"/>
            </w:tcBorders>
            <w:shd w:val="clear" w:color="auto" w:fill="auto"/>
            <w:tcMar>
              <w:top w:w="0" w:type="dxa"/>
              <w:left w:w="20" w:type="dxa"/>
              <w:bottom w:w="0" w:type="dxa"/>
              <w:right w:w="20" w:type="dxa"/>
            </w:tcMar>
          </w:tcPr>
          <w:p w14:paraId="4090FBC9"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BCA"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BCB"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BCC" w14:textId="77777777" w:rsidR="00833634" w:rsidRDefault="00E15D51">
            <w:pPr>
              <w:jc w:val="right"/>
              <w:textAlignment w:val="bottom"/>
            </w:pPr>
            <w:r>
              <w:rPr>
                <w:rFonts w:ascii="Arial" w:eastAsia="宋体" w:hAnsi="Arial" w:cs="Arial"/>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tcPr>
          <w:p w14:paraId="4090FBCD"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BCE" w14:textId="77777777" w:rsidR="00833634" w:rsidRDefault="00E15D51">
            <w:pPr>
              <w:jc w:val="right"/>
              <w:textAlignment w:val="bottom"/>
            </w:pPr>
            <w:r>
              <w:rPr>
                <w:rFonts w:ascii="Arial" w:eastAsia="宋体" w:hAnsi="Arial" w:cs="Arial"/>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tcPr>
          <w:p w14:paraId="4090FBCF"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BD0" w14:textId="77777777" w:rsidR="00833634" w:rsidRDefault="00E15D51">
            <w:pPr>
              <w:jc w:val="right"/>
              <w:textAlignment w:val="bottom"/>
            </w:pPr>
            <w:r>
              <w:rPr>
                <w:rFonts w:ascii="Arial" w:eastAsia="宋体" w:hAnsi="Arial" w:cs="Arial"/>
                <w:color w:val="000000"/>
                <w:sz w:val="20"/>
                <w:szCs w:val="20"/>
              </w:rPr>
              <w:t>2019</w:t>
            </w:r>
          </w:p>
        </w:tc>
      </w:tr>
      <w:tr w:rsidR="00833634" w14:paraId="4090FBDE"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BD2" w14:textId="77777777" w:rsidR="00833634" w:rsidRDefault="00E15D51">
            <w:pPr>
              <w:textAlignment w:val="bottom"/>
            </w:pPr>
            <w:r>
              <w:rPr>
                <w:rFonts w:ascii="Arial" w:eastAsia="宋体" w:hAnsi="Arial" w:cs="Arial"/>
                <w:color w:val="000000"/>
                <w:sz w:val="20"/>
                <w:szCs w:val="20"/>
              </w:rPr>
              <w:t>Revenues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BD3" w14:textId="77777777" w:rsidR="00833634" w:rsidRDefault="00E15D51">
            <w:pPr>
              <w:jc w:val="right"/>
              <w:textAlignment w:val="bottom"/>
            </w:pPr>
            <w:r>
              <w:rPr>
                <w:rFonts w:ascii="Arial" w:eastAsia="宋体" w:hAnsi="Arial" w:cs="Arial"/>
                <w:b/>
                <w:bCs/>
                <w:color w:val="000000"/>
                <w:sz w:val="20"/>
                <w:szCs w:val="20"/>
              </w:rPr>
              <w:t>$42,854</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BD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BD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BD6" w14:textId="77777777" w:rsidR="00833634" w:rsidRDefault="00E15D51">
            <w:pPr>
              <w:jc w:val="right"/>
              <w:textAlignment w:val="bottom"/>
            </w:pPr>
            <w:r>
              <w:rPr>
                <w:rFonts w:ascii="Arial" w:eastAsia="宋体" w:hAnsi="Arial" w:cs="Arial"/>
                <w:color w:val="000000"/>
                <w:sz w:val="20"/>
                <w:szCs w:val="20"/>
              </w:rPr>
              <w:t>$58,648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BD7"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BD8"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BD9" w14:textId="77777777" w:rsidR="00833634" w:rsidRDefault="00E15D51">
            <w:pPr>
              <w:jc w:val="right"/>
              <w:textAlignment w:val="bottom"/>
            </w:pPr>
            <w:r>
              <w:rPr>
                <w:rFonts w:ascii="Arial" w:eastAsia="宋体" w:hAnsi="Arial" w:cs="Arial"/>
                <w:b/>
                <w:bCs/>
                <w:color w:val="000000"/>
                <w:sz w:val="20"/>
                <w:szCs w:val="20"/>
              </w:rPr>
              <w:t>$14,139</w:t>
            </w:r>
            <w:r>
              <w:rPr>
                <w:rFonts w:ascii="Arial" w:eastAsia="宋体" w:hAnsi="Arial" w:cs="Arial"/>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BDA"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BDB"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BDC" w14:textId="77777777" w:rsidR="00833634" w:rsidRDefault="00E15D51">
            <w:pPr>
              <w:jc w:val="right"/>
              <w:textAlignment w:val="bottom"/>
            </w:pPr>
            <w:r>
              <w:rPr>
                <w:rFonts w:ascii="Arial" w:eastAsia="宋体" w:hAnsi="Arial" w:cs="Arial"/>
                <w:color w:val="000000"/>
                <w:sz w:val="20"/>
                <w:szCs w:val="20"/>
              </w:rPr>
              <w:t>$19,980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BDD" w14:textId="77777777" w:rsidR="00833634" w:rsidRDefault="00833634">
            <w:pPr>
              <w:jc w:val="right"/>
              <w:rPr>
                <w:rFonts w:ascii="宋体"/>
              </w:rPr>
            </w:pPr>
          </w:p>
        </w:tc>
      </w:tr>
      <w:tr w:rsidR="00833634" w14:paraId="4090FBEB" w14:textId="77777777">
        <w:tc>
          <w:tcPr>
            <w:tcW w:w="0" w:type="auto"/>
            <w:gridSpan w:val="3"/>
            <w:shd w:val="clear" w:color="auto" w:fill="FFFFFF"/>
            <w:tcMar>
              <w:top w:w="40" w:type="dxa"/>
              <w:left w:w="20" w:type="dxa"/>
              <w:bottom w:w="40" w:type="dxa"/>
              <w:right w:w="20" w:type="dxa"/>
            </w:tcMar>
            <w:vAlign w:val="bottom"/>
          </w:tcPr>
          <w:p w14:paraId="4090FBDF" w14:textId="77777777" w:rsidR="00833634" w:rsidRDefault="00E15D51">
            <w:pPr>
              <w:textAlignment w:val="bottom"/>
            </w:pPr>
            <w:r>
              <w:rPr>
                <w:rFonts w:ascii="Arial" w:eastAsia="宋体" w:hAnsi="Arial" w:cs="Arial"/>
                <w:color w:val="000000"/>
                <w:sz w:val="20"/>
                <w:szCs w:val="20"/>
              </w:rPr>
              <w:t>(Loss)/earnings from operations, as reported</w:t>
            </w:r>
          </w:p>
        </w:tc>
        <w:tc>
          <w:tcPr>
            <w:tcW w:w="0" w:type="auto"/>
            <w:gridSpan w:val="2"/>
            <w:shd w:val="clear" w:color="auto" w:fill="FFFFFF"/>
            <w:tcMar>
              <w:top w:w="40" w:type="dxa"/>
              <w:left w:w="20" w:type="dxa"/>
              <w:bottom w:w="40" w:type="dxa"/>
              <w:right w:w="0" w:type="dxa"/>
            </w:tcMar>
            <w:vAlign w:val="bottom"/>
          </w:tcPr>
          <w:p w14:paraId="4090FBE0" w14:textId="77777777" w:rsidR="00833634" w:rsidRDefault="00E15D51">
            <w:pPr>
              <w:jc w:val="right"/>
              <w:textAlignment w:val="bottom"/>
            </w:pPr>
            <w:r>
              <w:rPr>
                <w:rFonts w:ascii="Arial" w:eastAsia="宋体" w:hAnsi="Arial" w:cs="Arial"/>
                <w:b/>
                <w:bCs/>
                <w:color w:val="000000"/>
                <w:sz w:val="20"/>
                <w:szCs w:val="20"/>
              </w:rPr>
              <w:t>($4,718)</w:t>
            </w:r>
          </w:p>
        </w:tc>
        <w:tc>
          <w:tcPr>
            <w:tcW w:w="0" w:type="auto"/>
            <w:shd w:val="clear" w:color="auto" w:fill="FFFFFF"/>
            <w:tcMar>
              <w:top w:w="40" w:type="dxa"/>
              <w:left w:w="0" w:type="dxa"/>
              <w:bottom w:w="40" w:type="dxa"/>
              <w:right w:w="20" w:type="dxa"/>
            </w:tcMar>
            <w:vAlign w:val="bottom"/>
          </w:tcPr>
          <w:p w14:paraId="4090FBE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BE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BE3" w14:textId="77777777" w:rsidR="00833634" w:rsidRDefault="00E15D51">
            <w:pPr>
              <w:jc w:val="right"/>
              <w:textAlignment w:val="bottom"/>
            </w:pPr>
            <w:r>
              <w:rPr>
                <w:rFonts w:ascii="Arial" w:eastAsia="宋体" w:hAnsi="Arial" w:cs="Arial"/>
                <w:color w:val="000000"/>
                <w:sz w:val="20"/>
                <w:szCs w:val="20"/>
              </w:rPr>
              <w:t>$229 </w:t>
            </w:r>
          </w:p>
        </w:tc>
        <w:tc>
          <w:tcPr>
            <w:tcW w:w="0" w:type="auto"/>
            <w:shd w:val="clear" w:color="auto" w:fill="FFFFFF"/>
            <w:tcMar>
              <w:top w:w="40" w:type="dxa"/>
              <w:left w:w="0" w:type="dxa"/>
              <w:bottom w:w="40" w:type="dxa"/>
              <w:right w:w="20" w:type="dxa"/>
            </w:tcMar>
            <w:vAlign w:val="bottom"/>
          </w:tcPr>
          <w:p w14:paraId="4090FBE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BE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BE6" w14:textId="77777777" w:rsidR="00833634" w:rsidRDefault="00E15D51">
            <w:pPr>
              <w:jc w:val="right"/>
              <w:textAlignment w:val="bottom"/>
            </w:pPr>
            <w:r>
              <w:rPr>
                <w:rFonts w:ascii="Arial" w:eastAsia="宋体" w:hAnsi="Arial" w:cs="Arial"/>
                <w:b/>
                <w:bCs/>
                <w:color w:val="000000"/>
                <w:sz w:val="20"/>
                <w:szCs w:val="20"/>
              </w:rPr>
              <w:t>($401)</w:t>
            </w:r>
          </w:p>
        </w:tc>
        <w:tc>
          <w:tcPr>
            <w:tcW w:w="0" w:type="auto"/>
            <w:shd w:val="clear" w:color="auto" w:fill="FFFFFF"/>
            <w:tcMar>
              <w:top w:w="40" w:type="dxa"/>
              <w:left w:w="0" w:type="dxa"/>
              <w:bottom w:w="40" w:type="dxa"/>
              <w:right w:w="20" w:type="dxa"/>
            </w:tcMar>
            <w:vAlign w:val="bottom"/>
          </w:tcPr>
          <w:p w14:paraId="4090FBE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BE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BE9" w14:textId="77777777" w:rsidR="00833634" w:rsidRDefault="00E15D51">
            <w:pPr>
              <w:jc w:val="right"/>
              <w:textAlignment w:val="bottom"/>
            </w:pPr>
            <w:r>
              <w:rPr>
                <w:rFonts w:ascii="Arial" w:eastAsia="宋体" w:hAnsi="Arial" w:cs="Arial"/>
                <w:color w:val="000000"/>
                <w:sz w:val="20"/>
                <w:szCs w:val="20"/>
              </w:rPr>
              <w:t>$1,259 </w:t>
            </w:r>
          </w:p>
        </w:tc>
        <w:tc>
          <w:tcPr>
            <w:tcW w:w="0" w:type="auto"/>
            <w:shd w:val="clear" w:color="auto" w:fill="FFFFFF"/>
            <w:tcMar>
              <w:top w:w="40" w:type="dxa"/>
              <w:left w:w="0" w:type="dxa"/>
              <w:bottom w:w="40" w:type="dxa"/>
              <w:right w:w="20" w:type="dxa"/>
            </w:tcMar>
            <w:vAlign w:val="bottom"/>
          </w:tcPr>
          <w:p w14:paraId="4090FBEA" w14:textId="77777777" w:rsidR="00833634" w:rsidRDefault="00833634">
            <w:pPr>
              <w:jc w:val="right"/>
              <w:rPr>
                <w:rFonts w:ascii="宋体"/>
              </w:rPr>
            </w:pPr>
          </w:p>
        </w:tc>
      </w:tr>
      <w:tr w:rsidR="00833634" w14:paraId="4090FBF8" w14:textId="77777777">
        <w:tc>
          <w:tcPr>
            <w:tcW w:w="0" w:type="auto"/>
            <w:gridSpan w:val="3"/>
            <w:shd w:val="clear" w:color="auto" w:fill="CCEEFF"/>
            <w:tcMar>
              <w:top w:w="40" w:type="dxa"/>
              <w:left w:w="20" w:type="dxa"/>
              <w:bottom w:w="40" w:type="dxa"/>
              <w:right w:w="20" w:type="dxa"/>
            </w:tcMar>
            <w:vAlign w:val="bottom"/>
          </w:tcPr>
          <w:p w14:paraId="4090FBEC" w14:textId="77777777" w:rsidR="00833634" w:rsidRDefault="00E15D51">
            <w:pPr>
              <w:textAlignment w:val="bottom"/>
            </w:pPr>
            <w:r>
              <w:rPr>
                <w:rFonts w:ascii="Arial" w:eastAsia="宋体" w:hAnsi="Arial" w:cs="Arial"/>
                <w:color w:val="000000"/>
                <w:sz w:val="20"/>
                <w:szCs w:val="20"/>
              </w:rPr>
              <w:t>Operating margins</w:t>
            </w:r>
          </w:p>
        </w:tc>
        <w:tc>
          <w:tcPr>
            <w:tcW w:w="0" w:type="auto"/>
            <w:gridSpan w:val="2"/>
            <w:shd w:val="clear" w:color="auto" w:fill="CCEEFF"/>
            <w:tcMar>
              <w:top w:w="40" w:type="dxa"/>
              <w:left w:w="20" w:type="dxa"/>
              <w:bottom w:w="40" w:type="dxa"/>
              <w:right w:w="0" w:type="dxa"/>
            </w:tcMar>
            <w:vAlign w:val="bottom"/>
          </w:tcPr>
          <w:p w14:paraId="4090FBED" w14:textId="77777777" w:rsidR="00833634" w:rsidRDefault="00E15D51">
            <w:pPr>
              <w:jc w:val="right"/>
              <w:textAlignment w:val="bottom"/>
            </w:pPr>
            <w:r>
              <w:rPr>
                <w:rFonts w:ascii="Arial" w:eastAsia="宋体" w:hAnsi="Arial" w:cs="Arial"/>
                <w:b/>
                <w:bCs/>
                <w:color w:val="000000"/>
                <w:sz w:val="20"/>
                <w:szCs w:val="20"/>
              </w:rPr>
              <w:t>(11.0)</w:t>
            </w:r>
          </w:p>
        </w:tc>
        <w:tc>
          <w:tcPr>
            <w:tcW w:w="0" w:type="auto"/>
            <w:shd w:val="clear" w:color="auto" w:fill="CCEEFF"/>
            <w:tcMar>
              <w:top w:w="40" w:type="dxa"/>
              <w:left w:w="0" w:type="dxa"/>
              <w:bottom w:w="40" w:type="dxa"/>
              <w:right w:w="20" w:type="dxa"/>
            </w:tcMar>
            <w:vAlign w:val="bottom"/>
          </w:tcPr>
          <w:p w14:paraId="4090FBEE"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4090FBE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BF0" w14:textId="77777777" w:rsidR="00833634" w:rsidRDefault="00E15D51">
            <w:pPr>
              <w:jc w:val="right"/>
              <w:textAlignment w:val="bottom"/>
            </w:pPr>
            <w:r>
              <w:rPr>
                <w:rFonts w:ascii="Arial" w:eastAsia="宋体" w:hAnsi="Arial" w:cs="Arial"/>
                <w:color w:val="000000"/>
                <w:sz w:val="20"/>
                <w:szCs w:val="20"/>
              </w:rPr>
              <w:t>0.4 </w:t>
            </w:r>
          </w:p>
        </w:tc>
        <w:tc>
          <w:tcPr>
            <w:tcW w:w="0" w:type="auto"/>
            <w:shd w:val="clear" w:color="auto" w:fill="CCEEFF"/>
            <w:tcMar>
              <w:top w:w="40" w:type="dxa"/>
              <w:left w:w="0" w:type="dxa"/>
              <w:bottom w:w="40" w:type="dxa"/>
              <w:right w:w="20" w:type="dxa"/>
            </w:tcMar>
            <w:vAlign w:val="bottom"/>
          </w:tcPr>
          <w:p w14:paraId="4090FBF1" w14:textId="77777777" w:rsidR="00833634" w:rsidRDefault="00E15D51">
            <w:pPr>
              <w:jc w:val="right"/>
              <w:textAlignment w:val="bottom"/>
            </w:pPr>
            <w:r>
              <w:rPr>
                <w:rFonts w:ascii="Arial" w:eastAsia="宋体" w:hAnsi="Arial" w:cs="Arial"/>
                <w:color w:val="000000"/>
                <w:sz w:val="20"/>
                <w:szCs w:val="20"/>
              </w:rPr>
              <w:t>%</w:t>
            </w:r>
          </w:p>
        </w:tc>
        <w:tc>
          <w:tcPr>
            <w:tcW w:w="0" w:type="auto"/>
            <w:gridSpan w:val="3"/>
            <w:shd w:val="clear" w:color="auto" w:fill="CCEEFF"/>
            <w:tcMar>
              <w:top w:w="0" w:type="dxa"/>
              <w:left w:w="20" w:type="dxa"/>
              <w:bottom w:w="0" w:type="dxa"/>
              <w:right w:w="20" w:type="dxa"/>
            </w:tcMar>
          </w:tcPr>
          <w:p w14:paraId="4090FBF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BF3" w14:textId="77777777" w:rsidR="00833634" w:rsidRDefault="00E15D51">
            <w:pPr>
              <w:jc w:val="right"/>
              <w:textAlignment w:val="bottom"/>
            </w:pPr>
            <w:r>
              <w:rPr>
                <w:rFonts w:ascii="Arial" w:eastAsia="宋体" w:hAnsi="Arial" w:cs="Arial"/>
                <w:b/>
                <w:bCs/>
                <w:color w:val="000000"/>
                <w:sz w:val="20"/>
                <w:szCs w:val="20"/>
              </w:rPr>
              <w:t>(2.8)</w:t>
            </w:r>
          </w:p>
        </w:tc>
        <w:tc>
          <w:tcPr>
            <w:tcW w:w="0" w:type="auto"/>
            <w:shd w:val="clear" w:color="auto" w:fill="CCEEFF"/>
            <w:tcMar>
              <w:top w:w="40" w:type="dxa"/>
              <w:left w:w="0" w:type="dxa"/>
              <w:bottom w:w="40" w:type="dxa"/>
              <w:right w:w="20" w:type="dxa"/>
            </w:tcMar>
            <w:vAlign w:val="bottom"/>
          </w:tcPr>
          <w:p w14:paraId="4090FBF4"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shd w:val="clear" w:color="auto" w:fill="CCEEFF"/>
            <w:tcMar>
              <w:top w:w="0" w:type="dxa"/>
              <w:left w:w="20" w:type="dxa"/>
              <w:bottom w:w="0" w:type="dxa"/>
              <w:right w:w="20" w:type="dxa"/>
            </w:tcMar>
          </w:tcPr>
          <w:p w14:paraId="4090FBF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BF6" w14:textId="77777777" w:rsidR="00833634" w:rsidRDefault="00E15D51">
            <w:pPr>
              <w:jc w:val="right"/>
              <w:textAlignment w:val="bottom"/>
            </w:pPr>
            <w:r>
              <w:rPr>
                <w:rFonts w:ascii="Arial" w:eastAsia="宋体" w:hAnsi="Arial" w:cs="Arial"/>
                <w:color w:val="000000"/>
                <w:sz w:val="20"/>
                <w:szCs w:val="20"/>
              </w:rPr>
              <w:t>6.3 </w:t>
            </w:r>
          </w:p>
        </w:tc>
        <w:tc>
          <w:tcPr>
            <w:tcW w:w="0" w:type="auto"/>
            <w:shd w:val="clear" w:color="auto" w:fill="CCEEFF"/>
            <w:tcMar>
              <w:top w:w="40" w:type="dxa"/>
              <w:left w:w="0" w:type="dxa"/>
              <w:bottom w:w="40" w:type="dxa"/>
              <w:right w:w="20" w:type="dxa"/>
            </w:tcMar>
            <w:vAlign w:val="bottom"/>
          </w:tcPr>
          <w:p w14:paraId="4090FBF7" w14:textId="77777777" w:rsidR="00833634" w:rsidRDefault="00E15D51">
            <w:pPr>
              <w:jc w:val="right"/>
              <w:textAlignment w:val="bottom"/>
            </w:pPr>
            <w:r>
              <w:rPr>
                <w:rFonts w:ascii="Arial" w:eastAsia="宋体" w:hAnsi="Arial" w:cs="Arial"/>
                <w:color w:val="000000"/>
                <w:sz w:val="20"/>
                <w:szCs w:val="20"/>
              </w:rPr>
              <w:t>%</w:t>
            </w:r>
          </w:p>
        </w:tc>
      </w:tr>
      <w:tr w:rsidR="00833634" w14:paraId="4090FC01" w14:textId="77777777">
        <w:trPr>
          <w:trHeight w:val="180"/>
        </w:trPr>
        <w:tc>
          <w:tcPr>
            <w:tcW w:w="0" w:type="auto"/>
            <w:gridSpan w:val="3"/>
            <w:shd w:val="clear" w:color="auto" w:fill="FFFFFF"/>
            <w:tcMar>
              <w:top w:w="0" w:type="dxa"/>
              <w:left w:w="20" w:type="dxa"/>
              <w:bottom w:w="0" w:type="dxa"/>
              <w:right w:w="20" w:type="dxa"/>
            </w:tcMar>
          </w:tcPr>
          <w:p w14:paraId="4090FBF9"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BFA"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BFB"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BFC"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BFD"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BF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BFF"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C00" w14:textId="77777777" w:rsidR="00833634" w:rsidRDefault="00833634">
            <w:pPr>
              <w:rPr>
                <w:rFonts w:ascii="宋体"/>
              </w:rPr>
            </w:pPr>
          </w:p>
        </w:tc>
      </w:tr>
      <w:tr w:rsidR="00833634" w14:paraId="4090FC0E" w14:textId="77777777">
        <w:tc>
          <w:tcPr>
            <w:tcW w:w="0" w:type="auto"/>
            <w:gridSpan w:val="3"/>
            <w:shd w:val="clear" w:color="auto" w:fill="CCEEFF"/>
            <w:tcMar>
              <w:top w:w="40" w:type="dxa"/>
              <w:left w:w="20" w:type="dxa"/>
              <w:bottom w:w="40" w:type="dxa"/>
              <w:right w:w="20" w:type="dxa"/>
            </w:tcMar>
            <w:vAlign w:val="bottom"/>
          </w:tcPr>
          <w:p w14:paraId="4090FC02" w14:textId="77777777" w:rsidR="00833634" w:rsidRDefault="00E15D51">
            <w:pPr>
              <w:textAlignment w:val="bottom"/>
            </w:pPr>
            <w:r>
              <w:rPr>
                <w:rFonts w:ascii="Arial" w:eastAsia="宋体" w:hAnsi="Arial" w:cs="Arial"/>
                <w:color w:val="000000"/>
                <w:sz w:val="20"/>
                <w:szCs w:val="20"/>
              </w:rPr>
              <w:t>Pension FAS/CAS service cost adjustment</w:t>
            </w:r>
            <w:r>
              <w:rPr>
                <w:rFonts w:ascii="Arial" w:eastAsia="宋体" w:hAnsi="Arial" w:cs="Arial"/>
                <w:color w:val="000000"/>
                <w:sz w:val="13"/>
                <w:szCs w:val="13"/>
              </w:rPr>
              <w:t xml:space="preserve"> (1)</w:t>
            </w:r>
          </w:p>
        </w:tc>
        <w:tc>
          <w:tcPr>
            <w:tcW w:w="0" w:type="auto"/>
            <w:gridSpan w:val="2"/>
            <w:shd w:val="clear" w:color="auto" w:fill="CCEEFF"/>
            <w:tcMar>
              <w:top w:w="40" w:type="dxa"/>
              <w:left w:w="20" w:type="dxa"/>
              <w:bottom w:w="40" w:type="dxa"/>
              <w:right w:w="0" w:type="dxa"/>
            </w:tcMar>
            <w:vAlign w:val="bottom"/>
          </w:tcPr>
          <w:p w14:paraId="4090FC03" w14:textId="77777777" w:rsidR="00833634" w:rsidRDefault="00E15D51">
            <w:pPr>
              <w:jc w:val="right"/>
              <w:textAlignment w:val="bottom"/>
            </w:pPr>
            <w:r>
              <w:rPr>
                <w:rFonts w:ascii="Arial" w:eastAsia="宋体" w:hAnsi="Arial" w:cs="Arial"/>
                <w:b/>
                <w:bCs/>
                <w:color w:val="000000"/>
                <w:sz w:val="20"/>
                <w:szCs w:val="20"/>
              </w:rPr>
              <w:t>($773)</w:t>
            </w:r>
          </w:p>
        </w:tc>
        <w:tc>
          <w:tcPr>
            <w:tcW w:w="0" w:type="auto"/>
            <w:shd w:val="clear" w:color="auto" w:fill="CCEEFF"/>
            <w:tcMar>
              <w:top w:w="40" w:type="dxa"/>
              <w:left w:w="0" w:type="dxa"/>
              <w:bottom w:w="40" w:type="dxa"/>
              <w:right w:w="20" w:type="dxa"/>
            </w:tcMar>
            <w:vAlign w:val="bottom"/>
          </w:tcPr>
          <w:p w14:paraId="4090FC0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0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06" w14:textId="77777777" w:rsidR="00833634" w:rsidRDefault="00E15D51">
            <w:pPr>
              <w:jc w:val="right"/>
              <w:textAlignment w:val="bottom"/>
            </w:pPr>
            <w:r>
              <w:rPr>
                <w:rFonts w:ascii="Arial" w:eastAsia="宋体" w:hAnsi="Arial" w:cs="Arial"/>
                <w:color w:val="000000"/>
                <w:sz w:val="20"/>
                <w:szCs w:val="20"/>
              </w:rPr>
              <w:t>($823)</w:t>
            </w:r>
          </w:p>
        </w:tc>
        <w:tc>
          <w:tcPr>
            <w:tcW w:w="0" w:type="auto"/>
            <w:shd w:val="clear" w:color="auto" w:fill="CCEEFF"/>
            <w:tcMar>
              <w:top w:w="40" w:type="dxa"/>
              <w:left w:w="0" w:type="dxa"/>
              <w:bottom w:w="40" w:type="dxa"/>
              <w:right w:w="20" w:type="dxa"/>
            </w:tcMar>
            <w:vAlign w:val="bottom"/>
          </w:tcPr>
          <w:p w14:paraId="4090FC07"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08"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09" w14:textId="77777777" w:rsidR="00833634" w:rsidRDefault="00E15D51">
            <w:pPr>
              <w:jc w:val="right"/>
              <w:textAlignment w:val="bottom"/>
            </w:pPr>
            <w:r>
              <w:rPr>
                <w:rFonts w:ascii="Arial" w:eastAsia="宋体" w:hAnsi="Arial" w:cs="Arial"/>
                <w:b/>
                <w:bCs/>
                <w:color w:val="000000"/>
                <w:sz w:val="20"/>
                <w:szCs w:val="20"/>
              </w:rPr>
              <w:t>($260)</w:t>
            </w:r>
          </w:p>
        </w:tc>
        <w:tc>
          <w:tcPr>
            <w:tcW w:w="0" w:type="auto"/>
            <w:shd w:val="clear" w:color="auto" w:fill="CCEEFF"/>
            <w:tcMar>
              <w:top w:w="40" w:type="dxa"/>
              <w:left w:w="0" w:type="dxa"/>
              <w:bottom w:w="40" w:type="dxa"/>
              <w:right w:w="20" w:type="dxa"/>
            </w:tcMar>
            <w:vAlign w:val="bottom"/>
          </w:tcPr>
          <w:p w14:paraId="4090FC0A"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0B"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0C" w14:textId="77777777" w:rsidR="00833634" w:rsidRDefault="00E15D51">
            <w:pPr>
              <w:jc w:val="right"/>
              <w:textAlignment w:val="bottom"/>
            </w:pPr>
            <w:r>
              <w:rPr>
                <w:rFonts w:ascii="Arial" w:eastAsia="宋体" w:hAnsi="Arial" w:cs="Arial"/>
                <w:color w:val="000000"/>
                <w:sz w:val="20"/>
                <w:szCs w:val="20"/>
              </w:rPr>
              <w:t>($274)</w:t>
            </w:r>
          </w:p>
        </w:tc>
        <w:tc>
          <w:tcPr>
            <w:tcW w:w="0" w:type="auto"/>
            <w:shd w:val="clear" w:color="auto" w:fill="CCEEFF"/>
            <w:tcMar>
              <w:top w:w="40" w:type="dxa"/>
              <w:left w:w="0" w:type="dxa"/>
              <w:bottom w:w="40" w:type="dxa"/>
              <w:right w:w="20" w:type="dxa"/>
            </w:tcMar>
            <w:vAlign w:val="bottom"/>
          </w:tcPr>
          <w:p w14:paraId="4090FC0D" w14:textId="77777777" w:rsidR="00833634" w:rsidRDefault="00833634">
            <w:pPr>
              <w:jc w:val="right"/>
              <w:rPr>
                <w:rFonts w:ascii="宋体"/>
              </w:rPr>
            </w:pPr>
          </w:p>
        </w:tc>
      </w:tr>
      <w:tr w:rsidR="00833634" w14:paraId="4090FC1B" w14:textId="77777777">
        <w:tc>
          <w:tcPr>
            <w:tcW w:w="0" w:type="auto"/>
            <w:gridSpan w:val="3"/>
            <w:shd w:val="clear" w:color="auto" w:fill="FFFFFF"/>
            <w:tcMar>
              <w:top w:w="40" w:type="dxa"/>
              <w:left w:w="20" w:type="dxa"/>
              <w:bottom w:w="40" w:type="dxa"/>
              <w:right w:w="20" w:type="dxa"/>
            </w:tcMar>
            <w:vAlign w:val="bottom"/>
          </w:tcPr>
          <w:p w14:paraId="4090FC0F" w14:textId="77777777" w:rsidR="00833634" w:rsidRDefault="00E15D51">
            <w:pPr>
              <w:ind w:hanging="180"/>
              <w:textAlignment w:val="bottom"/>
            </w:pPr>
            <w:r>
              <w:rPr>
                <w:rFonts w:ascii="Arial" w:eastAsia="宋体" w:hAnsi="Arial" w:cs="Arial"/>
                <w:color w:val="000000"/>
                <w:sz w:val="20"/>
                <w:szCs w:val="20"/>
              </w:rPr>
              <w:t xml:space="preserve">Postretirement FAS/CAS service cost adjustment </w:t>
            </w:r>
            <w:r>
              <w:rPr>
                <w:rFonts w:ascii="Arial" w:eastAsia="宋体" w:hAnsi="Arial" w:cs="Arial"/>
                <w:color w:val="000000"/>
                <w:sz w:val="13"/>
                <w:szCs w:val="13"/>
              </w:rPr>
              <w:t>(1)</w:t>
            </w:r>
          </w:p>
        </w:tc>
        <w:tc>
          <w:tcPr>
            <w:tcW w:w="0" w:type="auto"/>
            <w:gridSpan w:val="2"/>
            <w:shd w:val="clear" w:color="auto" w:fill="FFFFFF"/>
            <w:tcMar>
              <w:top w:w="40" w:type="dxa"/>
              <w:left w:w="20" w:type="dxa"/>
              <w:bottom w:w="40" w:type="dxa"/>
              <w:right w:w="0" w:type="dxa"/>
            </w:tcMar>
            <w:vAlign w:val="bottom"/>
          </w:tcPr>
          <w:p w14:paraId="4090FC10" w14:textId="77777777" w:rsidR="00833634" w:rsidRDefault="00E15D51">
            <w:pPr>
              <w:jc w:val="right"/>
              <w:textAlignment w:val="bottom"/>
            </w:pPr>
            <w:r>
              <w:rPr>
                <w:rFonts w:ascii="Arial" w:eastAsia="宋体" w:hAnsi="Arial" w:cs="Arial"/>
                <w:b/>
                <w:bCs/>
                <w:color w:val="000000"/>
                <w:sz w:val="20"/>
                <w:szCs w:val="20"/>
              </w:rPr>
              <w:t>(282)</w:t>
            </w:r>
          </w:p>
        </w:tc>
        <w:tc>
          <w:tcPr>
            <w:tcW w:w="0" w:type="auto"/>
            <w:shd w:val="clear" w:color="auto" w:fill="FFFFFF"/>
            <w:tcMar>
              <w:top w:w="40" w:type="dxa"/>
              <w:left w:w="0" w:type="dxa"/>
              <w:bottom w:w="40" w:type="dxa"/>
              <w:right w:w="20" w:type="dxa"/>
            </w:tcMar>
            <w:vAlign w:val="bottom"/>
          </w:tcPr>
          <w:p w14:paraId="4090FC1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1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13" w14:textId="77777777" w:rsidR="00833634" w:rsidRDefault="00E15D51">
            <w:pPr>
              <w:jc w:val="right"/>
              <w:textAlignment w:val="bottom"/>
            </w:pPr>
            <w:r>
              <w:rPr>
                <w:rFonts w:ascii="Arial" w:eastAsia="宋体" w:hAnsi="Arial" w:cs="Arial"/>
                <w:color w:val="000000"/>
                <w:sz w:val="20"/>
                <w:szCs w:val="20"/>
              </w:rPr>
              <w:t>(270)</w:t>
            </w:r>
          </w:p>
        </w:tc>
        <w:tc>
          <w:tcPr>
            <w:tcW w:w="0" w:type="auto"/>
            <w:shd w:val="clear" w:color="auto" w:fill="FFFFFF"/>
            <w:tcMar>
              <w:top w:w="40" w:type="dxa"/>
              <w:left w:w="0" w:type="dxa"/>
              <w:bottom w:w="40" w:type="dxa"/>
              <w:right w:w="20" w:type="dxa"/>
            </w:tcMar>
            <w:vAlign w:val="bottom"/>
          </w:tcPr>
          <w:p w14:paraId="4090FC14"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15"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16" w14:textId="77777777" w:rsidR="00833634" w:rsidRDefault="00E15D51">
            <w:pPr>
              <w:jc w:val="right"/>
              <w:textAlignment w:val="bottom"/>
            </w:pPr>
            <w:r>
              <w:rPr>
                <w:rFonts w:ascii="Arial" w:eastAsia="宋体" w:hAnsi="Arial" w:cs="Arial"/>
                <w:b/>
                <w:bCs/>
                <w:color w:val="000000"/>
                <w:sz w:val="20"/>
                <w:szCs w:val="20"/>
              </w:rPr>
              <w:t>(93)</w:t>
            </w:r>
          </w:p>
        </w:tc>
        <w:tc>
          <w:tcPr>
            <w:tcW w:w="0" w:type="auto"/>
            <w:shd w:val="clear" w:color="auto" w:fill="FFFFFF"/>
            <w:tcMar>
              <w:top w:w="40" w:type="dxa"/>
              <w:left w:w="0" w:type="dxa"/>
              <w:bottom w:w="40" w:type="dxa"/>
              <w:right w:w="20" w:type="dxa"/>
            </w:tcMar>
            <w:vAlign w:val="bottom"/>
          </w:tcPr>
          <w:p w14:paraId="4090FC17"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18"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19" w14:textId="77777777" w:rsidR="00833634" w:rsidRDefault="00E15D51">
            <w:pPr>
              <w:jc w:val="right"/>
              <w:textAlignment w:val="bottom"/>
            </w:pPr>
            <w:r>
              <w:rPr>
                <w:rFonts w:ascii="Arial" w:eastAsia="宋体" w:hAnsi="Arial" w:cs="Arial"/>
                <w:color w:val="000000"/>
                <w:sz w:val="20"/>
                <w:szCs w:val="20"/>
              </w:rPr>
              <w:t>(90)</w:t>
            </w:r>
          </w:p>
        </w:tc>
        <w:tc>
          <w:tcPr>
            <w:tcW w:w="0" w:type="auto"/>
            <w:shd w:val="clear" w:color="auto" w:fill="FFFFFF"/>
            <w:tcMar>
              <w:top w:w="40" w:type="dxa"/>
              <w:left w:w="0" w:type="dxa"/>
              <w:bottom w:w="40" w:type="dxa"/>
              <w:right w:w="20" w:type="dxa"/>
            </w:tcMar>
            <w:vAlign w:val="bottom"/>
          </w:tcPr>
          <w:p w14:paraId="4090FC1A" w14:textId="77777777" w:rsidR="00833634" w:rsidRDefault="00833634">
            <w:pPr>
              <w:jc w:val="right"/>
              <w:rPr>
                <w:rFonts w:ascii="宋体"/>
              </w:rPr>
            </w:pPr>
          </w:p>
        </w:tc>
      </w:tr>
      <w:tr w:rsidR="00833634" w14:paraId="4090FC2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C1C" w14:textId="77777777" w:rsidR="00833634" w:rsidRDefault="00E15D51">
            <w:pPr>
              <w:textAlignment w:val="bottom"/>
            </w:pPr>
            <w:r>
              <w:rPr>
                <w:rFonts w:ascii="Arial" w:eastAsia="宋体" w:hAnsi="Arial" w:cs="Arial"/>
                <w:color w:val="000000"/>
                <w:sz w:val="20"/>
                <w:szCs w:val="20"/>
              </w:rPr>
              <w:t>FAS/CAS service cost adjustment</w:t>
            </w:r>
            <w:r>
              <w:rPr>
                <w:rFonts w:ascii="Arial" w:eastAsia="宋体" w:hAnsi="Arial" w:cs="Arial"/>
                <w:color w:val="000000"/>
                <w:sz w:val="13"/>
                <w:szCs w:val="13"/>
              </w:rPr>
              <w:t xml:space="preserve"> (1)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C1D" w14:textId="77777777" w:rsidR="00833634" w:rsidRDefault="00E15D51">
            <w:pPr>
              <w:jc w:val="right"/>
              <w:textAlignment w:val="bottom"/>
            </w:pPr>
            <w:r>
              <w:rPr>
                <w:rFonts w:ascii="Arial" w:eastAsia="宋体" w:hAnsi="Arial" w:cs="Arial"/>
                <w:b/>
                <w:bCs/>
                <w:color w:val="000000"/>
                <w:sz w:val="20"/>
                <w:szCs w:val="20"/>
              </w:rPr>
              <w:t>($1,055)</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C1E"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C1F"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C20" w14:textId="77777777" w:rsidR="00833634" w:rsidRDefault="00E15D51">
            <w:pPr>
              <w:jc w:val="right"/>
              <w:textAlignment w:val="bottom"/>
            </w:pPr>
            <w:r>
              <w:rPr>
                <w:rFonts w:ascii="Arial" w:eastAsia="宋体" w:hAnsi="Arial" w:cs="Arial"/>
                <w:color w:val="000000"/>
                <w:sz w:val="20"/>
                <w:szCs w:val="20"/>
              </w:rPr>
              <w:t>($1,093)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C21"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C22"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C23" w14:textId="77777777" w:rsidR="00833634" w:rsidRDefault="00E15D51">
            <w:pPr>
              <w:jc w:val="right"/>
              <w:textAlignment w:val="bottom"/>
            </w:pPr>
            <w:r>
              <w:rPr>
                <w:rFonts w:ascii="Arial" w:eastAsia="宋体" w:hAnsi="Arial" w:cs="Arial"/>
                <w:b/>
                <w:bCs/>
                <w:color w:val="000000"/>
                <w:sz w:val="20"/>
                <w:szCs w:val="20"/>
              </w:rPr>
              <w:t>($353)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C24"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C25"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C26" w14:textId="77777777" w:rsidR="00833634" w:rsidRDefault="00E15D51">
            <w:pPr>
              <w:jc w:val="right"/>
              <w:textAlignment w:val="bottom"/>
            </w:pPr>
            <w:r>
              <w:rPr>
                <w:rFonts w:ascii="Arial" w:eastAsia="宋体" w:hAnsi="Arial" w:cs="Arial"/>
                <w:color w:val="000000"/>
                <w:sz w:val="20"/>
                <w:szCs w:val="20"/>
              </w:rPr>
              <w:t>($364)</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C27" w14:textId="77777777" w:rsidR="00833634" w:rsidRDefault="00833634">
            <w:pPr>
              <w:jc w:val="right"/>
              <w:rPr>
                <w:rFonts w:ascii="宋体"/>
              </w:rPr>
            </w:pPr>
          </w:p>
        </w:tc>
      </w:tr>
      <w:tr w:rsidR="00833634" w14:paraId="4090FC35" w14:textId="77777777">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4090FC29" w14:textId="77777777" w:rsidR="00833634" w:rsidRDefault="00E15D51">
            <w:pPr>
              <w:textAlignment w:val="bottom"/>
            </w:pPr>
            <w:r>
              <w:rPr>
                <w:rFonts w:ascii="Arial" w:eastAsia="宋体" w:hAnsi="Arial" w:cs="Arial"/>
                <w:color w:val="000000"/>
                <w:sz w:val="20"/>
                <w:szCs w:val="20"/>
              </w:rPr>
              <w:t>Core operating (loss)/earnings (non-GAAP)</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C2A" w14:textId="77777777" w:rsidR="00833634" w:rsidRDefault="00E15D51">
            <w:pPr>
              <w:jc w:val="right"/>
              <w:textAlignment w:val="bottom"/>
            </w:pPr>
            <w:r>
              <w:rPr>
                <w:rFonts w:ascii="Arial" w:eastAsia="宋体" w:hAnsi="Arial" w:cs="Arial"/>
                <w:b/>
                <w:bCs/>
                <w:color w:val="000000"/>
                <w:sz w:val="20"/>
                <w:szCs w:val="20"/>
              </w:rPr>
              <w:t>($5,773)</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C2B"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C2C"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C2D" w14:textId="77777777" w:rsidR="00833634" w:rsidRDefault="00E15D51">
            <w:pPr>
              <w:jc w:val="right"/>
              <w:textAlignment w:val="bottom"/>
            </w:pPr>
            <w:r>
              <w:rPr>
                <w:rFonts w:ascii="Arial" w:eastAsia="宋体" w:hAnsi="Arial" w:cs="Arial"/>
                <w:color w:val="000000"/>
                <w:sz w:val="20"/>
                <w:szCs w:val="20"/>
              </w:rPr>
              <w:t>($864)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C2E"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C2F"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C30" w14:textId="77777777" w:rsidR="00833634" w:rsidRDefault="00E15D51">
            <w:pPr>
              <w:jc w:val="right"/>
              <w:textAlignment w:val="bottom"/>
            </w:pPr>
            <w:r>
              <w:rPr>
                <w:rFonts w:ascii="Arial" w:eastAsia="宋体" w:hAnsi="Arial" w:cs="Arial"/>
                <w:b/>
                <w:bCs/>
                <w:color w:val="000000"/>
                <w:sz w:val="20"/>
                <w:szCs w:val="20"/>
              </w:rPr>
              <w:t>($754)</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C31" w14:textId="77777777" w:rsidR="00833634" w:rsidRDefault="00833634">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tcPr>
          <w:p w14:paraId="4090FC32" w14:textId="77777777" w:rsidR="00833634" w:rsidRDefault="00833634">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4090FC33" w14:textId="77777777" w:rsidR="00833634" w:rsidRDefault="00E15D51">
            <w:pPr>
              <w:jc w:val="right"/>
              <w:textAlignment w:val="bottom"/>
            </w:pPr>
            <w:r>
              <w:rPr>
                <w:rFonts w:ascii="Arial" w:eastAsia="宋体" w:hAnsi="Arial" w:cs="Arial"/>
                <w:color w:val="000000"/>
                <w:sz w:val="20"/>
                <w:szCs w:val="20"/>
              </w:rPr>
              <w:t>$895 </w:t>
            </w:r>
          </w:p>
        </w:tc>
        <w:tc>
          <w:tcPr>
            <w:tcW w:w="0" w:type="auto"/>
            <w:tcBorders>
              <w:top w:val="single" w:sz="8" w:space="0" w:color="000000"/>
            </w:tcBorders>
            <w:shd w:val="clear" w:color="auto" w:fill="FFFFFF"/>
            <w:tcMar>
              <w:top w:w="40" w:type="dxa"/>
              <w:left w:w="0" w:type="dxa"/>
              <w:bottom w:w="40" w:type="dxa"/>
              <w:right w:w="20" w:type="dxa"/>
            </w:tcMar>
            <w:vAlign w:val="bottom"/>
          </w:tcPr>
          <w:p w14:paraId="4090FC34" w14:textId="77777777" w:rsidR="00833634" w:rsidRDefault="00833634">
            <w:pPr>
              <w:jc w:val="right"/>
              <w:rPr>
                <w:rFonts w:ascii="宋体"/>
              </w:rPr>
            </w:pPr>
          </w:p>
        </w:tc>
      </w:tr>
      <w:tr w:rsidR="00833634" w14:paraId="4090FC42" w14:textId="77777777">
        <w:tc>
          <w:tcPr>
            <w:tcW w:w="0" w:type="auto"/>
            <w:gridSpan w:val="3"/>
            <w:tcBorders>
              <w:top w:val="double" w:sz="6" w:space="0" w:color="000000"/>
            </w:tcBorders>
            <w:shd w:val="clear" w:color="auto" w:fill="CCEEFF"/>
            <w:tcMar>
              <w:top w:w="40" w:type="dxa"/>
              <w:left w:w="20" w:type="dxa"/>
              <w:bottom w:w="40" w:type="dxa"/>
              <w:right w:w="20" w:type="dxa"/>
            </w:tcMar>
            <w:vAlign w:val="bottom"/>
          </w:tcPr>
          <w:p w14:paraId="4090FC36" w14:textId="77777777" w:rsidR="00833634" w:rsidRDefault="00E15D51">
            <w:pPr>
              <w:textAlignment w:val="bottom"/>
            </w:pPr>
            <w:r>
              <w:rPr>
                <w:rFonts w:ascii="Arial" w:eastAsia="宋体" w:hAnsi="Arial" w:cs="Arial"/>
                <w:color w:val="000000"/>
                <w:sz w:val="20"/>
                <w:szCs w:val="20"/>
              </w:rPr>
              <w:t>Core operating margins (non-GAAP)</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4090FC37" w14:textId="77777777" w:rsidR="00833634" w:rsidRDefault="00E15D51">
            <w:pPr>
              <w:jc w:val="right"/>
              <w:textAlignment w:val="bottom"/>
            </w:pPr>
            <w:r>
              <w:rPr>
                <w:rFonts w:ascii="Arial" w:eastAsia="宋体" w:hAnsi="Arial" w:cs="Arial"/>
                <w:b/>
                <w:bCs/>
                <w:color w:val="000000"/>
                <w:sz w:val="20"/>
                <w:szCs w:val="20"/>
              </w:rPr>
              <w:t>(13.5)</w:t>
            </w:r>
          </w:p>
        </w:tc>
        <w:tc>
          <w:tcPr>
            <w:tcW w:w="0" w:type="auto"/>
            <w:tcBorders>
              <w:top w:val="double" w:sz="6" w:space="0" w:color="000000"/>
            </w:tcBorders>
            <w:shd w:val="clear" w:color="auto" w:fill="CCEEFF"/>
            <w:tcMar>
              <w:top w:w="40" w:type="dxa"/>
              <w:left w:w="0" w:type="dxa"/>
              <w:bottom w:w="40" w:type="dxa"/>
              <w:right w:w="20" w:type="dxa"/>
            </w:tcMar>
            <w:vAlign w:val="bottom"/>
          </w:tcPr>
          <w:p w14:paraId="4090FC38"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top w:val="double" w:sz="6" w:space="0" w:color="000000"/>
            </w:tcBorders>
            <w:shd w:val="clear" w:color="auto" w:fill="CCEEFF"/>
            <w:tcMar>
              <w:top w:w="0" w:type="dxa"/>
              <w:left w:w="20" w:type="dxa"/>
              <w:bottom w:w="0" w:type="dxa"/>
              <w:right w:w="20" w:type="dxa"/>
            </w:tcMar>
          </w:tcPr>
          <w:p w14:paraId="4090FC39" w14:textId="77777777" w:rsidR="00833634" w:rsidRDefault="00833634">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4090FC3A" w14:textId="77777777" w:rsidR="00833634" w:rsidRDefault="00E15D51">
            <w:pPr>
              <w:jc w:val="right"/>
              <w:textAlignment w:val="bottom"/>
            </w:pPr>
            <w:r>
              <w:rPr>
                <w:rFonts w:ascii="Arial" w:eastAsia="宋体" w:hAnsi="Arial" w:cs="Arial"/>
                <w:color w:val="000000"/>
                <w:sz w:val="20"/>
                <w:szCs w:val="20"/>
              </w:rPr>
              <w:t>(1.5)</w:t>
            </w:r>
          </w:p>
        </w:tc>
        <w:tc>
          <w:tcPr>
            <w:tcW w:w="0" w:type="auto"/>
            <w:tcBorders>
              <w:top w:val="double" w:sz="6" w:space="0" w:color="000000"/>
            </w:tcBorders>
            <w:shd w:val="clear" w:color="auto" w:fill="CCEEFF"/>
            <w:tcMar>
              <w:top w:w="40" w:type="dxa"/>
              <w:left w:w="0" w:type="dxa"/>
              <w:bottom w:w="40" w:type="dxa"/>
              <w:right w:w="20" w:type="dxa"/>
            </w:tcMar>
            <w:vAlign w:val="bottom"/>
          </w:tcPr>
          <w:p w14:paraId="4090FC3B" w14:textId="77777777" w:rsidR="00833634" w:rsidRDefault="00E15D51">
            <w:pPr>
              <w:jc w:val="right"/>
              <w:textAlignment w:val="bottom"/>
            </w:pPr>
            <w:r>
              <w:rPr>
                <w:rFonts w:ascii="Arial" w:eastAsia="宋体" w:hAnsi="Arial" w:cs="Arial"/>
                <w:color w:val="000000"/>
                <w:sz w:val="20"/>
                <w:szCs w:val="20"/>
              </w:rPr>
              <w:t>%</w:t>
            </w:r>
          </w:p>
        </w:tc>
        <w:tc>
          <w:tcPr>
            <w:tcW w:w="0" w:type="auto"/>
            <w:gridSpan w:val="3"/>
            <w:tcBorders>
              <w:top w:val="double" w:sz="6" w:space="0" w:color="000000"/>
            </w:tcBorders>
            <w:shd w:val="clear" w:color="auto" w:fill="CCEEFF"/>
            <w:tcMar>
              <w:top w:w="0" w:type="dxa"/>
              <w:left w:w="20" w:type="dxa"/>
              <w:bottom w:w="0" w:type="dxa"/>
              <w:right w:w="20" w:type="dxa"/>
            </w:tcMar>
          </w:tcPr>
          <w:p w14:paraId="4090FC3C" w14:textId="77777777" w:rsidR="00833634" w:rsidRDefault="00833634">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4090FC3D" w14:textId="77777777" w:rsidR="00833634" w:rsidRDefault="00E15D51">
            <w:pPr>
              <w:jc w:val="right"/>
              <w:textAlignment w:val="bottom"/>
            </w:pPr>
            <w:r>
              <w:rPr>
                <w:rFonts w:ascii="Arial" w:eastAsia="宋体" w:hAnsi="Arial" w:cs="Arial"/>
                <w:b/>
                <w:bCs/>
                <w:color w:val="000000"/>
                <w:sz w:val="20"/>
                <w:szCs w:val="20"/>
              </w:rPr>
              <w:t>(5.3)</w:t>
            </w:r>
          </w:p>
        </w:tc>
        <w:tc>
          <w:tcPr>
            <w:tcW w:w="0" w:type="auto"/>
            <w:tcBorders>
              <w:top w:val="double" w:sz="6" w:space="0" w:color="000000"/>
            </w:tcBorders>
            <w:shd w:val="clear" w:color="auto" w:fill="CCEEFF"/>
            <w:tcMar>
              <w:top w:w="40" w:type="dxa"/>
              <w:left w:w="0" w:type="dxa"/>
              <w:bottom w:w="40" w:type="dxa"/>
              <w:right w:w="20" w:type="dxa"/>
            </w:tcMar>
            <w:vAlign w:val="bottom"/>
          </w:tcPr>
          <w:p w14:paraId="4090FC3E" w14:textId="77777777" w:rsidR="00833634" w:rsidRDefault="00E15D51">
            <w:pPr>
              <w:jc w:val="right"/>
              <w:textAlignment w:val="bottom"/>
            </w:pPr>
            <w:r>
              <w:rPr>
                <w:rFonts w:ascii="Arial" w:eastAsia="宋体" w:hAnsi="Arial" w:cs="Arial"/>
                <w:b/>
                <w:bCs/>
                <w:color w:val="000000"/>
                <w:sz w:val="20"/>
                <w:szCs w:val="20"/>
              </w:rPr>
              <w:t>%</w:t>
            </w:r>
          </w:p>
        </w:tc>
        <w:tc>
          <w:tcPr>
            <w:tcW w:w="0" w:type="auto"/>
            <w:gridSpan w:val="3"/>
            <w:tcBorders>
              <w:top w:val="double" w:sz="6" w:space="0" w:color="000000"/>
            </w:tcBorders>
            <w:shd w:val="clear" w:color="auto" w:fill="CCEEFF"/>
            <w:tcMar>
              <w:top w:w="0" w:type="dxa"/>
              <w:left w:w="20" w:type="dxa"/>
              <w:bottom w:w="0" w:type="dxa"/>
              <w:right w:w="20" w:type="dxa"/>
            </w:tcMar>
          </w:tcPr>
          <w:p w14:paraId="4090FC3F" w14:textId="77777777" w:rsidR="00833634" w:rsidRDefault="00833634">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4090FC40" w14:textId="77777777" w:rsidR="00833634" w:rsidRDefault="00E15D51">
            <w:pPr>
              <w:jc w:val="right"/>
              <w:textAlignment w:val="bottom"/>
            </w:pPr>
            <w:r>
              <w:rPr>
                <w:rFonts w:ascii="Arial" w:eastAsia="宋体" w:hAnsi="Arial" w:cs="Arial"/>
                <w:color w:val="000000"/>
                <w:sz w:val="20"/>
                <w:szCs w:val="20"/>
              </w:rPr>
              <w:t>4.5 </w:t>
            </w:r>
          </w:p>
        </w:tc>
        <w:tc>
          <w:tcPr>
            <w:tcW w:w="0" w:type="auto"/>
            <w:tcBorders>
              <w:top w:val="double" w:sz="6" w:space="0" w:color="000000"/>
            </w:tcBorders>
            <w:shd w:val="clear" w:color="auto" w:fill="CCEEFF"/>
            <w:tcMar>
              <w:top w:w="40" w:type="dxa"/>
              <w:left w:w="0" w:type="dxa"/>
              <w:bottom w:w="40" w:type="dxa"/>
              <w:right w:w="20" w:type="dxa"/>
            </w:tcMar>
            <w:vAlign w:val="bottom"/>
          </w:tcPr>
          <w:p w14:paraId="4090FC41" w14:textId="77777777" w:rsidR="00833634" w:rsidRDefault="00E15D51">
            <w:pPr>
              <w:jc w:val="right"/>
              <w:textAlignment w:val="bottom"/>
            </w:pPr>
            <w:r>
              <w:rPr>
                <w:rFonts w:ascii="Arial" w:eastAsia="宋体" w:hAnsi="Arial" w:cs="Arial"/>
                <w:color w:val="000000"/>
                <w:sz w:val="20"/>
                <w:szCs w:val="20"/>
              </w:rPr>
              <w:t>%</w:t>
            </w:r>
          </w:p>
        </w:tc>
      </w:tr>
      <w:tr w:rsidR="00833634" w14:paraId="4090FC4B" w14:textId="77777777">
        <w:trPr>
          <w:trHeight w:val="180"/>
        </w:trPr>
        <w:tc>
          <w:tcPr>
            <w:tcW w:w="0" w:type="auto"/>
            <w:gridSpan w:val="3"/>
            <w:tcBorders>
              <w:top w:val="double" w:sz="6" w:space="0" w:color="000000"/>
            </w:tcBorders>
            <w:shd w:val="clear" w:color="auto" w:fill="FFFFFF"/>
            <w:tcMar>
              <w:top w:w="0" w:type="dxa"/>
              <w:left w:w="20" w:type="dxa"/>
              <w:bottom w:w="0" w:type="dxa"/>
              <w:right w:w="20" w:type="dxa"/>
            </w:tcMar>
          </w:tcPr>
          <w:p w14:paraId="4090FC43"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44"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45"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46"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47"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48"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49"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4A" w14:textId="77777777" w:rsidR="00833634" w:rsidRDefault="00833634">
            <w:pPr>
              <w:rPr>
                <w:rFonts w:ascii="宋体"/>
              </w:rPr>
            </w:pPr>
          </w:p>
        </w:tc>
      </w:tr>
      <w:tr w:rsidR="00833634" w14:paraId="4090FC58" w14:textId="77777777">
        <w:tc>
          <w:tcPr>
            <w:tcW w:w="0" w:type="auto"/>
            <w:gridSpan w:val="3"/>
            <w:shd w:val="clear" w:color="auto" w:fill="CCEEFF"/>
            <w:tcMar>
              <w:top w:w="40" w:type="dxa"/>
              <w:left w:w="20" w:type="dxa"/>
              <w:bottom w:w="40" w:type="dxa"/>
              <w:right w:w="20" w:type="dxa"/>
            </w:tcMar>
            <w:vAlign w:val="bottom"/>
          </w:tcPr>
          <w:p w14:paraId="4090FC4C" w14:textId="77777777" w:rsidR="00833634" w:rsidRDefault="00E15D51">
            <w:pPr>
              <w:textAlignment w:val="bottom"/>
            </w:pPr>
            <w:r>
              <w:rPr>
                <w:rFonts w:ascii="Arial" w:eastAsia="宋体" w:hAnsi="Arial" w:cs="Arial"/>
                <w:color w:val="000000"/>
                <w:sz w:val="20"/>
                <w:szCs w:val="20"/>
              </w:rPr>
              <w:t>Diluted (loss)/earnings per share, as reported</w:t>
            </w:r>
          </w:p>
        </w:tc>
        <w:tc>
          <w:tcPr>
            <w:tcW w:w="0" w:type="auto"/>
            <w:gridSpan w:val="2"/>
            <w:shd w:val="clear" w:color="auto" w:fill="CCEEFF"/>
            <w:tcMar>
              <w:top w:w="40" w:type="dxa"/>
              <w:left w:w="20" w:type="dxa"/>
              <w:bottom w:w="40" w:type="dxa"/>
              <w:right w:w="0" w:type="dxa"/>
            </w:tcMar>
            <w:vAlign w:val="bottom"/>
          </w:tcPr>
          <w:p w14:paraId="4090FC4D" w14:textId="77777777" w:rsidR="00833634" w:rsidRDefault="00E15D51">
            <w:pPr>
              <w:jc w:val="right"/>
              <w:textAlignment w:val="bottom"/>
            </w:pPr>
            <w:r>
              <w:rPr>
                <w:rFonts w:ascii="Arial" w:eastAsia="宋体" w:hAnsi="Arial" w:cs="Arial"/>
                <w:b/>
                <w:bCs/>
                <w:color w:val="000000"/>
                <w:sz w:val="20"/>
                <w:szCs w:val="20"/>
              </w:rPr>
              <w:t>($6.10)</w:t>
            </w:r>
          </w:p>
        </w:tc>
        <w:tc>
          <w:tcPr>
            <w:tcW w:w="0" w:type="auto"/>
            <w:shd w:val="clear" w:color="auto" w:fill="CCEEFF"/>
            <w:tcMar>
              <w:top w:w="40" w:type="dxa"/>
              <w:left w:w="0" w:type="dxa"/>
              <w:bottom w:w="40" w:type="dxa"/>
              <w:right w:w="20" w:type="dxa"/>
            </w:tcMar>
            <w:vAlign w:val="bottom"/>
          </w:tcPr>
          <w:p w14:paraId="4090FC4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4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50" w14:textId="77777777" w:rsidR="00833634" w:rsidRDefault="00E15D51">
            <w:pPr>
              <w:jc w:val="right"/>
              <w:textAlignment w:val="bottom"/>
            </w:pPr>
            <w:r>
              <w:rPr>
                <w:rFonts w:ascii="Arial" w:eastAsia="宋体" w:hAnsi="Arial" w:cs="Arial"/>
                <w:color w:val="000000"/>
                <w:sz w:val="20"/>
                <w:szCs w:val="20"/>
              </w:rPr>
              <w:t>$0.66 </w:t>
            </w:r>
          </w:p>
        </w:tc>
        <w:tc>
          <w:tcPr>
            <w:tcW w:w="0" w:type="auto"/>
            <w:shd w:val="clear" w:color="auto" w:fill="CCEEFF"/>
            <w:tcMar>
              <w:top w:w="40" w:type="dxa"/>
              <w:left w:w="0" w:type="dxa"/>
              <w:bottom w:w="40" w:type="dxa"/>
              <w:right w:w="20" w:type="dxa"/>
            </w:tcMar>
            <w:vAlign w:val="bottom"/>
          </w:tcPr>
          <w:p w14:paraId="4090FC51"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52"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53" w14:textId="77777777" w:rsidR="00833634" w:rsidRDefault="00E15D51">
            <w:pPr>
              <w:jc w:val="right"/>
              <w:textAlignment w:val="bottom"/>
            </w:pPr>
            <w:r>
              <w:rPr>
                <w:rFonts w:ascii="Arial" w:eastAsia="宋体" w:hAnsi="Arial" w:cs="Arial"/>
                <w:b/>
                <w:bCs/>
                <w:color w:val="000000"/>
                <w:sz w:val="20"/>
                <w:szCs w:val="20"/>
              </w:rPr>
              <w:t>($0.79)</w:t>
            </w:r>
          </w:p>
        </w:tc>
        <w:tc>
          <w:tcPr>
            <w:tcW w:w="0" w:type="auto"/>
            <w:shd w:val="clear" w:color="auto" w:fill="CCEEFF"/>
            <w:tcMar>
              <w:top w:w="40" w:type="dxa"/>
              <w:left w:w="0" w:type="dxa"/>
              <w:bottom w:w="40" w:type="dxa"/>
              <w:right w:w="20" w:type="dxa"/>
            </w:tcMar>
            <w:vAlign w:val="bottom"/>
          </w:tcPr>
          <w:p w14:paraId="4090FC54"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55"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56" w14:textId="77777777" w:rsidR="00833634" w:rsidRDefault="00E15D51">
            <w:pPr>
              <w:jc w:val="right"/>
              <w:textAlignment w:val="bottom"/>
            </w:pPr>
            <w:r>
              <w:rPr>
                <w:rFonts w:ascii="Arial" w:eastAsia="宋体" w:hAnsi="Arial" w:cs="Arial"/>
                <w:color w:val="000000"/>
                <w:sz w:val="20"/>
                <w:szCs w:val="20"/>
              </w:rPr>
              <w:t>$2.05 </w:t>
            </w:r>
          </w:p>
        </w:tc>
        <w:tc>
          <w:tcPr>
            <w:tcW w:w="0" w:type="auto"/>
            <w:shd w:val="clear" w:color="auto" w:fill="CCEEFF"/>
            <w:tcMar>
              <w:top w:w="40" w:type="dxa"/>
              <w:left w:w="0" w:type="dxa"/>
              <w:bottom w:w="40" w:type="dxa"/>
              <w:right w:w="20" w:type="dxa"/>
            </w:tcMar>
            <w:vAlign w:val="bottom"/>
          </w:tcPr>
          <w:p w14:paraId="4090FC57" w14:textId="77777777" w:rsidR="00833634" w:rsidRDefault="00833634">
            <w:pPr>
              <w:jc w:val="right"/>
              <w:rPr>
                <w:rFonts w:ascii="宋体"/>
              </w:rPr>
            </w:pPr>
          </w:p>
        </w:tc>
      </w:tr>
      <w:tr w:rsidR="00833634" w14:paraId="4090FC65" w14:textId="77777777">
        <w:tc>
          <w:tcPr>
            <w:tcW w:w="0" w:type="auto"/>
            <w:gridSpan w:val="3"/>
            <w:shd w:val="clear" w:color="auto" w:fill="FFFFFF"/>
            <w:tcMar>
              <w:top w:w="40" w:type="dxa"/>
              <w:left w:w="20" w:type="dxa"/>
              <w:bottom w:w="40" w:type="dxa"/>
              <w:right w:w="20" w:type="dxa"/>
            </w:tcMar>
            <w:vAlign w:val="bottom"/>
          </w:tcPr>
          <w:p w14:paraId="4090FC59" w14:textId="77777777" w:rsidR="00833634" w:rsidRDefault="00E15D51">
            <w:pPr>
              <w:textAlignment w:val="bottom"/>
            </w:pPr>
            <w:r>
              <w:rPr>
                <w:rFonts w:ascii="Arial" w:eastAsia="宋体" w:hAnsi="Arial" w:cs="Arial"/>
                <w:color w:val="000000"/>
                <w:sz w:val="20"/>
                <w:szCs w:val="20"/>
              </w:rPr>
              <w:t>Pension FAS/CAS service cost adjustment</w:t>
            </w:r>
            <w:r>
              <w:rPr>
                <w:rFonts w:ascii="Arial" w:eastAsia="宋体" w:hAnsi="Arial" w:cs="Arial"/>
                <w:color w:val="000000"/>
                <w:sz w:val="13"/>
                <w:szCs w:val="13"/>
              </w:rPr>
              <w:t xml:space="preserve"> (1)</w:t>
            </w:r>
          </w:p>
        </w:tc>
        <w:tc>
          <w:tcPr>
            <w:tcW w:w="0" w:type="auto"/>
            <w:gridSpan w:val="2"/>
            <w:shd w:val="clear" w:color="auto" w:fill="FFFFFF"/>
            <w:tcMar>
              <w:top w:w="40" w:type="dxa"/>
              <w:left w:w="20" w:type="dxa"/>
              <w:bottom w:w="40" w:type="dxa"/>
              <w:right w:w="0" w:type="dxa"/>
            </w:tcMar>
            <w:vAlign w:val="bottom"/>
          </w:tcPr>
          <w:p w14:paraId="4090FC5A" w14:textId="77777777" w:rsidR="00833634" w:rsidRDefault="00E15D51">
            <w:pPr>
              <w:jc w:val="right"/>
              <w:textAlignment w:val="bottom"/>
            </w:pPr>
            <w:r>
              <w:rPr>
                <w:rFonts w:ascii="Arial" w:eastAsia="宋体" w:hAnsi="Arial" w:cs="Arial"/>
                <w:b/>
                <w:bCs/>
                <w:color w:val="000000"/>
                <w:sz w:val="20"/>
                <w:szCs w:val="20"/>
              </w:rPr>
              <w:t>(1.36)</w:t>
            </w:r>
          </w:p>
        </w:tc>
        <w:tc>
          <w:tcPr>
            <w:tcW w:w="0" w:type="auto"/>
            <w:shd w:val="clear" w:color="auto" w:fill="FFFFFF"/>
            <w:tcMar>
              <w:top w:w="40" w:type="dxa"/>
              <w:left w:w="0" w:type="dxa"/>
              <w:bottom w:w="40" w:type="dxa"/>
              <w:right w:w="20" w:type="dxa"/>
            </w:tcMar>
            <w:vAlign w:val="bottom"/>
          </w:tcPr>
          <w:p w14:paraId="4090FC5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5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5D" w14:textId="77777777" w:rsidR="00833634" w:rsidRDefault="00E15D51">
            <w:pPr>
              <w:jc w:val="right"/>
              <w:textAlignment w:val="bottom"/>
            </w:pPr>
            <w:r>
              <w:rPr>
                <w:rFonts w:ascii="Arial" w:eastAsia="宋体" w:hAnsi="Arial" w:cs="Arial"/>
                <w:color w:val="000000"/>
                <w:sz w:val="20"/>
                <w:szCs w:val="20"/>
              </w:rPr>
              <w:t>(1.45)</w:t>
            </w:r>
          </w:p>
        </w:tc>
        <w:tc>
          <w:tcPr>
            <w:tcW w:w="0" w:type="auto"/>
            <w:shd w:val="clear" w:color="auto" w:fill="FFFFFF"/>
            <w:tcMar>
              <w:top w:w="40" w:type="dxa"/>
              <w:left w:w="0" w:type="dxa"/>
              <w:bottom w:w="40" w:type="dxa"/>
              <w:right w:w="20" w:type="dxa"/>
            </w:tcMar>
            <w:vAlign w:val="bottom"/>
          </w:tcPr>
          <w:p w14:paraId="4090FC5E"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5F"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60" w14:textId="77777777" w:rsidR="00833634" w:rsidRDefault="00E15D51">
            <w:pPr>
              <w:jc w:val="right"/>
              <w:textAlignment w:val="bottom"/>
            </w:pPr>
            <w:r>
              <w:rPr>
                <w:rFonts w:ascii="Arial" w:eastAsia="宋体" w:hAnsi="Arial" w:cs="Arial"/>
                <w:b/>
                <w:bCs/>
                <w:color w:val="000000"/>
                <w:sz w:val="20"/>
                <w:szCs w:val="20"/>
              </w:rPr>
              <w:t>(0.46)</w:t>
            </w:r>
          </w:p>
        </w:tc>
        <w:tc>
          <w:tcPr>
            <w:tcW w:w="0" w:type="auto"/>
            <w:shd w:val="clear" w:color="auto" w:fill="FFFFFF"/>
            <w:tcMar>
              <w:top w:w="40" w:type="dxa"/>
              <w:left w:w="0" w:type="dxa"/>
              <w:bottom w:w="40" w:type="dxa"/>
              <w:right w:w="20" w:type="dxa"/>
            </w:tcMar>
            <w:vAlign w:val="bottom"/>
          </w:tcPr>
          <w:p w14:paraId="4090FC61"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62"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63" w14:textId="77777777" w:rsidR="00833634" w:rsidRDefault="00E15D51">
            <w:pPr>
              <w:jc w:val="right"/>
              <w:textAlignment w:val="bottom"/>
            </w:pPr>
            <w:r>
              <w:rPr>
                <w:rFonts w:ascii="Arial" w:eastAsia="宋体" w:hAnsi="Arial" w:cs="Arial"/>
                <w:color w:val="000000"/>
                <w:sz w:val="20"/>
                <w:szCs w:val="20"/>
              </w:rPr>
              <w:t>(0.48)</w:t>
            </w:r>
          </w:p>
        </w:tc>
        <w:tc>
          <w:tcPr>
            <w:tcW w:w="0" w:type="auto"/>
            <w:shd w:val="clear" w:color="auto" w:fill="FFFFFF"/>
            <w:tcMar>
              <w:top w:w="40" w:type="dxa"/>
              <w:left w:w="0" w:type="dxa"/>
              <w:bottom w:w="40" w:type="dxa"/>
              <w:right w:w="20" w:type="dxa"/>
            </w:tcMar>
            <w:vAlign w:val="bottom"/>
          </w:tcPr>
          <w:p w14:paraId="4090FC64" w14:textId="77777777" w:rsidR="00833634" w:rsidRDefault="00833634">
            <w:pPr>
              <w:jc w:val="right"/>
              <w:rPr>
                <w:rFonts w:ascii="宋体"/>
              </w:rPr>
            </w:pPr>
          </w:p>
        </w:tc>
      </w:tr>
      <w:tr w:rsidR="00833634" w14:paraId="4090FC72" w14:textId="77777777">
        <w:tc>
          <w:tcPr>
            <w:tcW w:w="0" w:type="auto"/>
            <w:gridSpan w:val="3"/>
            <w:shd w:val="clear" w:color="auto" w:fill="CCEEFF"/>
            <w:tcMar>
              <w:top w:w="40" w:type="dxa"/>
              <w:left w:w="20" w:type="dxa"/>
              <w:bottom w:w="40" w:type="dxa"/>
              <w:right w:w="20" w:type="dxa"/>
            </w:tcMar>
            <w:vAlign w:val="bottom"/>
          </w:tcPr>
          <w:p w14:paraId="4090FC66" w14:textId="77777777" w:rsidR="00833634" w:rsidRDefault="00E15D51">
            <w:pPr>
              <w:textAlignment w:val="bottom"/>
            </w:pPr>
            <w:r>
              <w:rPr>
                <w:rFonts w:ascii="Arial" w:eastAsia="宋体" w:hAnsi="Arial" w:cs="Arial"/>
                <w:color w:val="000000"/>
                <w:sz w:val="20"/>
                <w:szCs w:val="20"/>
              </w:rPr>
              <w:t>Postretirement FAS/CAS service cost adjustment</w:t>
            </w:r>
            <w:r>
              <w:rPr>
                <w:rFonts w:ascii="Arial" w:eastAsia="宋体" w:hAnsi="Arial" w:cs="Arial"/>
                <w:color w:val="000000"/>
                <w:sz w:val="13"/>
                <w:szCs w:val="13"/>
              </w:rPr>
              <w:t xml:space="preserve"> (1)</w:t>
            </w:r>
          </w:p>
        </w:tc>
        <w:tc>
          <w:tcPr>
            <w:tcW w:w="0" w:type="auto"/>
            <w:gridSpan w:val="2"/>
            <w:shd w:val="clear" w:color="auto" w:fill="CCEEFF"/>
            <w:tcMar>
              <w:top w:w="40" w:type="dxa"/>
              <w:left w:w="20" w:type="dxa"/>
              <w:bottom w:w="40" w:type="dxa"/>
              <w:right w:w="0" w:type="dxa"/>
            </w:tcMar>
            <w:vAlign w:val="bottom"/>
          </w:tcPr>
          <w:p w14:paraId="4090FC67" w14:textId="77777777" w:rsidR="00833634" w:rsidRDefault="00E15D51">
            <w:pPr>
              <w:jc w:val="right"/>
              <w:textAlignment w:val="bottom"/>
            </w:pPr>
            <w:r>
              <w:rPr>
                <w:rFonts w:ascii="Arial" w:eastAsia="宋体" w:hAnsi="Arial" w:cs="Arial"/>
                <w:b/>
                <w:bCs/>
                <w:color w:val="000000"/>
                <w:sz w:val="20"/>
                <w:szCs w:val="20"/>
              </w:rPr>
              <w:t>(0.50)</w:t>
            </w:r>
          </w:p>
        </w:tc>
        <w:tc>
          <w:tcPr>
            <w:tcW w:w="0" w:type="auto"/>
            <w:shd w:val="clear" w:color="auto" w:fill="CCEEFF"/>
            <w:tcMar>
              <w:top w:w="40" w:type="dxa"/>
              <w:left w:w="0" w:type="dxa"/>
              <w:bottom w:w="40" w:type="dxa"/>
              <w:right w:w="20" w:type="dxa"/>
            </w:tcMar>
            <w:vAlign w:val="bottom"/>
          </w:tcPr>
          <w:p w14:paraId="4090FC6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6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6A" w14:textId="77777777" w:rsidR="00833634" w:rsidRDefault="00E15D51">
            <w:pPr>
              <w:jc w:val="right"/>
              <w:textAlignment w:val="bottom"/>
            </w:pPr>
            <w:r>
              <w:rPr>
                <w:rFonts w:ascii="Arial" w:eastAsia="宋体" w:hAnsi="Arial" w:cs="Arial"/>
                <w:color w:val="000000"/>
                <w:sz w:val="20"/>
                <w:szCs w:val="20"/>
              </w:rPr>
              <w:t>(0.47)</w:t>
            </w:r>
          </w:p>
        </w:tc>
        <w:tc>
          <w:tcPr>
            <w:tcW w:w="0" w:type="auto"/>
            <w:shd w:val="clear" w:color="auto" w:fill="CCEEFF"/>
            <w:tcMar>
              <w:top w:w="40" w:type="dxa"/>
              <w:left w:w="0" w:type="dxa"/>
              <w:bottom w:w="40" w:type="dxa"/>
              <w:right w:w="20" w:type="dxa"/>
            </w:tcMar>
            <w:vAlign w:val="bottom"/>
          </w:tcPr>
          <w:p w14:paraId="4090FC6B"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6C"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6D" w14:textId="77777777" w:rsidR="00833634" w:rsidRDefault="00E15D51">
            <w:pPr>
              <w:jc w:val="right"/>
              <w:textAlignment w:val="bottom"/>
            </w:pPr>
            <w:r>
              <w:rPr>
                <w:rFonts w:ascii="Arial" w:eastAsia="宋体" w:hAnsi="Arial" w:cs="Arial"/>
                <w:b/>
                <w:bCs/>
                <w:color w:val="000000"/>
                <w:sz w:val="20"/>
                <w:szCs w:val="20"/>
              </w:rPr>
              <w:t>(0.16)</w:t>
            </w:r>
          </w:p>
        </w:tc>
        <w:tc>
          <w:tcPr>
            <w:tcW w:w="0" w:type="auto"/>
            <w:shd w:val="clear" w:color="auto" w:fill="CCEEFF"/>
            <w:tcMar>
              <w:top w:w="40" w:type="dxa"/>
              <w:left w:w="0" w:type="dxa"/>
              <w:bottom w:w="40" w:type="dxa"/>
              <w:right w:w="20" w:type="dxa"/>
            </w:tcMar>
            <w:vAlign w:val="bottom"/>
          </w:tcPr>
          <w:p w14:paraId="4090FC6E"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6F"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70" w14:textId="77777777" w:rsidR="00833634" w:rsidRDefault="00E15D51">
            <w:pPr>
              <w:jc w:val="right"/>
              <w:textAlignment w:val="bottom"/>
            </w:pPr>
            <w:r>
              <w:rPr>
                <w:rFonts w:ascii="Arial" w:eastAsia="宋体" w:hAnsi="Arial" w:cs="Arial"/>
                <w:color w:val="000000"/>
                <w:sz w:val="20"/>
                <w:szCs w:val="20"/>
              </w:rPr>
              <w:t>(0.16)</w:t>
            </w:r>
          </w:p>
        </w:tc>
        <w:tc>
          <w:tcPr>
            <w:tcW w:w="0" w:type="auto"/>
            <w:shd w:val="clear" w:color="auto" w:fill="CCEEFF"/>
            <w:tcMar>
              <w:top w:w="40" w:type="dxa"/>
              <w:left w:w="0" w:type="dxa"/>
              <w:bottom w:w="40" w:type="dxa"/>
              <w:right w:w="20" w:type="dxa"/>
            </w:tcMar>
            <w:vAlign w:val="bottom"/>
          </w:tcPr>
          <w:p w14:paraId="4090FC71" w14:textId="77777777" w:rsidR="00833634" w:rsidRDefault="00833634">
            <w:pPr>
              <w:jc w:val="right"/>
              <w:rPr>
                <w:rFonts w:ascii="宋体"/>
              </w:rPr>
            </w:pPr>
          </w:p>
        </w:tc>
      </w:tr>
      <w:tr w:rsidR="00833634" w14:paraId="4090FC7F" w14:textId="77777777">
        <w:tc>
          <w:tcPr>
            <w:tcW w:w="0" w:type="auto"/>
            <w:gridSpan w:val="3"/>
            <w:shd w:val="clear" w:color="auto" w:fill="FFFFFF"/>
            <w:tcMar>
              <w:top w:w="40" w:type="dxa"/>
              <w:left w:w="20" w:type="dxa"/>
              <w:bottom w:w="40" w:type="dxa"/>
              <w:right w:w="20" w:type="dxa"/>
            </w:tcMar>
            <w:vAlign w:val="bottom"/>
          </w:tcPr>
          <w:p w14:paraId="4090FC73" w14:textId="77777777" w:rsidR="00833634" w:rsidRDefault="00E15D51">
            <w:pPr>
              <w:textAlignment w:val="bottom"/>
            </w:pPr>
            <w:r>
              <w:rPr>
                <w:rFonts w:ascii="Arial" w:eastAsia="宋体" w:hAnsi="Arial" w:cs="Arial"/>
                <w:color w:val="000000"/>
                <w:sz w:val="20"/>
                <w:szCs w:val="20"/>
              </w:rPr>
              <w:t>Non-operating pension expense</w:t>
            </w:r>
            <w:r>
              <w:rPr>
                <w:rFonts w:ascii="Arial" w:eastAsia="宋体" w:hAnsi="Arial" w:cs="Arial"/>
                <w:color w:val="000000"/>
                <w:sz w:val="13"/>
                <w:szCs w:val="13"/>
              </w:rPr>
              <w:t xml:space="preserve"> (2)</w:t>
            </w:r>
          </w:p>
        </w:tc>
        <w:tc>
          <w:tcPr>
            <w:tcW w:w="0" w:type="auto"/>
            <w:gridSpan w:val="2"/>
            <w:shd w:val="clear" w:color="auto" w:fill="FFFFFF"/>
            <w:tcMar>
              <w:top w:w="40" w:type="dxa"/>
              <w:left w:w="20" w:type="dxa"/>
              <w:bottom w:w="40" w:type="dxa"/>
              <w:right w:w="0" w:type="dxa"/>
            </w:tcMar>
            <w:vAlign w:val="bottom"/>
          </w:tcPr>
          <w:p w14:paraId="4090FC74" w14:textId="77777777" w:rsidR="00833634" w:rsidRDefault="00E15D51">
            <w:pPr>
              <w:jc w:val="right"/>
              <w:textAlignment w:val="bottom"/>
            </w:pPr>
            <w:r>
              <w:rPr>
                <w:rFonts w:ascii="Arial" w:eastAsia="宋体" w:hAnsi="Arial" w:cs="Arial"/>
                <w:b/>
                <w:bCs/>
                <w:color w:val="000000"/>
                <w:sz w:val="20"/>
                <w:szCs w:val="20"/>
              </w:rPr>
              <w:t>(0.46)</w:t>
            </w:r>
          </w:p>
        </w:tc>
        <w:tc>
          <w:tcPr>
            <w:tcW w:w="0" w:type="auto"/>
            <w:shd w:val="clear" w:color="auto" w:fill="FFFFFF"/>
            <w:tcMar>
              <w:top w:w="40" w:type="dxa"/>
              <w:left w:w="0" w:type="dxa"/>
              <w:bottom w:w="40" w:type="dxa"/>
              <w:right w:w="20" w:type="dxa"/>
            </w:tcMar>
            <w:vAlign w:val="bottom"/>
          </w:tcPr>
          <w:p w14:paraId="4090FC7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7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77" w14:textId="77777777" w:rsidR="00833634" w:rsidRDefault="00E15D51">
            <w:pPr>
              <w:jc w:val="right"/>
              <w:textAlignment w:val="bottom"/>
            </w:pPr>
            <w:r>
              <w:rPr>
                <w:rFonts w:ascii="Arial" w:eastAsia="宋体" w:hAnsi="Arial" w:cs="Arial"/>
                <w:color w:val="000000"/>
                <w:sz w:val="20"/>
                <w:szCs w:val="20"/>
              </w:rPr>
              <w:t>(0.49)</w:t>
            </w:r>
          </w:p>
        </w:tc>
        <w:tc>
          <w:tcPr>
            <w:tcW w:w="0" w:type="auto"/>
            <w:shd w:val="clear" w:color="auto" w:fill="FFFFFF"/>
            <w:tcMar>
              <w:top w:w="40" w:type="dxa"/>
              <w:left w:w="0" w:type="dxa"/>
              <w:bottom w:w="40" w:type="dxa"/>
              <w:right w:w="20" w:type="dxa"/>
            </w:tcMar>
            <w:vAlign w:val="bottom"/>
          </w:tcPr>
          <w:p w14:paraId="4090FC7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7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7A" w14:textId="77777777" w:rsidR="00833634" w:rsidRDefault="00E15D51">
            <w:pPr>
              <w:jc w:val="right"/>
              <w:textAlignment w:val="bottom"/>
            </w:pPr>
            <w:r>
              <w:rPr>
                <w:rFonts w:ascii="Arial" w:eastAsia="宋体" w:hAnsi="Arial" w:cs="Arial"/>
                <w:b/>
                <w:bCs/>
                <w:color w:val="000000"/>
                <w:sz w:val="20"/>
                <w:szCs w:val="20"/>
              </w:rPr>
              <w:t>(0.16)</w:t>
            </w:r>
          </w:p>
        </w:tc>
        <w:tc>
          <w:tcPr>
            <w:tcW w:w="0" w:type="auto"/>
            <w:shd w:val="clear" w:color="auto" w:fill="FFFFFF"/>
            <w:tcMar>
              <w:top w:w="40" w:type="dxa"/>
              <w:left w:w="0" w:type="dxa"/>
              <w:bottom w:w="40" w:type="dxa"/>
              <w:right w:w="20" w:type="dxa"/>
            </w:tcMar>
            <w:vAlign w:val="bottom"/>
          </w:tcPr>
          <w:p w14:paraId="4090FC7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7C"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7D" w14:textId="77777777" w:rsidR="00833634" w:rsidRDefault="00E15D51">
            <w:pPr>
              <w:jc w:val="right"/>
              <w:textAlignment w:val="bottom"/>
            </w:pPr>
            <w:r>
              <w:rPr>
                <w:rFonts w:ascii="Arial" w:eastAsia="宋体" w:hAnsi="Arial" w:cs="Arial"/>
                <w:color w:val="000000"/>
                <w:sz w:val="20"/>
                <w:szCs w:val="20"/>
              </w:rPr>
              <w:t>(0.17)</w:t>
            </w:r>
          </w:p>
        </w:tc>
        <w:tc>
          <w:tcPr>
            <w:tcW w:w="0" w:type="auto"/>
            <w:shd w:val="clear" w:color="auto" w:fill="FFFFFF"/>
            <w:tcMar>
              <w:top w:w="40" w:type="dxa"/>
              <w:left w:w="0" w:type="dxa"/>
              <w:bottom w:w="40" w:type="dxa"/>
              <w:right w:w="20" w:type="dxa"/>
            </w:tcMar>
            <w:vAlign w:val="bottom"/>
          </w:tcPr>
          <w:p w14:paraId="4090FC7E" w14:textId="77777777" w:rsidR="00833634" w:rsidRDefault="00833634">
            <w:pPr>
              <w:jc w:val="right"/>
              <w:rPr>
                <w:rFonts w:ascii="宋体"/>
              </w:rPr>
            </w:pPr>
          </w:p>
        </w:tc>
      </w:tr>
      <w:tr w:rsidR="00833634" w14:paraId="4090FC8C" w14:textId="77777777">
        <w:tc>
          <w:tcPr>
            <w:tcW w:w="0" w:type="auto"/>
            <w:gridSpan w:val="3"/>
            <w:shd w:val="clear" w:color="auto" w:fill="CCEEFF"/>
            <w:tcMar>
              <w:top w:w="40" w:type="dxa"/>
              <w:left w:w="20" w:type="dxa"/>
              <w:bottom w:w="40" w:type="dxa"/>
              <w:right w:w="20" w:type="dxa"/>
            </w:tcMar>
            <w:vAlign w:val="bottom"/>
          </w:tcPr>
          <w:p w14:paraId="4090FC80" w14:textId="77777777" w:rsidR="00833634" w:rsidRDefault="00E15D51">
            <w:pPr>
              <w:textAlignment w:val="bottom"/>
            </w:pPr>
            <w:r>
              <w:rPr>
                <w:rFonts w:ascii="Arial" w:eastAsia="宋体" w:hAnsi="Arial" w:cs="Arial"/>
                <w:color w:val="000000"/>
                <w:sz w:val="20"/>
                <w:szCs w:val="20"/>
              </w:rPr>
              <w:t xml:space="preserve">Non-operating postretirement expense </w:t>
            </w:r>
            <w:r>
              <w:rPr>
                <w:rFonts w:ascii="Arial" w:eastAsia="宋体" w:hAnsi="Arial" w:cs="Arial"/>
                <w:color w:val="000000"/>
                <w:sz w:val="13"/>
                <w:szCs w:val="13"/>
              </w:rPr>
              <w:t>(2)</w:t>
            </w:r>
          </w:p>
        </w:tc>
        <w:tc>
          <w:tcPr>
            <w:tcW w:w="0" w:type="auto"/>
            <w:gridSpan w:val="2"/>
            <w:shd w:val="clear" w:color="auto" w:fill="CCEEFF"/>
            <w:tcMar>
              <w:top w:w="40" w:type="dxa"/>
              <w:left w:w="20" w:type="dxa"/>
              <w:bottom w:w="40" w:type="dxa"/>
              <w:right w:w="0" w:type="dxa"/>
            </w:tcMar>
            <w:vAlign w:val="bottom"/>
          </w:tcPr>
          <w:p w14:paraId="4090FC81" w14:textId="77777777" w:rsidR="00833634" w:rsidRDefault="00E15D51">
            <w:pPr>
              <w:jc w:val="right"/>
              <w:textAlignment w:val="bottom"/>
            </w:pPr>
            <w:r>
              <w:rPr>
                <w:rFonts w:ascii="Arial" w:eastAsia="宋体" w:hAnsi="Arial" w:cs="Arial"/>
                <w:b/>
                <w:bCs/>
                <w:color w:val="000000"/>
                <w:sz w:val="20"/>
                <w:szCs w:val="20"/>
              </w:rPr>
              <w:t>0.07</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C82"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83"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84" w14:textId="77777777" w:rsidR="00833634" w:rsidRDefault="00E15D51">
            <w:pPr>
              <w:jc w:val="right"/>
              <w:textAlignment w:val="bottom"/>
            </w:pPr>
            <w:r>
              <w:rPr>
                <w:rFonts w:ascii="Arial" w:eastAsia="宋体" w:hAnsi="Arial" w:cs="Arial"/>
                <w:color w:val="000000"/>
                <w:sz w:val="20"/>
                <w:szCs w:val="20"/>
              </w:rPr>
              <w:t>0.14 </w:t>
            </w:r>
          </w:p>
        </w:tc>
        <w:tc>
          <w:tcPr>
            <w:tcW w:w="0" w:type="auto"/>
            <w:shd w:val="clear" w:color="auto" w:fill="CCEEFF"/>
            <w:tcMar>
              <w:top w:w="40" w:type="dxa"/>
              <w:left w:w="0" w:type="dxa"/>
              <w:bottom w:w="40" w:type="dxa"/>
              <w:right w:w="20" w:type="dxa"/>
            </w:tcMar>
            <w:vAlign w:val="bottom"/>
          </w:tcPr>
          <w:p w14:paraId="4090FC85"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86"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87" w14:textId="77777777" w:rsidR="00833634" w:rsidRDefault="00E15D51">
            <w:pPr>
              <w:jc w:val="right"/>
              <w:textAlignment w:val="bottom"/>
            </w:pPr>
            <w:r>
              <w:rPr>
                <w:rFonts w:ascii="Arial" w:eastAsia="宋体" w:hAnsi="Arial" w:cs="Arial"/>
                <w:b/>
                <w:bCs/>
                <w:color w:val="000000"/>
                <w:sz w:val="20"/>
                <w:szCs w:val="20"/>
              </w:rPr>
              <w:t>0.02</w:t>
            </w:r>
            <w:r>
              <w:rPr>
                <w:rFonts w:ascii="Arial" w:eastAsia="宋体" w:hAnsi="Arial" w:cs="Arial"/>
                <w:color w:val="000000"/>
                <w:sz w:val="20"/>
                <w:szCs w:val="20"/>
              </w:rPr>
              <w:t> </w:t>
            </w:r>
          </w:p>
        </w:tc>
        <w:tc>
          <w:tcPr>
            <w:tcW w:w="0" w:type="auto"/>
            <w:shd w:val="clear" w:color="auto" w:fill="CCEEFF"/>
            <w:tcMar>
              <w:top w:w="40" w:type="dxa"/>
              <w:left w:w="0" w:type="dxa"/>
              <w:bottom w:w="40" w:type="dxa"/>
              <w:right w:w="20" w:type="dxa"/>
            </w:tcMar>
            <w:vAlign w:val="bottom"/>
          </w:tcPr>
          <w:p w14:paraId="4090FC88"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C89"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C8A" w14:textId="77777777" w:rsidR="00833634" w:rsidRDefault="00E15D51">
            <w:pPr>
              <w:jc w:val="right"/>
              <w:textAlignment w:val="bottom"/>
            </w:pPr>
            <w:r>
              <w:rPr>
                <w:rFonts w:ascii="Arial" w:eastAsia="宋体" w:hAnsi="Arial" w:cs="Arial"/>
                <w:color w:val="000000"/>
                <w:sz w:val="20"/>
                <w:szCs w:val="20"/>
              </w:rPr>
              <w:t>0.05 </w:t>
            </w:r>
          </w:p>
        </w:tc>
        <w:tc>
          <w:tcPr>
            <w:tcW w:w="0" w:type="auto"/>
            <w:shd w:val="clear" w:color="auto" w:fill="CCEEFF"/>
            <w:tcMar>
              <w:top w:w="40" w:type="dxa"/>
              <w:left w:w="0" w:type="dxa"/>
              <w:bottom w:w="40" w:type="dxa"/>
              <w:right w:w="20" w:type="dxa"/>
            </w:tcMar>
            <w:vAlign w:val="bottom"/>
          </w:tcPr>
          <w:p w14:paraId="4090FC8B" w14:textId="77777777" w:rsidR="00833634" w:rsidRDefault="00833634">
            <w:pPr>
              <w:jc w:val="right"/>
              <w:rPr>
                <w:rFonts w:ascii="宋体"/>
              </w:rPr>
            </w:pPr>
          </w:p>
        </w:tc>
      </w:tr>
      <w:tr w:rsidR="00833634" w14:paraId="4090FC99" w14:textId="77777777">
        <w:tc>
          <w:tcPr>
            <w:tcW w:w="0" w:type="auto"/>
            <w:gridSpan w:val="3"/>
            <w:shd w:val="clear" w:color="auto" w:fill="FFFFFF"/>
            <w:tcMar>
              <w:top w:w="40" w:type="dxa"/>
              <w:left w:w="20" w:type="dxa"/>
              <w:bottom w:w="40" w:type="dxa"/>
              <w:right w:w="20" w:type="dxa"/>
            </w:tcMar>
            <w:vAlign w:val="bottom"/>
          </w:tcPr>
          <w:p w14:paraId="4090FC8D" w14:textId="77777777" w:rsidR="00833634" w:rsidRDefault="00E15D51">
            <w:pPr>
              <w:ind w:hanging="180"/>
              <w:textAlignment w:val="bottom"/>
            </w:pPr>
            <w:r>
              <w:rPr>
                <w:rFonts w:ascii="Arial" w:eastAsia="宋体" w:hAnsi="Arial" w:cs="Arial"/>
                <w:color w:val="000000"/>
                <w:sz w:val="20"/>
                <w:szCs w:val="20"/>
              </w:rPr>
              <w:t xml:space="preserve">Provision for deferred income taxes on adjustments </w:t>
            </w:r>
            <w:r>
              <w:rPr>
                <w:rFonts w:ascii="Arial" w:eastAsia="宋体" w:hAnsi="Arial" w:cs="Arial"/>
                <w:color w:val="000000"/>
                <w:sz w:val="13"/>
                <w:szCs w:val="13"/>
              </w:rPr>
              <w:t>(3)</w:t>
            </w:r>
          </w:p>
        </w:tc>
        <w:tc>
          <w:tcPr>
            <w:tcW w:w="0" w:type="auto"/>
            <w:gridSpan w:val="2"/>
            <w:shd w:val="clear" w:color="auto" w:fill="FFFFFF"/>
            <w:tcMar>
              <w:top w:w="40" w:type="dxa"/>
              <w:left w:w="20" w:type="dxa"/>
              <w:bottom w:w="40" w:type="dxa"/>
              <w:right w:w="0" w:type="dxa"/>
            </w:tcMar>
            <w:vAlign w:val="bottom"/>
          </w:tcPr>
          <w:p w14:paraId="4090FC8E" w14:textId="77777777" w:rsidR="00833634" w:rsidRDefault="00E15D51">
            <w:pPr>
              <w:jc w:val="right"/>
              <w:textAlignment w:val="bottom"/>
            </w:pPr>
            <w:r>
              <w:rPr>
                <w:rFonts w:ascii="Arial" w:eastAsia="宋体" w:hAnsi="Arial" w:cs="Arial"/>
                <w:b/>
                <w:bCs/>
                <w:color w:val="000000"/>
                <w:sz w:val="20"/>
                <w:szCs w:val="20"/>
              </w:rPr>
              <w:t>0.47</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C8F"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90"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91" w14:textId="77777777" w:rsidR="00833634" w:rsidRDefault="00E15D51">
            <w:pPr>
              <w:jc w:val="right"/>
              <w:textAlignment w:val="bottom"/>
            </w:pPr>
            <w:r>
              <w:rPr>
                <w:rFonts w:ascii="Arial" w:eastAsia="宋体" w:hAnsi="Arial" w:cs="Arial"/>
                <w:color w:val="000000"/>
                <w:sz w:val="20"/>
                <w:szCs w:val="20"/>
              </w:rPr>
              <w:t>0.48 </w:t>
            </w:r>
          </w:p>
        </w:tc>
        <w:tc>
          <w:tcPr>
            <w:tcW w:w="0" w:type="auto"/>
            <w:shd w:val="clear" w:color="auto" w:fill="FFFFFF"/>
            <w:tcMar>
              <w:top w:w="40" w:type="dxa"/>
              <w:left w:w="0" w:type="dxa"/>
              <w:bottom w:w="40" w:type="dxa"/>
              <w:right w:w="20" w:type="dxa"/>
            </w:tcMar>
            <w:vAlign w:val="bottom"/>
          </w:tcPr>
          <w:p w14:paraId="4090FC92"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93"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94" w14:textId="77777777" w:rsidR="00833634" w:rsidRDefault="00E15D51">
            <w:pPr>
              <w:jc w:val="right"/>
              <w:textAlignment w:val="bottom"/>
            </w:pPr>
            <w:r>
              <w:rPr>
                <w:rFonts w:ascii="Arial" w:eastAsia="宋体" w:hAnsi="Arial" w:cs="Arial"/>
                <w:b/>
                <w:bCs/>
                <w:color w:val="000000"/>
                <w:sz w:val="20"/>
                <w:szCs w:val="20"/>
              </w:rPr>
              <w:t>0.16</w:t>
            </w:r>
            <w:r>
              <w:rPr>
                <w:rFonts w:ascii="Arial" w:eastAsia="宋体" w:hAnsi="Arial" w:cs="Arial"/>
                <w:color w:val="000000"/>
                <w:sz w:val="20"/>
                <w:szCs w:val="20"/>
              </w:rPr>
              <w:t> </w:t>
            </w:r>
          </w:p>
        </w:tc>
        <w:tc>
          <w:tcPr>
            <w:tcW w:w="0" w:type="auto"/>
            <w:shd w:val="clear" w:color="auto" w:fill="FFFFFF"/>
            <w:tcMar>
              <w:top w:w="40" w:type="dxa"/>
              <w:left w:w="0" w:type="dxa"/>
              <w:bottom w:w="40" w:type="dxa"/>
              <w:right w:w="20" w:type="dxa"/>
            </w:tcMar>
            <w:vAlign w:val="bottom"/>
          </w:tcPr>
          <w:p w14:paraId="4090FC95"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C96"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C97" w14:textId="77777777" w:rsidR="00833634" w:rsidRDefault="00E15D51">
            <w:pPr>
              <w:jc w:val="right"/>
              <w:textAlignment w:val="bottom"/>
            </w:pPr>
            <w:r>
              <w:rPr>
                <w:rFonts w:ascii="Arial" w:eastAsia="宋体" w:hAnsi="Arial" w:cs="Arial"/>
                <w:color w:val="000000"/>
                <w:sz w:val="20"/>
                <w:szCs w:val="20"/>
              </w:rPr>
              <w:t>0.16 </w:t>
            </w:r>
          </w:p>
        </w:tc>
        <w:tc>
          <w:tcPr>
            <w:tcW w:w="0" w:type="auto"/>
            <w:shd w:val="clear" w:color="auto" w:fill="FFFFFF"/>
            <w:tcMar>
              <w:top w:w="40" w:type="dxa"/>
              <w:left w:w="0" w:type="dxa"/>
              <w:bottom w:w="40" w:type="dxa"/>
              <w:right w:w="20" w:type="dxa"/>
            </w:tcMar>
            <w:vAlign w:val="bottom"/>
          </w:tcPr>
          <w:p w14:paraId="4090FC98" w14:textId="77777777" w:rsidR="00833634" w:rsidRDefault="00833634">
            <w:pPr>
              <w:jc w:val="right"/>
              <w:rPr>
                <w:rFonts w:ascii="宋体"/>
              </w:rPr>
            </w:pPr>
          </w:p>
        </w:tc>
      </w:tr>
      <w:tr w:rsidR="00833634" w14:paraId="4090FCA6"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C9A" w14:textId="77777777" w:rsidR="00833634" w:rsidRDefault="00E15D51">
            <w:pPr>
              <w:textAlignment w:val="bottom"/>
            </w:pPr>
            <w:r>
              <w:rPr>
                <w:rFonts w:ascii="Arial" w:eastAsia="宋体" w:hAnsi="Arial" w:cs="Arial"/>
                <w:color w:val="000000"/>
                <w:sz w:val="20"/>
                <w:szCs w:val="20"/>
              </w:rPr>
              <w:t>Core (loss)/earnings per share (non-GAAP)</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C9B" w14:textId="77777777" w:rsidR="00833634" w:rsidRDefault="00E15D51">
            <w:pPr>
              <w:jc w:val="right"/>
              <w:textAlignment w:val="bottom"/>
            </w:pPr>
            <w:r>
              <w:rPr>
                <w:rFonts w:ascii="Arial" w:eastAsia="宋体" w:hAnsi="Arial" w:cs="Arial"/>
                <w:b/>
                <w:bCs/>
                <w:color w:val="000000"/>
                <w:sz w:val="20"/>
                <w:szCs w:val="20"/>
              </w:rPr>
              <w:t>($7.88)</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C9C"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C9D"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C9E" w14:textId="77777777" w:rsidR="00833634" w:rsidRDefault="00E15D51">
            <w:pPr>
              <w:jc w:val="right"/>
              <w:textAlignment w:val="bottom"/>
            </w:pPr>
            <w:r>
              <w:rPr>
                <w:rFonts w:ascii="Arial" w:eastAsia="宋体" w:hAnsi="Arial" w:cs="Arial"/>
                <w:color w:val="000000"/>
                <w:sz w:val="20"/>
                <w:szCs w:val="20"/>
              </w:rPr>
              <w:t>($1.13)</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C9F"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CA0"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CA1" w14:textId="77777777" w:rsidR="00833634" w:rsidRDefault="00E15D51">
            <w:pPr>
              <w:jc w:val="right"/>
              <w:textAlignment w:val="bottom"/>
            </w:pPr>
            <w:r>
              <w:rPr>
                <w:rFonts w:ascii="Arial" w:eastAsia="宋体" w:hAnsi="Arial" w:cs="Arial"/>
                <w:b/>
                <w:bCs/>
                <w:color w:val="000000"/>
                <w:sz w:val="20"/>
                <w:szCs w:val="20"/>
              </w:rPr>
              <w:t>($1.39)</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CA2"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CA3"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CA4" w14:textId="77777777" w:rsidR="00833634" w:rsidRDefault="00E15D51">
            <w:pPr>
              <w:jc w:val="right"/>
              <w:textAlignment w:val="bottom"/>
            </w:pPr>
            <w:r>
              <w:rPr>
                <w:rFonts w:ascii="Arial" w:eastAsia="宋体" w:hAnsi="Arial" w:cs="Arial"/>
                <w:color w:val="000000"/>
                <w:sz w:val="20"/>
                <w:szCs w:val="20"/>
              </w:rPr>
              <w:t>$1.45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CA5" w14:textId="77777777" w:rsidR="00833634" w:rsidRDefault="00833634">
            <w:pPr>
              <w:jc w:val="right"/>
              <w:rPr>
                <w:rFonts w:ascii="宋体"/>
              </w:rPr>
            </w:pPr>
          </w:p>
        </w:tc>
      </w:tr>
      <w:tr w:rsidR="00833634" w14:paraId="4090FCAF" w14:textId="77777777">
        <w:trPr>
          <w:trHeight w:val="180"/>
        </w:trPr>
        <w:tc>
          <w:tcPr>
            <w:tcW w:w="0" w:type="auto"/>
            <w:gridSpan w:val="3"/>
            <w:tcBorders>
              <w:top w:val="double" w:sz="6" w:space="0" w:color="000000"/>
            </w:tcBorders>
            <w:shd w:val="clear" w:color="auto" w:fill="FFFFFF"/>
            <w:tcMar>
              <w:top w:w="0" w:type="dxa"/>
              <w:left w:w="20" w:type="dxa"/>
              <w:bottom w:w="0" w:type="dxa"/>
              <w:right w:w="20" w:type="dxa"/>
            </w:tcMar>
          </w:tcPr>
          <w:p w14:paraId="4090FCA7"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A8"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A9"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AA"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AB"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AC"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AD" w14:textId="77777777" w:rsidR="00833634" w:rsidRDefault="00833634">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tcPr>
          <w:p w14:paraId="4090FCAE" w14:textId="77777777" w:rsidR="00833634" w:rsidRDefault="00833634">
            <w:pPr>
              <w:rPr>
                <w:rFonts w:ascii="宋体"/>
              </w:rPr>
            </w:pPr>
          </w:p>
        </w:tc>
      </w:tr>
      <w:tr w:rsidR="00833634" w14:paraId="4090FCBC" w14:textId="77777777">
        <w:tc>
          <w:tcPr>
            <w:tcW w:w="0" w:type="auto"/>
            <w:gridSpan w:val="3"/>
            <w:tcBorders>
              <w:bottom w:val="single" w:sz="8" w:space="0" w:color="000000"/>
            </w:tcBorders>
            <w:shd w:val="clear" w:color="auto" w:fill="CCEEFF"/>
            <w:tcMar>
              <w:top w:w="40" w:type="dxa"/>
              <w:left w:w="20" w:type="dxa"/>
              <w:bottom w:w="40" w:type="dxa"/>
              <w:right w:w="20" w:type="dxa"/>
            </w:tcMar>
            <w:vAlign w:val="bottom"/>
          </w:tcPr>
          <w:p w14:paraId="4090FCB0" w14:textId="77777777" w:rsidR="00833634" w:rsidRDefault="00E15D51">
            <w:pPr>
              <w:textAlignment w:val="bottom"/>
            </w:pPr>
            <w:r>
              <w:rPr>
                <w:rFonts w:ascii="Arial" w:eastAsia="宋体" w:hAnsi="Arial" w:cs="Arial"/>
                <w:color w:val="000000"/>
                <w:sz w:val="20"/>
                <w:szCs w:val="20"/>
              </w:rPr>
              <w:t>Weighted average diluted shares (in millions)</w:t>
            </w: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CB1" w14:textId="77777777" w:rsidR="00833634" w:rsidRDefault="00E15D51">
            <w:pPr>
              <w:jc w:val="right"/>
              <w:textAlignment w:val="bottom"/>
            </w:pPr>
            <w:r>
              <w:rPr>
                <w:rFonts w:ascii="Arial" w:eastAsia="宋体" w:hAnsi="Arial" w:cs="Arial"/>
                <w:b/>
                <w:bCs/>
                <w:color w:val="000000"/>
                <w:sz w:val="20"/>
                <w:szCs w:val="20"/>
              </w:rPr>
              <w:t>566.3</w:t>
            </w:r>
            <w:r>
              <w:rPr>
                <w:rFonts w:ascii="Arial" w:eastAsia="宋体" w:hAnsi="Arial" w:cs="Arial"/>
                <w:color w:val="000000"/>
                <w:sz w:val="20"/>
                <w:szCs w:val="20"/>
              </w:rPr>
              <w:t>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CB2"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FCB3"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CB4" w14:textId="77777777" w:rsidR="00833634" w:rsidRDefault="00E15D51">
            <w:pPr>
              <w:jc w:val="right"/>
              <w:textAlignment w:val="bottom"/>
            </w:pPr>
            <w:r>
              <w:rPr>
                <w:rFonts w:ascii="Arial" w:eastAsia="宋体" w:hAnsi="Arial" w:cs="Arial"/>
                <w:color w:val="000000"/>
                <w:sz w:val="20"/>
                <w:szCs w:val="20"/>
              </w:rPr>
              <w:t>570.4 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CB5"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FCB6"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CB7" w14:textId="77777777" w:rsidR="00833634" w:rsidRDefault="00E15D51">
            <w:pPr>
              <w:jc w:val="right"/>
              <w:textAlignment w:val="bottom"/>
            </w:pPr>
            <w:r>
              <w:rPr>
                <w:rFonts w:ascii="Arial" w:eastAsia="宋体" w:hAnsi="Arial" w:cs="Arial"/>
                <w:b/>
                <w:bCs/>
                <w:color w:val="000000"/>
                <w:sz w:val="20"/>
                <w:szCs w:val="20"/>
              </w:rPr>
              <w:t>566.6</w:t>
            </w:r>
            <w:r>
              <w:rPr>
                <w:rFonts w:ascii="Arial" w:eastAsia="宋体" w:hAnsi="Arial" w:cs="Arial"/>
                <w:color w:val="000000"/>
                <w:sz w:val="20"/>
                <w:szCs w:val="20"/>
              </w:rPr>
              <w:t>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CB8" w14:textId="77777777" w:rsidR="00833634" w:rsidRDefault="00833634">
            <w:pPr>
              <w:jc w:val="right"/>
              <w:rPr>
                <w:rFonts w:ascii="宋体"/>
              </w:rPr>
            </w:pPr>
          </w:p>
        </w:tc>
        <w:tc>
          <w:tcPr>
            <w:tcW w:w="0" w:type="auto"/>
            <w:gridSpan w:val="3"/>
            <w:tcBorders>
              <w:bottom w:val="single" w:sz="8" w:space="0" w:color="000000"/>
            </w:tcBorders>
            <w:shd w:val="clear" w:color="auto" w:fill="CCEEFF"/>
            <w:tcMar>
              <w:top w:w="0" w:type="dxa"/>
              <w:left w:w="20" w:type="dxa"/>
              <w:bottom w:w="0" w:type="dxa"/>
              <w:right w:w="20" w:type="dxa"/>
            </w:tcMar>
          </w:tcPr>
          <w:p w14:paraId="4090FCB9" w14:textId="77777777" w:rsidR="00833634" w:rsidRDefault="00833634">
            <w:pPr>
              <w:rPr>
                <w:rFonts w:ascii="宋体"/>
              </w:rPr>
            </w:pPr>
          </w:p>
        </w:tc>
        <w:tc>
          <w:tcPr>
            <w:tcW w:w="0" w:type="auto"/>
            <w:gridSpan w:val="2"/>
            <w:tcBorders>
              <w:bottom w:val="single" w:sz="8" w:space="0" w:color="000000"/>
            </w:tcBorders>
            <w:shd w:val="clear" w:color="auto" w:fill="CCEEFF"/>
            <w:tcMar>
              <w:top w:w="40" w:type="dxa"/>
              <w:left w:w="20" w:type="dxa"/>
              <w:bottom w:w="40" w:type="dxa"/>
              <w:right w:w="0" w:type="dxa"/>
            </w:tcMar>
            <w:vAlign w:val="bottom"/>
          </w:tcPr>
          <w:p w14:paraId="4090FCBA" w14:textId="77777777" w:rsidR="00833634" w:rsidRDefault="00E15D51">
            <w:pPr>
              <w:jc w:val="right"/>
              <w:textAlignment w:val="bottom"/>
            </w:pPr>
            <w:r>
              <w:rPr>
                <w:rFonts w:ascii="Arial" w:eastAsia="宋体" w:hAnsi="Arial" w:cs="Arial"/>
                <w:color w:val="000000"/>
                <w:sz w:val="20"/>
                <w:szCs w:val="20"/>
              </w:rPr>
              <w:t>569.2 </w:t>
            </w:r>
          </w:p>
        </w:tc>
        <w:tc>
          <w:tcPr>
            <w:tcW w:w="0" w:type="auto"/>
            <w:tcBorders>
              <w:bottom w:val="single" w:sz="8" w:space="0" w:color="000000"/>
            </w:tcBorders>
            <w:shd w:val="clear" w:color="auto" w:fill="CCEEFF"/>
            <w:tcMar>
              <w:top w:w="40" w:type="dxa"/>
              <w:left w:w="0" w:type="dxa"/>
              <w:bottom w:w="40" w:type="dxa"/>
              <w:right w:w="20" w:type="dxa"/>
            </w:tcMar>
            <w:vAlign w:val="bottom"/>
          </w:tcPr>
          <w:p w14:paraId="4090FCBB" w14:textId="77777777" w:rsidR="00833634" w:rsidRDefault="00833634">
            <w:pPr>
              <w:jc w:val="right"/>
              <w:rPr>
                <w:rFonts w:ascii="宋体"/>
              </w:rPr>
            </w:pPr>
          </w:p>
        </w:tc>
      </w:tr>
    </w:tbl>
    <w:p w14:paraId="4090FCBD" w14:textId="77777777" w:rsidR="00833634" w:rsidRDefault="00E15D51">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     FAS/CAS service cost adjustment represents the difference between the FAS pension and postretirement service costs calculated under GAAP and costs allocated to the business segments. This adjustment is excluded </w:t>
      </w:r>
      <w:r>
        <w:rPr>
          <w:rFonts w:ascii="Arial" w:eastAsia="宋体" w:hAnsi="Arial" w:cs="Arial"/>
          <w:color w:val="000000"/>
          <w:sz w:val="20"/>
          <w:szCs w:val="20"/>
        </w:rPr>
        <w:t>from Core operating earnings/loss (non-GAAP).</w:t>
      </w:r>
    </w:p>
    <w:p w14:paraId="4090FCBE" w14:textId="77777777" w:rsidR="00833634" w:rsidRDefault="00E15D51">
      <w:pPr>
        <w:spacing w:after="60"/>
        <w:ind w:hanging="360"/>
        <w:jc w:val="both"/>
      </w:pPr>
      <w:r>
        <w:rPr>
          <w:rFonts w:ascii="Arial" w:eastAsia="宋体" w:hAnsi="Arial" w:cs="Arial"/>
          <w:color w:val="000000"/>
          <w:sz w:val="13"/>
          <w:szCs w:val="13"/>
        </w:rPr>
        <w:t>(2)</w:t>
      </w:r>
      <w:r>
        <w:rPr>
          <w:rFonts w:ascii="Arial" w:eastAsia="宋体" w:hAnsi="Arial" w:cs="Arial"/>
          <w:color w:val="000000"/>
          <w:sz w:val="20"/>
          <w:szCs w:val="20"/>
        </w:rPr>
        <w:t xml:space="preserve">     Non-operating pension and postretirement expenses represent the components of net periodic benefit costs other than service cost. These expenses are included in Other income, net and are excluded from C</w:t>
      </w:r>
      <w:r>
        <w:rPr>
          <w:rFonts w:ascii="Arial" w:eastAsia="宋体" w:hAnsi="Arial" w:cs="Arial"/>
          <w:color w:val="000000"/>
          <w:sz w:val="20"/>
          <w:szCs w:val="20"/>
        </w:rPr>
        <w:t>ore earnings/loss per share (non-GAAP).</w:t>
      </w:r>
    </w:p>
    <w:p w14:paraId="4090FCBF" w14:textId="77777777" w:rsidR="00833634" w:rsidRDefault="00E15D51">
      <w:pPr>
        <w:spacing w:after="300"/>
        <w:jc w:val="both"/>
      </w:pPr>
      <w:r>
        <w:rPr>
          <w:rFonts w:ascii="Arial" w:eastAsia="宋体" w:hAnsi="Arial" w:cs="Arial"/>
          <w:color w:val="000000"/>
          <w:sz w:val="13"/>
          <w:szCs w:val="13"/>
        </w:rPr>
        <w:t>(3)</w:t>
      </w:r>
      <w:r>
        <w:rPr>
          <w:rFonts w:ascii="Arial" w:eastAsia="宋体" w:hAnsi="Arial" w:cs="Arial"/>
          <w:color w:val="000000"/>
          <w:sz w:val="20"/>
          <w:szCs w:val="20"/>
        </w:rPr>
        <w:t xml:space="preserve">     The income tax impact is calculated using the U.S. corporate statutory tax rate.</w:t>
      </w:r>
    </w:p>
    <w:p w14:paraId="4090FCC0" w14:textId="77777777" w:rsidR="00833634" w:rsidRDefault="00E15D51">
      <w:pPr>
        <w:spacing w:before="300" w:after="180"/>
        <w:jc w:val="both"/>
      </w:pPr>
      <w:r>
        <w:rPr>
          <w:rFonts w:ascii="Arial" w:eastAsia="宋体" w:hAnsi="Arial" w:cs="Arial"/>
          <w:b/>
          <w:bCs/>
          <w:color w:val="000000"/>
          <w:sz w:val="20"/>
          <w:szCs w:val="20"/>
        </w:rPr>
        <w:t>Item 3. Quantitative and Qualitative Disclosures About Market Risk</w:t>
      </w:r>
    </w:p>
    <w:p w14:paraId="4090FCC1" w14:textId="77777777" w:rsidR="00833634" w:rsidRDefault="00E15D51">
      <w:pPr>
        <w:spacing w:after="180"/>
        <w:jc w:val="both"/>
      </w:pPr>
      <w:r>
        <w:rPr>
          <w:rFonts w:ascii="Arial" w:eastAsia="宋体" w:hAnsi="Arial" w:cs="Arial"/>
          <w:color w:val="000000"/>
          <w:sz w:val="20"/>
          <w:szCs w:val="20"/>
        </w:rPr>
        <w:t>We have financial instruments that are subject to interest r</w:t>
      </w:r>
      <w:r>
        <w:rPr>
          <w:rFonts w:ascii="Arial" w:eastAsia="宋体" w:hAnsi="Arial" w:cs="Arial"/>
          <w:color w:val="000000"/>
          <w:sz w:val="20"/>
          <w:szCs w:val="20"/>
        </w:rPr>
        <w:t>ate risk, principally fixed- and floating-rate debt obligations, and customer financing assets and liabilities. The investors in our fixed-rate debt obligations do not generally have the right to demand we pay off these obligations prior to maturity. There</w:t>
      </w:r>
      <w:r>
        <w:rPr>
          <w:rFonts w:ascii="Arial" w:eastAsia="宋体" w:hAnsi="Arial" w:cs="Arial"/>
          <w:color w:val="000000"/>
          <w:sz w:val="20"/>
          <w:szCs w:val="20"/>
        </w:rPr>
        <w:t xml:space="preserve">fore, exposure to interest rate risk is not believed to be material for our fixed-rate debt. In the first quarter of 2020, we entered into a $13.8 billion two-year delayed draw floating-rate term loan credit agreement. An increase or decrease of 100 basis </w:t>
      </w:r>
      <w:r>
        <w:rPr>
          <w:rFonts w:ascii="Arial" w:eastAsia="宋体" w:hAnsi="Arial" w:cs="Arial"/>
          <w:color w:val="000000"/>
          <w:sz w:val="20"/>
          <w:szCs w:val="20"/>
        </w:rPr>
        <w:t>points in interest rates on this floating-rate debt would increase or decrease our pre-tax earnings by $138 million over the next 12 months. Historically, we have not experienced material gains or losses on our customer financing assets and liabilities due</w:t>
      </w:r>
      <w:r>
        <w:rPr>
          <w:rFonts w:ascii="Arial" w:eastAsia="宋体" w:hAnsi="Arial" w:cs="Arial"/>
          <w:color w:val="000000"/>
          <w:sz w:val="20"/>
          <w:szCs w:val="20"/>
        </w:rPr>
        <w:t xml:space="preserve"> to interest rate changes. </w:t>
      </w:r>
    </w:p>
    <w:p w14:paraId="4090FCC2" w14:textId="77777777" w:rsidR="00833634" w:rsidRDefault="00E15D51">
      <w:pPr>
        <w:spacing w:after="180"/>
        <w:jc w:val="center"/>
      </w:pPr>
      <w:r>
        <w:rPr>
          <w:rFonts w:ascii="Arial" w:eastAsia="宋体" w:hAnsi="Arial" w:cs="Arial"/>
          <w:color w:val="000000"/>
          <w:sz w:val="18"/>
          <w:szCs w:val="18"/>
        </w:rPr>
        <w:t>59</w:t>
      </w:r>
    </w:p>
    <w:p w14:paraId="4090FCC3" w14:textId="77777777" w:rsidR="00833634" w:rsidRDefault="00E15D51">
      <w:r>
        <w:pict w14:anchorId="4090FE5B">
          <v:rect id="_x0000_i1085" style="width:415.3pt;height:1.5pt" o:hralign="center" o:hrstd="t" o:hr="t" fillcolor="#a0a0a0" stroked="f"/>
        </w:pict>
      </w:r>
    </w:p>
    <w:p w14:paraId="4090FCC4" w14:textId="77777777" w:rsidR="00833634" w:rsidRDefault="00E15D51">
      <w:pPr>
        <w:spacing w:after="180"/>
        <w:jc w:val="both"/>
      </w:pPr>
      <w:hyperlink r:id="rId162" w:anchor="i8d805bfb1e1c4815a1dcd5b6d1e0b117_10" w:history="1">
        <w:r>
          <w:rPr>
            <w:rStyle w:val="a5"/>
            <w:rFonts w:ascii="Arial" w:eastAsia="宋体" w:hAnsi="Arial" w:cs="Arial"/>
            <w:sz w:val="18"/>
            <w:szCs w:val="18"/>
          </w:rPr>
          <w:t>Table of Contents</w:t>
        </w:r>
      </w:hyperlink>
    </w:p>
    <w:p w14:paraId="4090FCC5" w14:textId="77777777" w:rsidR="00833634" w:rsidRDefault="00E15D51">
      <w:pPr>
        <w:spacing w:after="300"/>
        <w:jc w:val="both"/>
      </w:pPr>
      <w:r>
        <w:rPr>
          <w:rFonts w:ascii="Arial" w:eastAsia="宋体" w:hAnsi="Arial" w:cs="Arial"/>
          <w:color w:val="000000"/>
          <w:sz w:val="20"/>
          <w:szCs w:val="20"/>
        </w:rPr>
        <w:t xml:space="preserve">There have been no significant changes to our foreign currency exchange rate or </w:t>
      </w:r>
      <w:r>
        <w:rPr>
          <w:rFonts w:ascii="Arial" w:eastAsia="宋体" w:hAnsi="Arial" w:cs="Arial"/>
          <w:color w:val="000000"/>
          <w:sz w:val="20"/>
          <w:szCs w:val="20"/>
        </w:rPr>
        <w:t>commodity price risk since December 31, 2019.</w:t>
      </w:r>
    </w:p>
    <w:p w14:paraId="4090FCC6" w14:textId="77777777" w:rsidR="00833634" w:rsidRDefault="00E15D51">
      <w:pPr>
        <w:spacing w:before="300" w:after="180"/>
        <w:jc w:val="both"/>
      </w:pPr>
      <w:r>
        <w:rPr>
          <w:rFonts w:ascii="Arial" w:eastAsia="宋体" w:hAnsi="Arial" w:cs="Arial"/>
          <w:b/>
          <w:bCs/>
          <w:color w:val="000000"/>
          <w:sz w:val="20"/>
          <w:szCs w:val="20"/>
        </w:rPr>
        <w:t>Item 4. Controls and Procedures</w:t>
      </w:r>
    </w:p>
    <w:p w14:paraId="4090FCC7" w14:textId="77777777" w:rsidR="00833634" w:rsidRDefault="00E15D51">
      <w:pPr>
        <w:spacing w:after="180"/>
        <w:jc w:val="both"/>
      </w:pPr>
      <w:r>
        <w:rPr>
          <w:rFonts w:ascii="Arial" w:eastAsia="宋体" w:hAnsi="Arial" w:cs="Arial"/>
          <w:color w:val="000000"/>
          <w:sz w:val="20"/>
          <w:szCs w:val="20"/>
        </w:rPr>
        <w:t>(a)Evaluation of Disclosure Controls and Procedures.</w:t>
      </w:r>
    </w:p>
    <w:p w14:paraId="4090FCC8" w14:textId="77777777" w:rsidR="00833634" w:rsidRDefault="00E15D51">
      <w:pPr>
        <w:spacing w:after="180"/>
        <w:jc w:val="both"/>
      </w:pPr>
      <w:r>
        <w:rPr>
          <w:rFonts w:ascii="Arial" w:eastAsia="宋体" w:hAnsi="Arial" w:cs="Arial"/>
          <w:color w:val="000000"/>
          <w:sz w:val="20"/>
          <w:szCs w:val="20"/>
        </w:rPr>
        <w:t>Our Chief Executive Officer and Chief Financial Officer have evaluated our disclosure controls and procedures as of September</w:t>
      </w:r>
      <w:r>
        <w:rPr>
          <w:rFonts w:ascii="Arial" w:eastAsia="宋体" w:hAnsi="Arial" w:cs="Arial"/>
          <w:color w:val="000000"/>
          <w:sz w:val="20"/>
          <w:szCs w:val="20"/>
        </w:rPr>
        <w:t> 30, 2020 and have concluded that these disclosure controls and procedures are effective to ensure that information required to be disclosed by us in the reports that we file or submit under the Securities Exchange Act of 1934 is recorded, processed, summa</w:t>
      </w:r>
      <w:r>
        <w:rPr>
          <w:rFonts w:ascii="Arial" w:eastAsia="宋体" w:hAnsi="Arial" w:cs="Arial"/>
          <w:color w:val="000000"/>
          <w:sz w:val="20"/>
          <w:szCs w:val="20"/>
        </w:rPr>
        <w:t>rized and reported within the time periods specified in the Securities and Exchange Commission’s rules and forms and is accumulated and communicated to our management, including the Chief Executive Officer and Chief Financial Officer, as appropriate to all</w:t>
      </w:r>
      <w:r>
        <w:rPr>
          <w:rFonts w:ascii="Arial" w:eastAsia="宋体" w:hAnsi="Arial" w:cs="Arial"/>
          <w:color w:val="000000"/>
          <w:sz w:val="20"/>
          <w:szCs w:val="20"/>
        </w:rPr>
        <w:t>ow timely decisions regarding required disclosure.</w:t>
      </w:r>
    </w:p>
    <w:p w14:paraId="4090FCC9" w14:textId="77777777" w:rsidR="00833634" w:rsidRDefault="00E15D51">
      <w:pPr>
        <w:spacing w:after="180"/>
        <w:jc w:val="both"/>
      </w:pPr>
      <w:r>
        <w:rPr>
          <w:rFonts w:ascii="Arial" w:eastAsia="宋体" w:hAnsi="Arial" w:cs="Arial"/>
          <w:color w:val="000000"/>
          <w:sz w:val="20"/>
          <w:szCs w:val="20"/>
        </w:rPr>
        <w:t>(b)Changes in Internal Control Over Financial Reporting.</w:t>
      </w:r>
    </w:p>
    <w:p w14:paraId="4090FCCA" w14:textId="77777777" w:rsidR="00833634" w:rsidRDefault="00E15D51">
      <w:pPr>
        <w:spacing w:after="180"/>
        <w:jc w:val="both"/>
      </w:pPr>
      <w:r>
        <w:rPr>
          <w:rFonts w:ascii="Arial" w:eastAsia="宋体" w:hAnsi="Arial" w:cs="Arial"/>
          <w:color w:val="000000"/>
          <w:sz w:val="20"/>
          <w:szCs w:val="20"/>
        </w:rPr>
        <w:t>There were no changes that occurred during the third quarter of 2020 that have materially affected or are reasonably likely to materially affect our</w:t>
      </w:r>
      <w:r>
        <w:rPr>
          <w:rFonts w:ascii="Arial" w:eastAsia="宋体" w:hAnsi="Arial" w:cs="Arial"/>
          <w:color w:val="000000"/>
          <w:sz w:val="20"/>
          <w:szCs w:val="20"/>
        </w:rPr>
        <w:t xml:space="preserve"> internal control over financial reporting.</w:t>
      </w:r>
    </w:p>
    <w:p w14:paraId="4090FCCB" w14:textId="77777777" w:rsidR="00833634" w:rsidRDefault="00E15D51">
      <w:pPr>
        <w:spacing w:after="180"/>
        <w:jc w:val="center"/>
      </w:pPr>
      <w:r>
        <w:rPr>
          <w:rFonts w:ascii="Arial" w:eastAsia="宋体" w:hAnsi="Arial" w:cs="Arial"/>
          <w:color w:val="000000"/>
          <w:sz w:val="18"/>
          <w:szCs w:val="18"/>
        </w:rPr>
        <w:t>60</w:t>
      </w:r>
    </w:p>
    <w:p w14:paraId="4090FCCC" w14:textId="77777777" w:rsidR="00833634" w:rsidRDefault="00E15D51">
      <w:r>
        <w:pict w14:anchorId="4090FE5C">
          <v:rect id="_x0000_i1086" style="width:415.3pt;height:1.5pt" o:hralign="center" o:hrstd="t" o:hr="t" fillcolor="#a0a0a0" stroked="f"/>
        </w:pict>
      </w:r>
    </w:p>
    <w:p w14:paraId="4090FCCD" w14:textId="77777777" w:rsidR="00833634" w:rsidRDefault="00E15D51">
      <w:pPr>
        <w:spacing w:after="180"/>
        <w:jc w:val="both"/>
      </w:pPr>
      <w:hyperlink r:id="rId163" w:anchor="i8d805bfb1e1c4815a1dcd5b6d1e0b117_10" w:history="1">
        <w:r>
          <w:rPr>
            <w:rStyle w:val="a5"/>
            <w:rFonts w:ascii="Arial" w:eastAsia="宋体" w:hAnsi="Arial" w:cs="Arial"/>
            <w:sz w:val="18"/>
            <w:szCs w:val="18"/>
          </w:rPr>
          <w:t>Table of Contents</w:t>
        </w:r>
      </w:hyperlink>
    </w:p>
    <w:p w14:paraId="4090FCCE" w14:textId="77777777" w:rsidR="00833634" w:rsidRDefault="00E15D51">
      <w:pPr>
        <w:spacing w:before="180" w:after="300"/>
        <w:jc w:val="both"/>
      </w:pPr>
      <w:r>
        <w:rPr>
          <w:rFonts w:ascii="Arial" w:eastAsia="宋体" w:hAnsi="Arial" w:cs="Arial"/>
          <w:b/>
          <w:bCs/>
          <w:color w:val="000000"/>
          <w:sz w:val="20"/>
          <w:szCs w:val="20"/>
        </w:rPr>
        <w:t>Part II. Other Information</w:t>
      </w:r>
    </w:p>
    <w:p w14:paraId="4090FCCF" w14:textId="77777777" w:rsidR="00833634" w:rsidRDefault="00E15D51">
      <w:pPr>
        <w:spacing w:before="180" w:after="180"/>
        <w:jc w:val="both"/>
      </w:pPr>
      <w:r>
        <w:rPr>
          <w:rFonts w:ascii="Arial" w:eastAsia="宋体" w:hAnsi="Arial" w:cs="Arial"/>
          <w:b/>
          <w:bCs/>
          <w:color w:val="000000"/>
          <w:sz w:val="20"/>
          <w:szCs w:val="20"/>
        </w:rPr>
        <w:t>Item 1. Le</w:t>
      </w:r>
      <w:r>
        <w:rPr>
          <w:rFonts w:ascii="Arial" w:eastAsia="宋体" w:hAnsi="Arial" w:cs="Arial"/>
          <w:b/>
          <w:bCs/>
          <w:color w:val="000000"/>
          <w:sz w:val="20"/>
          <w:szCs w:val="20"/>
        </w:rPr>
        <w:t>gal Proceedings</w:t>
      </w:r>
    </w:p>
    <w:p w14:paraId="4090FCD0" w14:textId="77777777" w:rsidR="00833634" w:rsidRDefault="00E15D51">
      <w:pPr>
        <w:spacing w:after="300"/>
        <w:jc w:val="both"/>
      </w:pPr>
      <w:r>
        <w:rPr>
          <w:rFonts w:ascii="Arial" w:eastAsia="宋体" w:hAnsi="Arial" w:cs="Arial"/>
          <w:color w:val="000000"/>
          <w:sz w:val="20"/>
          <w:szCs w:val="20"/>
        </w:rPr>
        <w:t>Currently, we are involved in a number of legal proceedings. For a discussion of contingencies related to legal proceedings, see Note 18 to our Condensed Consolidated Financial Statements, which is hereby incorporated by reference.</w:t>
      </w:r>
    </w:p>
    <w:p w14:paraId="4090FCD1" w14:textId="77777777" w:rsidR="00833634" w:rsidRDefault="00E15D51">
      <w:pPr>
        <w:spacing w:before="300" w:after="180"/>
        <w:jc w:val="both"/>
      </w:pPr>
      <w:r>
        <w:rPr>
          <w:rFonts w:ascii="Arial" w:eastAsia="宋体" w:hAnsi="Arial" w:cs="Arial"/>
          <w:b/>
          <w:bCs/>
          <w:color w:val="000000"/>
          <w:sz w:val="20"/>
          <w:szCs w:val="20"/>
        </w:rPr>
        <w:t>Item 1A.</w:t>
      </w:r>
      <w:r>
        <w:rPr>
          <w:rFonts w:ascii="Arial" w:eastAsia="宋体" w:hAnsi="Arial" w:cs="Arial"/>
          <w:b/>
          <w:bCs/>
          <w:color w:val="000000"/>
          <w:sz w:val="20"/>
          <w:szCs w:val="20"/>
        </w:rPr>
        <w:t xml:space="preserve"> Risk Factors</w:t>
      </w:r>
    </w:p>
    <w:p w14:paraId="4090FCD2" w14:textId="77777777" w:rsidR="00833634" w:rsidRDefault="00E15D51">
      <w:pPr>
        <w:spacing w:before="180" w:after="180"/>
        <w:jc w:val="both"/>
      </w:pPr>
      <w:r>
        <w:rPr>
          <w:rFonts w:ascii="Arial" w:eastAsia="宋体" w:hAnsi="Arial" w:cs="Arial"/>
          <w:color w:val="000000"/>
          <w:sz w:val="20"/>
          <w:szCs w:val="20"/>
        </w:rPr>
        <w:t xml:space="preserve">Certain risks described below update the risk factors in Part I, Item 1A. Risk Factors in our Annual Report on Form 10-K for the year ended December 31, 2019, as well as Part II, Item 1A. Risk Factors in our Quarterly Report on Form 10-Q for </w:t>
      </w:r>
      <w:r>
        <w:rPr>
          <w:rFonts w:ascii="Arial" w:eastAsia="宋体" w:hAnsi="Arial" w:cs="Arial"/>
          <w:color w:val="000000"/>
          <w:sz w:val="20"/>
          <w:szCs w:val="20"/>
        </w:rPr>
        <w:t xml:space="preserve">the quarter periods ended March 31, 2020 and June 30, 2020. </w:t>
      </w:r>
    </w:p>
    <w:p w14:paraId="4090FCD3" w14:textId="77777777" w:rsidR="00833634" w:rsidRDefault="00E15D51">
      <w:pPr>
        <w:spacing w:after="180"/>
        <w:jc w:val="both"/>
      </w:pPr>
      <w:r>
        <w:rPr>
          <w:rFonts w:ascii="Arial" w:eastAsia="宋体" w:hAnsi="Arial" w:cs="Arial"/>
          <w:b/>
          <w:bCs/>
          <w:i/>
          <w:iCs/>
          <w:color w:val="000000"/>
          <w:sz w:val="20"/>
          <w:szCs w:val="20"/>
        </w:rPr>
        <w:t xml:space="preserve">We face significant risks related to the spread of the novel coronavirus (“COVID-19”) and the recent developments surrounding the global pandemic have had, and will continue to have, significant </w:t>
      </w:r>
      <w:r>
        <w:rPr>
          <w:rFonts w:ascii="Arial" w:eastAsia="宋体" w:hAnsi="Arial" w:cs="Arial"/>
          <w:b/>
          <w:bCs/>
          <w:i/>
          <w:iCs/>
          <w:color w:val="000000"/>
          <w:sz w:val="20"/>
          <w:szCs w:val="20"/>
        </w:rPr>
        <w:t>effects on our business, financial condition, results of operations, and cash flows. We also face significant risks related to the global economic downturn and severe reduction in commercial air traffic caused by the pandemic. These risks include materiall</w:t>
      </w:r>
      <w:r>
        <w:rPr>
          <w:rFonts w:ascii="Arial" w:eastAsia="宋体" w:hAnsi="Arial" w:cs="Arial"/>
          <w:b/>
          <w:bCs/>
          <w:i/>
          <w:iCs/>
          <w:color w:val="000000"/>
          <w:sz w:val="20"/>
          <w:szCs w:val="20"/>
        </w:rPr>
        <w:t>y reduced demand for our products and services, increased instability in our supply chain, and challenges to the ongoing viability of some of our customers. We may face similar risks in connection with any future public health crises, including any resurge</w:t>
      </w:r>
      <w:r>
        <w:rPr>
          <w:rFonts w:ascii="Arial" w:eastAsia="宋体" w:hAnsi="Arial" w:cs="Arial"/>
          <w:b/>
          <w:bCs/>
          <w:i/>
          <w:iCs/>
          <w:color w:val="000000"/>
          <w:sz w:val="20"/>
          <w:szCs w:val="20"/>
        </w:rPr>
        <w:t xml:space="preserve">nce in the spread of COVID-19. </w:t>
      </w:r>
    </w:p>
    <w:p w14:paraId="4090FCD4" w14:textId="77777777" w:rsidR="00833634" w:rsidRDefault="00E15D51">
      <w:pPr>
        <w:spacing w:after="180"/>
        <w:jc w:val="both"/>
      </w:pPr>
      <w:r>
        <w:rPr>
          <w:rFonts w:ascii="Arial" w:eastAsia="宋体" w:hAnsi="Arial" w:cs="Arial"/>
          <w:color w:val="000000"/>
          <w:sz w:val="20"/>
          <w:szCs w:val="20"/>
        </w:rPr>
        <w:t>The COVID-19 pandemic has subjected our business, operations, financial performance, cash flows and financial condition to a number of risks, including, but not limited to those discussed below.</w:t>
      </w:r>
    </w:p>
    <w:p w14:paraId="4090FCD5" w14:textId="77777777" w:rsidR="00833634" w:rsidRDefault="00E15D51">
      <w:pPr>
        <w:spacing w:after="180"/>
        <w:jc w:val="both"/>
      </w:pPr>
      <w:r>
        <w:rPr>
          <w:rFonts w:ascii="Arial" w:eastAsia="宋体" w:hAnsi="Arial" w:cs="Arial"/>
          <w:b/>
          <w:bCs/>
          <w:i/>
          <w:iCs/>
          <w:color w:val="000000"/>
          <w:sz w:val="20"/>
          <w:szCs w:val="20"/>
        </w:rPr>
        <w:t>Operations-related risks:</w:t>
      </w:r>
      <w:r>
        <w:rPr>
          <w:rFonts w:ascii="Arial" w:eastAsia="宋体" w:hAnsi="Arial" w:cs="Arial"/>
          <w:color w:val="000000"/>
          <w:sz w:val="20"/>
          <w:szCs w:val="20"/>
        </w:rPr>
        <w:t xml:space="preserve"> As a result of the COVID-19 pandemic, we are facing increased operational challenges from the need to protect employee health and safety. These challenges have included, and may in the future include production site shutdowns, and</w:t>
      </w:r>
      <w:r>
        <w:rPr>
          <w:rFonts w:ascii="Arial" w:eastAsia="宋体" w:hAnsi="Arial" w:cs="Arial"/>
          <w:color w:val="000000"/>
          <w:sz w:val="20"/>
          <w:szCs w:val="20"/>
        </w:rPr>
        <w:t xml:space="preserve"> workplace disruptions and restrictions on the movement of people, raw materials and goods, both at our own facilities and at our customers and suppliers.</w:t>
      </w:r>
    </w:p>
    <w:p w14:paraId="4090FCD6" w14:textId="77777777" w:rsidR="00833634" w:rsidRDefault="00E15D51">
      <w:pPr>
        <w:spacing w:after="180"/>
        <w:jc w:val="both"/>
      </w:pPr>
      <w:r>
        <w:rPr>
          <w:rFonts w:ascii="Arial" w:eastAsia="宋体" w:hAnsi="Arial" w:cs="Arial"/>
          <w:color w:val="000000"/>
          <w:sz w:val="20"/>
          <w:szCs w:val="20"/>
        </w:rPr>
        <w:t>For example, during the second quarter, we temporarily suspended operations in Puget Sound, South Car</w:t>
      </w:r>
      <w:r>
        <w:rPr>
          <w:rFonts w:ascii="Arial" w:eastAsia="宋体" w:hAnsi="Arial" w:cs="Arial"/>
          <w:color w:val="000000"/>
          <w:sz w:val="20"/>
          <w:szCs w:val="20"/>
        </w:rPr>
        <w:t>olina, and Philadelphia, as well as at several other key production sites. We had not previously experienced a complete suspension of our operations at these production sites. While we have resumed operations at each of our key production sites we cannot p</w:t>
      </w:r>
      <w:r>
        <w:rPr>
          <w:rFonts w:ascii="Arial" w:eastAsia="宋体" w:hAnsi="Arial" w:cs="Arial"/>
          <w:color w:val="000000"/>
          <w:sz w:val="20"/>
          <w:szCs w:val="20"/>
        </w:rPr>
        <w:t>redict where further production disruptions will be required or what the ongoing impact of COVID-19-related operating restrictions will be. For example, we continue to experience additional operating costs due to social distancing requirements and other fa</w:t>
      </w:r>
      <w:r>
        <w:rPr>
          <w:rFonts w:ascii="Arial" w:eastAsia="宋体" w:hAnsi="Arial" w:cs="Arial"/>
          <w:color w:val="000000"/>
          <w:sz w:val="20"/>
          <w:szCs w:val="20"/>
        </w:rPr>
        <w:t>ctors related to COVID-19 restrictions. We cannot predict the impact that future production disruptions may have on our business, operations, financial performance and financial condition. We consult regularly with relevant federal, state, and municipal he</w:t>
      </w:r>
      <w:r>
        <w:rPr>
          <w:rFonts w:ascii="Arial" w:eastAsia="宋体" w:hAnsi="Arial" w:cs="Arial"/>
          <w:color w:val="000000"/>
          <w:sz w:val="20"/>
          <w:szCs w:val="20"/>
        </w:rPr>
        <w:t>alth authorities regarding the COVID-19 pandemic, and we may be required to impose additional operational restrictions and/or suspend operations at key production sites based on their recommendations and/or workplace disruptions caused by COVID-19.</w:t>
      </w:r>
    </w:p>
    <w:p w14:paraId="4090FCD7" w14:textId="77777777" w:rsidR="00833634" w:rsidRDefault="00E15D51">
      <w:pPr>
        <w:spacing w:after="180"/>
        <w:jc w:val="both"/>
      </w:pPr>
      <w:r>
        <w:rPr>
          <w:rFonts w:ascii="Arial" w:eastAsia="宋体" w:hAnsi="Arial" w:cs="Arial"/>
          <w:color w:val="000000"/>
          <w:sz w:val="20"/>
          <w:szCs w:val="20"/>
        </w:rPr>
        <w:t>Many of</w:t>
      </w:r>
      <w:r>
        <w:rPr>
          <w:rFonts w:ascii="Arial" w:eastAsia="宋体" w:hAnsi="Arial" w:cs="Arial"/>
          <w:color w:val="000000"/>
          <w:sz w:val="20"/>
          <w:szCs w:val="20"/>
        </w:rPr>
        <w:t xml:space="preserve"> our suppliers also were required to suspend operations during the second quarter, and they may experience additional disruptions in the coming months. Any such disruptions could have severe adverse impacts on our production costs delivery schedule and/or </w:t>
      </w:r>
      <w:r>
        <w:rPr>
          <w:rFonts w:ascii="Arial" w:eastAsia="宋体" w:hAnsi="Arial" w:cs="Arial"/>
          <w:color w:val="000000"/>
          <w:sz w:val="20"/>
          <w:szCs w:val="20"/>
        </w:rPr>
        <w:t>ability to meet customer commitments.</w:t>
      </w:r>
    </w:p>
    <w:p w14:paraId="4090FCD8" w14:textId="77777777" w:rsidR="00833634" w:rsidRDefault="00E15D51">
      <w:pPr>
        <w:spacing w:after="180"/>
        <w:jc w:val="both"/>
      </w:pPr>
      <w:r>
        <w:rPr>
          <w:rFonts w:ascii="Arial" w:eastAsia="宋体" w:hAnsi="Arial" w:cs="Arial"/>
          <w:color w:val="000000"/>
          <w:sz w:val="20"/>
          <w:szCs w:val="20"/>
        </w:rPr>
        <w:t>Any prolonged suspension of operations or delayed recovery in our operations, and/or any similar delay with respect to resumption of operations by one or more of our key suppliers, or the failure of any of our key supp</w:t>
      </w:r>
      <w:r>
        <w:rPr>
          <w:rFonts w:ascii="Arial" w:eastAsia="宋体" w:hAnsi="Arial" w:cs="Arial"/>
          <w:color w:val="000000"/>
          <w:sz w:val="20"/>
          <w:szCs w:val="20"/>
        </w:rPr>
        <w:t>liers, would result in further challenges to our business, leading to a further material adverse effect on our business, financial condition, results of operations, and cash flows.</w:t>
      </w:r>
    </w:p>
    <w:p w14:paraId="4090FCD9" w14:textId="77777777" w:rsidR="00833634" w:rsidRDefault="00E15D51">
      <w:pPr>
        <w:spacing w:after="180"/>
        <w:jc w:val="both"/>
      </w:pPr>
      <w:r>
        <w:rPr>
          <w:rFonts w:ascii="Arial" w:eastAsia="宋体" w:hAnsi="Arial" w:cs="Arial"/>
          <w:b/>
          <w:bCs/>
          <w:i/>
          <w:iCs/>
          <w:color w:val="000000"/>
          <w:sz w:val="20"/>
          <w:szCs w:val="20"/>
        </w:rPr>
        <w:t>Liquidity risks:</w:t>
      </w:r>
      <w:r>
        <w:rPr>
          <w:rFonts w:ascii="Arial" w:eastAsia="宋体" w:hAnsi="Arial" w:cs="Arial"/>
          <w:b/>
          <w:bCs/>
          <w:color w:val="000000"/>
          <w:sz w:val="20"/>
          <w:szCs w:val="20"/>
        </w:rPr>
        <w:t xml:space="preserve"> </w:t>
      </w:r>
      <w:r>
        <w:rPr>
          <w:rFonts w:ascii="Arial" w:eastAsia="宋体" w:hAnsi="Arial" w:cs="Arial"/>
          <w:color w:val="000000"/>
          <w:sz w:val="20"/>
          <w:szCs w:val="20"/>
        </w:rPr>
        <w:t>The COVID-19 pandemic has also had a significant impact on</w:t>
      </w:r>
      <w:r>
        <w:rPr>
          <w:rFonts w:ascii="Arial" w:eastAsia="宋体" w:hAnsi="Arial" w:cs="Arial"/>
          <w:color w:val="000000"/>
          <w:sz w:val="20"/>
          <w:szCs w:val="20"/>
        </w:rPr>
        <w:t xml:space="preserve"> our liquidity and overall debt levels. During the nine months ended September 30, 2020, net cash used by operating activities was $14.4 billion. At September 30, 2020, cash and short-term investments totaled $27.1 billion. Our debt balance totaled $61.0 b</w:t>
      </w:r>
      <w:r>
        <w:rPr>
          <w:rFonts w:ascii="Arial" w:eastAsia="宋体" w:hAnsi="Arial" w:cs="Arial"/>
          <w:color w:val="000000"/>
          <w:sz w:val="20"/>
          <w:szCs w:val="20"/>
        </w:rPr>
        <w:t xml:space="preserve">illion at September 30, 2020, up from $27.3 billion at December 31, 2019. We </w:t>
      </w:r>
    </w:p>
    <w:p w14:paraId="4090FCDA" w14:textId="77777777" w:rsidR="00833634" w:rsidRDefault="00E15D51">
      <w:pPr>
        <w:spacing w:after="180"/>
        <w:jc w:val="center"/>
      </w:pPr>
      <w:r>
        <w:rPr>
          <w:rFonts w:ascii="Arial" w:eastAsia="宋体" w:hAnsi="Arial" w:cs="Arial"/>
          <w:color w:val="000000"/>
          <w:sz w:val="18"/>
          <w:szCs w:val="18"/>
        </w:rPr>
        <w:t>61</w:t>
      </w:r>
    </w:p>
    <w:p w14:paraId="4090FCDB" w14:textId="77777777" w:rsidR="00833634" w:rsidRDefault="00E15D51">
      <w:r>
        <w:pict w14:anchorId="4090FE5D">
          <v:rect id="_x0000_i1087" style="width:415.3pt;height:1.5pt" o:hralign="center" o:hrstd="t" o:hr="t" fillcolor="#a0a0a0" stroked="f"/>
        </w:pict>
      </w:r>
    </w:p>
    <w:p w14:paraId="4090FCDC" w14:textId="77777777" w:rsidR="00833634" w:rsidRDefault="00E15D51">
      <w:pPr>
        <w:spacing w:after="180"/>
        <w:jc w:val="both"/>
      </w:pPr>
      <w:hyperlink r:id="rId164" w:anchor="i8d805bfb1e1c4815a1dcd5b6d1e0b117_10" w:history="1">
        <w:r>
          <w:rPr>
            <w:rStyle w:val="a5"/>
            <w:rFonts w:ascii="Arial" w:eastAsia="宋体" w:hAnsi="Arial" w:cs="Arial"/>
            <w:sz w:val="18"/>
            <w:szCs w:val="18"/>
          </w:rPr>
          <w:t>Table of Contents</w:t>
        </w:r>
      </w:hyperlink>
    </w:p>
    <w:p w14:paraId="4090FCDD" w14:textId="77777777" w:rsidR="00833634" w:rsidRDefault="00E15D51">
      <w:pPr>
        <w:spacing w:after="180"/>
        <w:jc w:val="both"/>
      </w:pPr>
      <w:r>
        <w:rPr>
          <w:rFonts w:ascii="Arial" w:eastAsia="宋体" w:hAnsi="Arial" w:cs="Arial"/>
          <w:color w:val="000000"/>
          <w:sz w:val="20"/>
          <w:szCs w:val="20"/>
        </w:rPr>
        <w:t>expect negative operating cash flows in future quarters until deliveries resume and ra</w:t>
      </w:r>
      <w:r>
        <w:rPr>
          <w:rFonts w:ascii="Arial" w:eastAsia="宋体" w:hAnsi="Arial" w:cs="Arial"/>
          <w:color w:val="000000"/>
          <w:sz w:val="20"/>
          <w:szCs w:val="20"/>
        </w:rPr>
        <w:t xml:space="preserve">mp up, and if the pace and scope of the recovery are worse than we currently contemplate, we may need to obtain additional financing in order to fund our operations and obligations. If we were to need to obtain additional financing, uncertainty related to </w:t>
      </w:r>
      <w:r>
        <w:rPr>
          <w:rFonts w:ascii="Arial" w:eastAsia="宋体" w:hAnsi="Arial" w:cs="Arial"/>
          <w:color w:val="000000"/>
          <w:sz w:val="20"/>
          <w:szCs w:val="20"/>
        </w:rPr>
        <w:t>COVID-19 and its impact on us and the aerospace industry could limit our access to credit markets and we may have difficulty obtaining financing on terms acceptable to us or at all. In addition, certain of our customers may also be unable to make timely pa</w:t>
      </w:r>
      <w:r>
        <w:rPr>
          <w:rFonts w:ascii="Arial" w:eastAsia="宋体" w:hAnsi="Arial" w:cs="Arial"/>
          <w:color w:val="000000"/>
          <w:sz w:val="20"/>
          <w:szCs w:val="20"/>
        </w:rPr>
        <w:t>yments to us. Factors that could limit our access to additional liquidity include disruptions in the global capital markets and/or additional declines in our financial performance, outlook or credit ratings. The occurrence of any or all of these events wou</w:t>
      </w:r>
      <w:r>
        <w:rPr>
          <w:rFonts w:ascii="Arial" w:eastAsia="宋体" w:hAnsi="Arial" w:cs="Arial"/>
          <w:color w:val="000000"/>
          <w:sz w:val="20"/>
          <w:szCs w:val="20"/>
        </w:rPr>
        <w:t>ld be expected to adversely affect our ability to fund our operations and contractual commitments. In addition, downgrades in our credit ratings could adversely affect our cost of funds and related margins, liquidity, competitive position and access to cap</w:t>
      </w:r>
      <w:r>
        <w:rPr>
          <w:rFonts w:ascii="Arial" w:eastAsia="宋体" w:hAnsi="Arial" w:cs="Arial"/>
          <w:color w:val="000000"/>
          <w:sz w:val="20"/>
          <w:szCs w:val="20"/>
        </w:rPr>
        <w:t>ital markets, and a significant downgrade could have an adverse impact on our businesses.</w:t>
      </w:r>
    </w:p>
    <w:p w14:paraId="4090FCDE" w14:textId="77777777" w:rsidR="00833634" w:rsidRDefault="00E15D51">
      <w:pPr>
        <w:spacing w:after="180"/>
        <w:jc w:val="both"/>
      </w:pPr>
      <w:r>
        <w:rPr>
          <w:rFonts w:ascii="Arial" w:eastAsia="宋体" w:hAnsi="Arial" w:cs="Arial"/>
          <w:b/>
          <w:bCs/>
          <w:i/>
          <w:iCs/>
          <w:color w:val="000000"/>
          <w:sz w:val="20"/>
          <w:szCs w:val="20"/>
        </w:rPr>
        <w:t>Customer-related risks:</w:t>
      </w:r>
      <w:r>
        <w:rPr>
          <w:rFonts w:ascii="Arial" w:eastAsia="宋体" w:hAnsi="Arial" w:cs="Arial"/>
          <w:color w:val="000000"/>
          <w:sz w:val="20"/>
          <w:szCs w:val="20"/>
        </w:rPr>
        <w:t xml:space="preserve"> Commercial air traffic has fallen dramatically due to the COVID-19 pandemic. While this trend has impacted passenger traffic most severely, ne</w:t>
      </w:r>
      <w:r>
        <w:rPr>
          <w:rFonts w:ascii="Arial" w:eastAsia="宋体" w:hAnsi="Arial" w:cs="Arial"/>
          <w:color w:val="000000"/>
          <w:sz w:val="20"/>
          <w:szCs w:val="20"/>
        </w:rPr>
        <w:t xml:space="preserve">ar-term cargo traffic has also fallen significantly due to the global economic downturn and the reduction in cargo capacity on passenger airplanes. Most airlines have significantly reduced their capacity, and many could implement further reductions in the </w:t>
      </w:r>
      <w:r>
        <w:rPr>
          <w:rFonts w:ascii="Arial" w:eastAsia="宋体" w:hAnsi="Arial" w:cs="Arial"/>
          <w:color w:val="000000"/>
          <w:sz w:val="20"/>
          <w:szCs w:val="20"/>
        </w:rPr>
        <w:t>near future. Many airlines are also implementing significant reductions in staffing. These capacity changes are causing, and are expected to continue to cause, negative impacts to our customers’ revenue, earnings, and cash flow, and in some cases may threa</w:t>
      </w:r>
      <w:r>
        <w:rPr>
          <w:rFonts w:ascii="Arial" w:eastAsia="宋体" w:hAnsi="Arial" w:cs="Arial"/>
          <w:color w:val="000000"/>
          <w:sz w:val="20"/>
          <w:szCs w:val="20"/>
        </w:rPr>
        <w:t>ten the future viability of some of our customers, potentially causing defaults within our customer financing portfolio, which was $2.1 billion as of September 30, 2020 and/or requiring us to remarket aircraft that have already been produced and/or are cur</w:t>
      </w:r>
      <w:r>
        <w:rPr>
          <w:rFonts w:ascii="Arial" w:eastAsia="宋体" w:hAnsi="Arial" w:cs="Arial"/>
          <w:color w:val="000000"/>
          <w:sz w:val="20"/>
          <w:szCs w:val="20"/>
        </w:rPr>
        <w:t>rently in backlog. If we are unable to successfully remarket these aircraft and/or the narrow-body and wide-body markets do not recover as soon as we are currently assuming, or if we are required to further reduce production rates and/or contract the accou</w:t>
      </w:r>
      <w:r>
        <w:rPr>
          <w:rFonts w:ascii="Arial" w:eastAsia="宋体" w:hAnsi="Arial" w:cs="Arial"/>
          <w:color w:val="000000"/>
          <w:sz w:val="20"/>
          <w:szCs w:val="20"/>
        </w:rPr>
        <w:t>nting quantity on any of our commercial programs, we could experience material reductions in earnings and/or be required to recognize a reach-forward loss on one or more of our programs. In addition, if 737 MAX aircraft remain grounded for an extended peri</w:t>
      </w:r>
      <w:r>
        <w:rPr>
          <w:rFonts w:ascii="Arial" w:eastAsia="宋体" w:hAnsi="Arial" w:cs="Arial"/>
          <w:color w:val="000000"/>
          <w:sz w:val="20"/>
          <w:szCs w:val="20"/>
        </w:rPr>
        <w:t>od of time, we may experience additional reductions to backlog and/or significant order cancellations. Additionally, we may experience fewer new orders and increased cancellations across all of our commercial airplane programs as a result of the COVID-19 p</w:t>
      </w:r>
      <w:r>
        <w:rPr>
          <w:rFonts w:ascii="Arial" w:eastAsia="宋体" w:hAnsi="Arial" w:cs="Arial"/>
          <w:color w:val="000000"/>
          <w:sz w:val="20"/>
          <w:szCs w:val="20"/>
        </w:rPr>
        <w:t>andemic and associated impacts on demand. Our customers may also lack sufficient liquidity to purchase new aircraft due to impacts from the pandemic. We are also observing a significant increase in the number of requests for payment deferrals, contract mod</w:t>
      </w:r>
      <w:r>
        <w:rPr>
          <w:rFonts w:ascii="Arial" w:eastAsia="宋体" w:hAnsi="Arial" w:cs="Arial"/>
          <w:color w:val="000000"/>
          <w:sz w:val="20"/>
          <w:szCs w:val="20"/>
        </w:rPr>
        <w:t>ifications, lease restructurings and similar actions, and these trends may lead to additional charges, impairments and other adverse financial impacts in our business over time. In addition, to the extent that customers have valid rights to cancel undelive</w:t>
      </w:r>
      <w:r>
        <w:rPr>
          <w:rFonts w:ascii="Arial" w:eastAsia="宋体" w:hAnsi="Arial" w:cs="Arial"/>
          <w:color w:val="000000"/>
          <w:sz w:val="20"/>
          <w:szCs w:val="20"/>
        </w:rPr>
        <w:t>red aircraft, we may be required to refund pre-delivery payments, putting additional constraints on our liquidity.</w:t>
      </w:r>
    </w:p>
    <w:p w14:paraId="4090FCDF" w14:textId="77777777" w:rsidR="00833634" w:rsidRDefault="00E15D51">
      <w:pPr>
        <w:spacing w:after="180"/>
        <w:jc w:val="both"/>
      </w:pPr>
      <w:r>
        <w:rPr>
          <w:rFonts w:ascii="Arial" w:eastAsia="宋体" w:hAnsi="Arial" w:cs="Arial"/>
          <w:color w:val="000000"/>
          <w:sz w:val="20"/>
          <w:szCs w:val="20"/>
        </w:rPr>
        <w:t>In addition to the near-term impact, there is risk that the industry implements longer-term strategies involving reduced capacity, shifting r</w:t>
      </w:r>
      <w:r>
        <w:rPr>
          <w:rFonts w:ascii="Arial" w:eastAsia="宋体" w:hAnsi="Arial" w:cs="Arial"/>
          <w:color w:val="000000"/>
          <w:sz w:val="20"/>
          <w:szCs w:val="20"/>
        </w:rPr>
        <w:t>oute patterns, and mitigation strategies related to impacts from COVID-19 and the risk of future public health crises. In addition, airlines may experience reduced demand due to reluctance by the flying public to travel due to travel restrictions and/or so</w:t>
      </w:r>
      <w:r>
        <w:rPr>
          <w:rFonts w:ascii="Arial" w:eastAsia="宋体" w:hAnsi="Arial" w:cs="Arial"/>
          <w:color w:val="000000"/>
          <w:sz w:val="20"/>
          <w:szCs w:val="20"/>
        </w:rPr>
        <w:t>cial distancing requirements.</w:t>
      </w:r>
    </w:p>
    <w:p w14:paraId="4090FCE0" w14:textId="77777777" w:rsidR="00833634" w:rsidRDefault="00E15D51">
      <w:pPr>
        <w:spacing w:after="180"/>
        <w:jc w:val="both"/>
      </w:pPr>
      <w:r>
        <w:rPr>
          <w:rFonts w:ascii="Arial" w:eastAsia="宋体" w:hAnsi="Arial" w:cs="Arial"/>
          <w:color w:val="000000"/>
          <w:sz w:val="20"/>
          <w:szCs w:val="20"/>
        </w:rPr>
        <w:t>As a result, there is significant uncertainty with respect to when commercial air traffic levels will begin to recover, and whether and at what point capacity will return to and/or exceed pre-COVID-19 levels. The COVID-19 pand</w:t>
      </w:r>
      <w:r>
        <w:rPr>
          <w:rFonts w:ascii="Arial" w:eastAsia="宋体" w:hAnsi="Arial" w:cs="Arial"/>
          <w:color w:val="000000"/>
          <w:sz w:val="20"/>
          <w:szCs w:val="20"/>
        </w:rPr>
        <w:t>emic also has increased, and its aftermath is also expected to continue to increase, uncertainty with respect to global trade volumes, putting significant negative pressure on cargo traffic. Any of these factors would have a significant impact on the deman</w:t>
      </w:r>
      <w:r>
        <w:rPr>
          <w:rFonts w:ascii="Arial" w:eastAsia="宋体" w:hAnsi="Arial" w:cs="Arial"/>
          <w:color w:val="000000"/>
          <w:sz w:val="20"/>
          <w:szCs w:val="20"/>
        </w:rPr>
        <w:t xml:space="preserve">d for both single-aisle and wide-body commercial aircraft, as well as for the services we provide to commercial airlines. In addition, a lengthy period of reduced industry-wide demand for commercial aircraft would put additional pressure on our suppliers, </w:t>
      </w:r>
      <w:r>
        <w:rPr>
          <w:rFonts w:ascii="Arial" w:eastAsia="宋体" w:hAnsi="Arial" w:cs="Arial"/>
          <w:color w:val="000000"/>
          <w:sz w:val="20"/>
          <w:szCs w:val="20"/>
        </w:rPr>
        <w:t>resulting in increased procurement costs and/or additional supply chain disruption. To the extent that the COVID-19 pandemic or its aftermath further impacts demand for our products and services or impairs the viability of some of our customers and/or supp</w:t>
      </w:r>
      <w:r>
        <w:rPr>
          <w:rFonts w:ascii="Arial" w:eastAsia="宋体" w:hAnsi="Arial" w:cs="Arial"/>
          <w:color w:val="000000"/>
          <w:sz w:val="20"/>
          <w:szCs w:val="20"/>
        </w:rPr>
        <w:t>liers, our financial condition, results of operations, and cash flows could be adversely affected, and those impacts could be material.</w:t>
      </w:r>
    </w:p>
    <w:p w14:paraId="4090FCE1" w14:textId="77777777" w:rsidR="00833634" w:rsidRDefault="00E15D51">
      <w:pPr>
        <w:spacing w:after="180"/>
        <w:jc w:val="center"/>
      </w:pPr>
      <w:r>
        <w:rPr>
          <w:rFonts w:ascii="Arial" w:eastAsia="宋体" w:hAnsi="Arial" w:cs="Arial"/>
          <w:color w:val="000000"/>
          <w:sz w:val="18"/>
          <w:szCs w:val="18"/>
        </w:rPr>
        <w:t>62</w:t>
      </w:r>
    </w:p>
    <w:p w14:paraId="4090FCE2" w14:textId="77777777" w:rsidR="00833634" w:rsidRDefault="00E15D51">
      <w:r>
        <w:pict w14:anchorId="4090FE5E">
          <v:rect id="_x0000_i1088" style="width:415.3pt;height:1.5pt" o:hralign="center" o:hrstd="t" o:hr="t" fillcolor="#a0a0a0" stroked="f"/>
        </w:pict>
      </w:r>
    </w:p>
    <w:p w14:paraId="4090FCE3" w14:textId="77777777" w:rsidR="00833634" w:rsidRDefault="00E15D51">
      <w:pPr>
        <w:spacing w:after="180"/>
        <w:jc w:val="both"/>
      </w:pPr>
      <w:hyperlink r:id="rId165" w:anchor="i8d805bfb1e1c4815a1dcd5b6d1e0b117_10" w:history="1">
        <w:r>
          <w:rPr>
            <w:rStyle w:val="a5"/>
            <w:rFonts w:ascii="Arial" w:eastAsia="宋体" w:hAnsi="Arial" w:cs="Arial"/>
            <w:sz w:val="18"/>
            <w:szCs w:val="18"/>
          </w:rPr>
          <w:t>Table of Contents</w:t>
        </w:r>
      </w:hyperlink>
    </w:p>
    <w:p w14:paraId="4090FCE4" w14:textId="77777777" w:rsidR="00833634" w:rsidRDefault="00E15D51">
      <w:pPr>
        <w:spacing w:after="300"/>
        <w:jc w:val="both"/>
      </w:pPr>
      <w:r>
        <w:rPr>
          <w:rFonts w:ascii="Arial" w:eastAsia="宋体" w:hAnsi="Arial" w:cs="Arial"/>
          <w:b/>
          <w:bCs/>
          <w:i/>
          <w:iCs/>
          <w:color w:val="000000"/>
          <w:sz w:val="20"/>
          <w:szCs w:val="20"/>
        </w:rPr>
        <w:t>Other risks:</w:t>
      </w:r>
      <w:r>
        <w:rPr>
          <w:rFonts w:ascii="Arial" w:eastAsia="宋体" w:hAnsi="Arial" w:cs="Arial"/>
          <w:color w:val="000000"/>
          <w:sz w:val="20"/>
          <w:szCs w:val="20"/>
        </w:rPr>
        <w:t xml:space="preserve"> The magnitude and duration of the global COVID-19 pandemic is uncertain. </w:t>
      </w:r>
      <w:r>
        <w:rPr>
          <w:rFonts w:ascii="Arial" w:eastAsia="宋体" w:hAnsi="Arial" w:cs="Arial"/>
          <w:color w:val="000000"/>
          <w:sz w:val="20"/>
          <w:szCs w:val="20"/>
        </w:rPr>
        <w:t>As the pandemic continues to adversely affect our business and operating and financial results, it also is expected to have the effect of heightening many of the other risks described in the risk factors in our Annual Report on Form 10-K for the year ended</w:t>
      </w:r>
      <w:r>
        <w:rPr>
          <w:rFonts w:ascii="Arial" w:eastAsia="宋体" w:hAnsi="Arial" w:cs="Arial"/>
          <w:color w:val="000000"/>
          <w:sz w:val="20"/>
          <w:szCs w:val="20"/>
        </w:rPr>
        <w:t xml:space="preserve"> December 31, 2019. Further, the COVID-19 pandemic may also affect our operating and financial results in a manner that is not presently known to us or that we currently do not expect to present significant risks to our operations or financial results.</w:t>
      </w:r>
    </w:p>
    <w:p w14:paraId="4090FCE5" w14:textId="77777777" w:rsidR="00833634" w:rsidRDefault="00E15D51">
      <w:pPr>
        <w:spacing w:before="300" w:after="180"/>
        <w:jc w:val="both"/>
      </w:pPr>
      <w:r>
        <w:rPr>
          <w:rFonts w:ascii="Arial" w:eastAsia="宋体" w:hAnsi="Arial" w:cs="Arial"/>
          <w:b/>
          <w:bCs/>
          <w:color w:val="000000"/>
          <w:sz w:val="20"/>
          <w:szCs w:val="20"/>
        </w:rPr>
        <w:t>Ite</w:t>
      </w:r>
      <w:r>
        <w:rPr>
          <w:rFonts w:ascii="Arial" w:eastAsia="宋体" w:hAnsi="Arial" w:cs="Arial"/>
          <w:b/>
          <w:bCs/>
          <w:color w:val="000000"/>
          <w:sz w:val="20"/>
          <w:szCs w:val="20"/>
        </w:rPr>
        <w:t>m 2. Unregistered Sales of Equity Securities and Use of Proceeds</w:t>
      </w:r>
    </w:p>
    <w:p w14:paraId="4090FCE6" w14:textId="77777777" w:rsidR="00833634" w:rsidRDefault="00E15D51">
      <w:pPr>
        <w:spacing w:after="180"/>
        <w:jc w:val="both"/>
      </w:pPr>
      <w:r>
        <w:rPr>
          <w:rFonts w:ascii="Arial" w:eastAsia="宋体" w:hAnsi="Arial" w:cs="Arial"/>
          <w:b/>
          <w:bCs/>
          <w:color w:val="000000"/>
          <w:sz w:val="20"/>
          <w:szCs w:val="20"/>
        </w:rPr>
        <w:t>Issuer Purchases of Equity Securities</w:t>
      </w:r>
    </w:p>
    <w:p w14:paraId="4090FCE7" w14:textId="77777777" w:rsidR="00833634" w:rsidRDefault="00E15D51">
      <w:pPr>
        <w:jc w:val="both"/>
      </w:pPr>
      <w:r>
        <w:rPr>
          <w:rFonts w:ascii="Arial" w:eastAsia="宋体" w:hAnsi="Arial" w:cs="Arial"/>
          <w:color w:val="000000"/>
          <w:sz w:val="20"/>
          <w:szCs w:val="20"/>
        </w:rPr>
        <w:t xml:space="preserve">The following table provides information about purchases we made during the quarter ended September 30, 2020 of equity securities that are registered by </w:t>
      </w:r>
      <w:r>
        <w:rPr>
          <w:rFonts w:ascii="Arial" w:eastAsia="宋体" w:hAnsi="Arial" w:cs="Arial"/>
          <w:color w:val="000000"/>
          <w:sz w:val="20"/>
          <w:szCs w:val="20"/>
        </w:rPr>
        <w:t>us pursuant to Section 12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37"/>
        <w:gridCol w:w="2015"/>
        <w:gridCol w:w="36"/>
        <w:gridCol w:w="88"/>
        <w:gridCol w:w="1156"/>
        <w:gridCol w:w="37"/>
        <w:gridCol w:w="36"/>
        <w:gridCol w:w="36"/>
        <w:gridCol w:w="36"/>
        <w:gridCol w:w="76"/>
        <w:gridCol w:w="723"/>
        <w:gridCol w:w="37"/>
        <w:gridCol w:w="36"/>
        <w:gridCol w:w="36"/>
        <w:gridCol w:w="36"/>
        <w:gridCol w:w="89"/>
        <w:gridCol w:w="1589"/>
        <w:gridCol w:w="37"/>
        <w:gridCol w:w="36"/>
        <w:gridCol w:w="36"/>
        <w:gridCol w:w="36"/>
        <w:gridCol w:w="91"/>
        <w:gridCol w:w="1964"/>
        <w:gridCol w:w="37"/>
      </w:tblGrid>
      <w:tr w:rsidR="00833634" w14:paraId="4090FD00" w14:textId="77777777">
        <w:tc>
          <w:tcPr>
            <w:tcW w:w="50" w:type="pct"/>
            <w:shd w:val="clear" w:color="auto" w:fill="auto"/>
          </w:tcPr>
          <w:p w14:paraId="4090FCE8" w14:textId="77777777" w:rsidR="00833634" w:rsidRDefault="00833634">
            <w:pPr>
              <w:rPr>
                <w:rFonts w:ascii="宋体"/>
              </w:rPr>
            </w:pPr>
          </w:p>
        </w:tc>
        <w:tc>
          <w:tcPr>
            <w:tcW w:w="1475" w:type="pct"/>
            <w:shd w:val="clear" w:color="auto" w:fill="auto"/>
          </w:tcPr>
          <w:p w14:paraId="4090FCE9" w14:textId="77777777" w:rsidR="00833634" w:rsidRDefault="00833634">
            <w:pPr>
              <w:rPr>
                <w:rFonts w:ascii="宋体"/>
              </w:rPr>
            </w:pPr>
          </w:p>
        </w:tc>
        <w:tc>
          <w:tcPr>
            <w:tcW w:w="5" w:type="pct"/>
            <w:shd w:val="clear" w:color="auto" w:fill="auto"/>
          </w:tcPr>
          <w:p w14:paraId="4090FCEA" w14:textId="77777777" w:rsidR="00833634" w:rsidRDefault="00833634">
            <w:pPr>
              <w:rPr>
                <w:rFonts w:ascii="宋体"/>
              </w:rPr>
            </w:pPr>
          </w:p>
        </w:tc>
        <w:tc>
          <w:tcPr>
            <w:tcW w:w="50" w:type="pct"/>
            <w:shd w:val="clear" w:color="auto" w:fill="auto"/>
          </w:tcPr>
          <w:p w14:paraId="4090FCEB" w14:textId="77777777" w:rsidR="00833634" w:rsidRDefault="00833634">
            <w:pPr>
              <w:rPr>
                <w:rFonts w:ascii="宋体"/>
              </w:rPr>
            </w:pPr>
          </w:p>
        </w:tc>
        <w:tc>
          <w:tcPr>
            <w:tcW w:w="658" w:type="pct"/>
            <w:shd w:val="clear" w:color="auto" w:fill="auto"/>
          </w:tcPr>
          <w:p w14:paraId="4090FCEC" w14:textId="77777777" w:rsidR="00833634" w:rsidRDefault="00833634">
            <w:pPr>
              <w:rPr>
                <w:rFonts w:ascii="宋体"/>
              </w:rPr>
            </w:pPr>
          </w:p>
        </w:tc>
        <w:tc>
          <w:tcPr>
            <w:tcW w:w="5" w:type="pct"/>
            <w:shd w:val="clear" w:color="auto" w:fill="auto"/>
          </w:tcPr>
          <w:p w14:paraId="4090FCED" w14:textId="77777777" w:rsidR="00833634" w:rsidRDefault="00833634">
            <w:pPr>
              <w:rPr>
                <w:rFonts w:ascii="宋体"/>
              </w:rPr>
            </w:pPr>
          </w:p>
        </w:tc>
        <w:tc>
          <w:tcPr>
            <w:tcW w:w="5" w:type="pct"/>
            <w:shd w:val="clear" w:color="auto" w:fill="auto"/>
          </w:tcPr>
          <w:p w14:paraId="4090FCEE" w14:textId="77777777" w:rsidR="00833634" w:rsidRDefault="00833634">
            <w:pPr>
              <w:rPr>
                <w:rFonts w:ascii="宋体"/>
              </w:rPr>
            </w:pPr>
          </w:p>
        </w:tc>
        <w:tc>
          <w:tcPr>
            <w:tcW w:w="30" w:type="pct"/>
            <w:shd w:val="clear" w:color="auto" w:fill="auto"/>
          </w:tcPr>
          <w:p w14:paraId="4090FCEF" w14:textId="77777777" w:rsidR="00833634" w:rsidRDefault="00833634">
            <w:pPr>
              <w:rPr>
                <w:rFonts w:ascii="宋体"/>
              </w:rPr>
            </w:pPr>
          </w:p>
        </w:tc>
        <w:tc>
          <w:tcPr>
            <w:tcW w:w="5" w:type="pct"/>
            <w:shd w:val="clear" w:color="auto" w:fill="auto"/>
          </w:tcPr>
          <w:p w14:paraId="4090FCF0" w14:textId="77777777" w:rsidR="00833634" w:rsidRDefault="00833634">
            <w:pPr>
              <w:rPr>
                <w:rFonts w:ascii="宋体"/>
              </w:rPr>
            </w:pPr>
          </w:p>
        </w:tc>
        <w:tc>
          <w:tcPr>
            <w:tcW w:w="50" w:type="pct"/>
            <w:shd w:val="clear" w:color="auto" w:fill="auto"/>
          </w:tcPr>
          <w:p w14:paraId="4090FCF1" w14:textId="77777777" w:rsidR="00833634" w:rsidRDefault="00833634">
            <w:pPr>
              <w:rPr>
                <w:rFonts w:ascii="宋体"/>
              </w:rPr>
            </w:pPr>
          </w:p>
        </w:tc>
        <w:tc>
          <w:tcPr>
            <w:tcW w:w="481" w:type="pct"/>
            <w:shd w:val="clear" w:color="auto" w:fill="auto"/>
          </w:tcPr>
          <w:p w14:paraId="4090FCF2" w14:textId="77777777" w:rsidR="00833634" w:rsidRDefault="00833634">
            <w:pPr>
              <w:rPr>
                <w:rFonts w:ascii="宋体"/>
              </w:rPr>
            </w:pPr>
          </w:p>
        </w:tc>
        <w:tc>
          <w:tcPr>
            <w:tcW w:w="5" w:type="pct"/>
            <w:shd w:val="clear" w:color="auto" w:fill="auto"/>
          </w:tcPr>
          <w:p w14:paraId="4090FCF3" w14:textId="77777777" w:rsidR="00833634" w:rsidRDefault="00833634">
            <w:pPr>
              <w:rPr>
                <w:rFonts w:ascii="宋体"/>
              </w:rPr>
            </w:pPr>
          </w:p>
        </w:tc>
        <w:tc>
          <w:tcPr>
            <w:tcW w:w="5" w:type="pct"/>
            <w:shd w:val="clear" w:color="auto" w:fill="auto"/>
          </w:tcPr>
          <w:p w14:paraId="4090FCF4" w14:textId="77777777" w:rsidR="00833634" w:rsidRDefault="00833634">
            <w:pPr>
              <w:rPr>
                <w:rFonts w:ascii="宋体"/>
              </w:rPr>
            </w:pPr>
          </w:p>
        </w:tc>
        <w:tc>
          <w:tcPr>
            <w:tcW w:w="30" w:type="pct"/>
            <w:shd w:val="clear" w:color="auto" w:fill="auto"/>
          </w:tcPr>
          <w:p w14:paraId="4090FCF5" w14:textId="77777777" w:rsidR="00833634" w:rsidRDefault="00833634">
            <w:pPr>
              <w:rPr>
                <w:rFonts w:ascii="宋体"/>
              </w:rPr>
            </w:pPr>
          </w:p>
        </w:tc>
        <w:tc>
          <w:tcPr>
            <w:tcW w:w="5" w:type="pct"/>
            <w:shd w:val="clear" w:color="auto" w:fill="auto"/>
          </w:tcPr>
          <w:p w14:paraId="4090FCF6" w14:textId="77777777" w:rsidR="00833634" w:rsidRDefault="00833634">
            <w:pPr>
              <w:rPr>
                <w:rFonts w:ascii="宋体"/>
              </w:rPr>
            </w:pPr>
          </w:p>
        </w:tc>
        <w:tc>
          <w:tcPr>
            <w:tcW w:w="50" w:type="pct"/>
            <w:shd w:val="clear" w:color="auto" w:fill="auto"/>
          </w:tcPr>
          <w:p w14:paraId="4090FCF7" w14:textId="77777777" w:rsidR="00833634" w:rsidRDefault="00833634">
            <w:pPr>
              <w:rPr>
                <w:rFonts w:ascii="宋体"/>
              </w:rPr>
            </w:pPr>
          </w:p>
        </w:tc>
        <w:tc>
          <w:tcPr>
            <w:tcW w:w="898" w:type="pct"/>
            <w:shd w:val="clear" w:color="auto" w:fill="auto"/>
          </w:tcPr>
          <w:p w14:paraId="4090FCF8" w14:textId="77777777" w:rsidR="00833634" w:rsidRDefault="00833634">
            <w:pPr>
              <w:rPr>
                <w:rFonts w:ascii="宋体"/>
              </w:rPr>
            </w:pPr>
          </w:p>
        </w:tc>
        <w:tc>
          <w:tcPr>
            <w:tcW w:w="5" w:type="pct"/>
            <w:shd w:val="clear" w:color="auto" w:fill="auto"/>
          </w:tcPr>
          <w:p w14:paraId="4090FCF9" w14:textId="77777777" w:rsidR="00833634" w:rsidRDefault="00833634">
            <w:pPr>
              <w:rPr>
                <w:rFonts w:ascii="宋体"/>
              </w:rPr>
            </w:pPr>
          </w:p>
        </w:tc>
        <w:tc>
          <w:tcPr>
            <w:tcW w:w="5" w:type="pct"/>
            <w:shd w:val="clear" w:color="auto" w:fill="auto"/>
          </w:tcPr>
          <w:p w14:paraId="4090FCFA" w14:textId="77777777" w:rsidR="00833634" w:rsidRDefault="00833634">
            <w:pPr>
              <w:rPr>
                <w:rFonts w:ascii="宋体"/>
              </w:rPr>
            </w:pPr>
          </w:p>
        </w:tc>
        <w:tc>
          <w:tcPr>
            <w:tcW w:w="30" w:type="pct"/>
            <w:shd w:val="clear" w:color="auto" w:fill="auto"/>
          </w:tcPr>
          <w:p w14:paraId="4090FCFB" w14:textId="77777777" w:rsidR="00833634" w:rsidRDefault="00833634">
            <w:pPr>
              <w:rPr>
                <w:rFonts w:ascii="宋体"/>
              </w:rPr>
            </w:pPr>
          </w:p>
        </w:tc>
        <w:tc>
          <w:tcPr>
            <w:tcW w:w="5" w:type="pct"/>
            <w:shd w:val="clear" w:color="auto" w:fill="auto"/>
          </w:tcPr>
          <w:p w14:paraId="4090FCFC" w14:textId="77777777" w:rsidR="00833634" w:rsidRDefault="00833634">
            <w:pPr>
              <w:rPr>
                <w:rFonts w:ascii="宋体"/>
              </w:rPr>
            </w:pPr>
          </w:p>
        </w:tc>
        <w:tc>
          <w:tcPr>
            <w:tcW w:w="50" w:type="pct"/>
            <w:shd w:val="clear" w:color="auto" w:fill="auto"/>
          </w:tcPr>
          <w:p w14:paraId="4090FCFD" w14:textId="77777777" w:rsidR="00833634" w:rsidRDefault="00833634">
            <w:pPr>
              <w:rPr>
                <w:rFonts w:ascii="宋体"/>
              </w:rPr>
            </w:pPr>
          </w:p>
        </w:tc>
        <w:tc>
          <w:tcPr>
            <w:tcW w:w="1091" w:type="pct"/>
            <w:shd w:val="clear" w:color="auto" w:fill="auto"/>
          </w:tcPr>
          <w:p w14:paraId="4090FCFE" w14:textId="77777777" w:rsidR="00833634" w:rsidRDefault="00833634">
            <w:pPr>
              <w:rPr>
                <w:rFonts w:ascii="宋体"/>
              </w:rPr>
            </w:pPr>
          </w:p>
        </w:tc>
        <w:tc>
          <w:tcPr>
            <w:tcW w:w="5" w:type="pct"/>
            <w:shd w:val="clear" w:color="auto" w:fill="auto"/>
          </w:tcPr>
          <w:p w14:paraId="4090FCFF" w14:textId="77777777" w:rsidR="00833634" w:rsidRDefault="00833634">
            <w:pPr>
              <w:rPr>
                <w:rFonts w:ascii="宋体"/>
              </w:rPr>
            </w:pPr>
          </w:p>
        </w:tc>
      </w:tr>
      <w:tr w:rsidR="00833634" w14:paraId="4090FD02" w14:textId="77777777">
        <w:tc>
          <w:tcPr>
            <w:tcW w:w="0" w:type="auto"/>
            <w:gridSpan w:val="24"/>
            <w:shd w:val="clear" w:color="auto" w:fill="auto"/>
            <w:tcMar>
              <w:top w:w="40" w:type="dxa"/>
              <w:left w:w="20" w:type="dxa"/>
              <w:bottom w:w="40" w:type="dxa"/>
              <w:right w:w="20" w:type="dxa"/>
            </w:tcMar>
            <w:vAlign w:val="bottom"/>
          </w:tcPr>
          <w:p w14:paraId="4090FD01" w14:textId="77777777" w:rsidR="00833634" w:rsidRDefault="00E15D51">
            <w:pPr>
              <w:textAlignment w:val="bottom"/>
            </w:pPr>
            <w:r>
              <w:rPr>
                <w:rFonts w:ascii="Arial" w:eastAsia="宋体" w:hAnsi="Arial" w:cs="Arial"/>
                <w:i/>
                <w:iCs/>
                <w:color w:val="000000"/>
                <w:sz w:val="20"/>
                <w:szCs w:val="20"/>
              </w:rPr>
              <w:t>(Dollars in millions, except per share data)</w:t>
            </w:r>
          </w:p>
        </w:tc>
      </w:tr>
      <w:tr w:rsidR="00833634" w14:paraId="4090FD0B" w14:textId="77777777">
        <w:tc>
          <w:tcPr>
            <w:tcW w:w="0" w:type="auto"/>
            <w:gridSpan w:val="3"/>
            <w:shd w:val="clear" w:color="auto" w:fill="auto"/>
            <w:tcMar>
              <w:top w:w="40" w:type="dxa"/>
              <w:left w:w="20" w:type="dxa"/>
              <w:bottom w:w="40" w:type="dxa"/>
              <w:right w:w="20" w:type="dxa"/>
            </w:tcMar>
            <w:vAlign w:val="bottom"/>
          </w:tcPr>
          <w:p w14:paraId="4090FD03" w14:textId="77777777" w:rsidR="00833634" w:rsidRDefault="00E15D51">
            <w:pP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4090FD04" w14:textId="77777777" w:rsidR="00833634" w:rsidRDefault="00E15D51">
            <w:pPr>
              <w:jc w:val="center"/>
              <w:textAlignment w:val="bottom"/>
            </w:pPr>
            <w:r>
              <w:rPr>
                <w:rFonts w:ascii="Arial" w:eastAsia="宋体" w:hAnsi="Arial" w:cs="Arial"/>
                <w:color w:val="000000"/>
                <w:sz w:val="20"/>
                <w:szCs w:val="20"/>
              </w:rPr>
              <w:t>(a)</w:t>
            </w:r>
          </w:p>
        </w:tc>
        <w:tc>
          <w:tcPr>
            <w:tcW w:w="0" w:type="auto"/>
            <w:gridSpan w:val="3"/>
            <w:shd w:val="clear" w:color="auto" w:fill="auto"/>
            <w:tcMar>
              <w:top w:w="0" w:type="dxa"/>
              <w:left w:w="20" w:type="dxa"/>
              <w:bottom w:w="0" w:type="dxa"/>
              <w:right w:w="20" w:type="dxa"/>
            </w:tcMar>
          </w:tcPr>
          <w:p w14:paraId="4090FD05"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D06" w14:textId="77777777" w:rsidR="00833634" w:rsidRDefault="00E15D51">
            <w:pPr>
              <w:jc w:val="center"/>
              <w:textAlignment w:val="bottom"/>
            </w:pPr>
            <w:r>
              <w:rPr>
                <w:rFonts w:ascii="Arial" w:eastAsia="宋体" w:hAnsi="Arial" w:cs="Arial"/>
                <w:color w:val="000000"/>
                <w:sz w:val="20"/>
                <w:szCs w:val="20"/>
              </w:rPr>
              <w:t>(b)</w:t>
            </w:r>
          </w:p>
        </w:tc>
        <w:tc>
          <w:tcPr>
            <w:tcW w:w="0" w:type="auto"/>
            <w:gridSpan w:val="3"/>
            <w:shd w:val="clear" w:color="auto" w:fill="auto"/>
            <w:tcMar>
              <w:top w:w="0" w:type="dxa"/>
              <w:left w:w="20" w:type="dxa"/>
              <w:bottom w:w="0" w:type="dxa"/>
              <w:right w:w="20" w:type="dxa"/>
            </w:tcMar>
          </w:tcPr>
          <w:p w14:paraId="4090FD07"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D08" w14:textId="77777777" w:rsidR="00833634" w:rsidRDefault="00E15D51">
            <w:pPr>
              <w:jc w:val="center"/>
              <w:textAlignment w:val="bottom"/>
            </w:pPr>
            <w:r>
              <w:rPr>
                <w:rFonts w:ascii="Arial" w:eastAsia="宋体" w:hAnsi="Arial" w:cs="Arial"/>
                <w:color w:val="000000"/>
                <w:sz w:val="20"/>
                <w:szCs w:val="20"/>
              </w:rPr>
              <w:t>(c)</w:t>
            </w:r>
          </w:p>
        </w:tc>
        <w:tc>
          <w:tcPr>
            <w:tcW w:w="0" w:type="auto"/>
            <w:gridSpan w:val="3"/>
            <w:shd w:val="clear" w:color="auto" w:fill="auto"/>
            <w:tcMar>
              <w:top w:w="0" w:type="dxa"/>
              <w:left w:w="20" w:type="dxa"/>
              <w:bottom w:w="0" w:type="dxa"/>
              <w:right w:w="20" w:type="dxa"/>
            </w:tcMar>
          </w:tcPr>
          <w:p w14:paraId="4090FD09"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D0A" w14:textId="77777777" w:rsidR="00833634" w:rsidRDefault="00E15D51">
            <w:pPr>
              <w:jc w:val="center"/>
              <w:textAlignment w:val="bottom"/>
            </w:pPr>
            <w:r>
              <w:rPr>
                <w:rFonts w:ascii="Arial" w:eastAsia="宋体" w:hAnsi="Arial" w:cs="Arial"/>
                <w:color w:val="000000"/>
                <w:sz w:val="20"/>
                <w:szCs w:val="20"/>
              </w:rPr>
              <w:t>(d)</w:t>
            </w:r>
          </w:p>
        </w:tc>
      </w:tr>
      <w:tr w:rsidR="00833634" w14:paraId="4090FD1A" w14:textId="77777777">
        <w:tc>
          <w:tcPr>
            <w:tcW w:w="0" w:type="auto"/>
            <w:gridSpan w:val="3"/>
            <w:shd w:val="clear" w:color="auto" w:fill="auto"/>
            <w:tcMar>
              <w:top w:w="0" w:type="dxa"/>
              <w:left w:w="20" w:type="dxa"/>
              <w:bottom w:w="0" w:type="dxa"/>
              <w:right w:w="20" w:type="dxa"/>
            </w:tcMar>
          </w:tcPr>
          <w:p w14:paraId="4090FD0C"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D0D" w14:textId="77777777" w:rsidR="00833634" w:rsidRDefault="00E15D51">
            <w:pPr>
              <w:jc w:val="right"/>
              <w:textAlignment w:val="bottom"/>
            </w:pPr>
            <w:r>
              <w:rPr>
                <w:rFonts w:ascii="Arial" w:eastAsia="宋体" w:hAnsi="Arial" w:cs="Arial"/>
                <w:color w:val="000000"/>
                <w:sz w:val="20"/>
                <w:szCs w:val="20"/>
              </w:rPr>
              <w:t>Total Number</w:t>
            </w:r>
          </w:p>
          <w:p w14:paraId="4090FD0E" w14:textId="77777777" w:rsidR="00833634" w:rsidRDefault="00E15D51">
            <w:pPr>
              <w:jc w:val="right"/>
              <w:textAlignment w:val="bottom"/>
            </w:pPr>
            <w:r>
              <w:rPr>
                <w:rFonts w:ascii="Arial" w:eastAsia="宋体" w:hAnsi="Arial" w:cs="Arial"/>
                <w:color w:val="000000"/>
                <w:sz w:val="20"/>
                <w:szCs w:val="20"/>
              </w:rPr>
              <w:t>of Shares</w:t>
            </w:r>
          </w:p>
          <w:p w14:paraId="4090FD0F" w14:textId="77777777" w:rsidR="00833634" w:rsidRDefault="00E15D51">
            <w:pPr>
              <w:jc w:val="right"/>
              <w:textAlignment w:val="bottom"/>
            </w:pPr>
            <w:r>
              <w:rPr>
                <w:rFonts w:ascii="Arial" w:eastAsia="宋体" w:hAnsi="Arial" w:cs="Arial"/>
                <w:color w:val="000000"/>
                <w:sz w:val="20"/>
                <w:szCs w:val="20"/>
              </w:rPr>
              <w:t>Purchased</w:t>
            </w:r>
            <w:r>
              <w:rPr>
                <w:rFonts w:ascii="Arial" w:eastAsia="宋体" w:hAnsi="Arial" w:cs="Arial"/>
                <w:color w:val="000000"/>
                <w:sz w:val="13"/>
                <w:szCs w:val="13"/>
              </w:rPr>
              <w:t> (1)</w:t>
            </w:r>
          </w:p>
        </w:tc>
        <w:tc>
          <w:tcPr>
            <w:tcW w:w="0" w:type="auto"/>
            <w:gridSpan w:val="3"/>
            <w:shd w:val="clear" w:color="auto" w:fill="auto"/>
            <w:tcMar>
              <w:top w:w="0" w:type="dxa"/>
              <w:left w:w="20" w:type="dxa"/>
              <w:bottom w:w="0" w:type="dxa"/>
              <w:right w:w="20" w:type="dxa"/>
            </w:tcMar>
          </w:tcPr>
          <w:p w14:paraId="4090FD10"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D11" w14:textId="77777777" w:rsidR="00833634" w:rsidRDefault="00E15D51">
            <w:pPr>
              <w:jc w:val="right"/>
              <w:textAlignment w:val="bottom"/>
            </w:pPr>
            <w:r>
              <w:rPr>
                <w:rFonts w:ascii="Arial" w:eastAsia="宋体" w:hAnsi="Arial" w:cs="Arial"/>
                <w:color w:val="000000"/>
                <w:sz w:val="20"/>
                <w:szCs w:val="20"/>
              </w:rPr>
              <w:t>Average</w:t>
            </w:r>
            <w:r>
              <w:rPr>
                <w:rFonts w:ascii="Arial" w:eastAsia="宋体" w:hAnsi="Arial" w:cs="Arial"/>
                <w:color w:val="000000"/>
                <w:sz w:val="20"/>
                <w:szCs w:val="20"/>
              </w:rPr>
              <w:br/>
              <w:t>Price</w:t>
            </w:r>
            <w:r>
              <w:rPr>
                <w:rFonts w:ascii="Arial" w:eastAsia="宋体" w:hAnsi="Arial" w:cs="Arial"/>
                <w:color w:val="000000"/>
                <w:sz w:val="20"/>
                <w:szCs w:val="20"/>
              </w:rPr>
              <w:br/>
              <w:t>Paid per</w:t>
            </w:r>
            <w:r>
              <w:rPr>
                <w:rFonts w:ascii="Arial" w:eastAsia="宋体" w:hAnsi="Arial" w:cs="Arial"/>
                <w:color w:val="000000"/>
                <w:sz w:val="20"/>
                <w:szCs w:val="20"/>
              </w:rPr>
              <w:br/>
              <w:t>Share</w:t>
            </w:r>
          </w:p>
        </w:tc>
        <w:tc>
          <w:tcPr>
            <w:tcW w:w="0" w:type="auto"/>
            <w:gridSpan w:val="3"/>
            <w:shd w:val="clear" w:color="auto" w:fill="auto"/>
            <w:tcMar>
              <w:top w:w="0" w:type="dxa"/>
              <w:left w:w="20" w:type="dxa"/>
              <w:bottom w:w="0" w:type="dxa"/>
              <w:right w:w="20" w:type="dxa"/>
            </w:tcMar>
          </w:tcPr>
          <w:p w14:paraId="4090FD1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D13" w14:textId="77777777" w:rsidR="00833634" w:rsidRDefault="00E15D51">
            <w:pPr>
              <w:jc w:val="right"/>
              <w:textAlignment w:val="bottom"/>
            </w:pPr>
            <w:r>
              <w:rPr>
                <w:rFonts w:ascii="Arial" w:eastAsia="宋体" w:hAnsi="Arial" w:cs="Arial"/>
                <w:color w:val="000000"/>
                <w:sz w:val="20"/>
                <w:szCs w:val="20"/>
              </w:rPr>
              <w:t>Total Number of</w:t>
            </w:r>
            <w:r>
              <w:rPr>
                <w:rFonts w:ascii="Arial" w:eastAsia="宋体" w:hAnsi="Arial" w:cs="Arial"/>
                <w:color w:val="000000"/>
                <w:sz w:val="20"/>
                <w:szCs w:val="20"/>
              </w:rPr>
              <w:br/>
              <w:t>Shares Purchased</w:t>
            </w:r>
            <w:r>
              <w:rPr>
                <w:rFonts w:ascii="Arial" w:eastAsia="宋体" w:hAnsi="Arial" w:cs="Arial"/>
                <w:color w:val="000000"/>
                <w:sz w:val="20"/>
                <w:szCs w:val="20"/>
              </w:rPr>
              <w:br/>
              <w:t>as Part of Publicly</w:t>
            </w:r>
            <w:r>
              <w:rPr>
                <w:rFonts w:ascii="Arial" w:eastAsia="宋体" w:hAnsi="Arial" w:cs="Arial"/>
                <w:color w:val="000000"/>
                <w:sz w:val="20"/>
                <w:szCs w:val="20"/>
              </w:rPr>
              <w:br/>
              <w:t>Announced Plans</w:t>
            </w:r>
            <w:r>
              <w:rPr>
                <w:rFonts w:ascii="Arial" w:eastAsia="宋体" w:hAnsi="Arial" w:cs="Arial"/>
                <w:color w:val="000000"/>
                <w:sz w:val="20"/>
                <w:szCs w:val="20"/>
              </w:rPr>
              <w:br/>
              <w:t>or Programs</w:t>
            </w:r>
          </w:p>
        </w:tc>
        <w:tc>
          <w:tcPr>
            <w:tcW w:w="0" w:type="auto"/>
            <w:gridSpan w:val="3"/>
            <w:shd w:val="clear" w:color="auto" w:fill="auto"/>
            <w:tcMar>
              <w:top w:w="0" w:type="dxa"/>
              <w:left w:w="20" w:type="dxa"/>
              <w:bottom w:w="0" w:type="dxa"/>
              <w:right w:w="20" w:type="dxa"/>
            </w:tcMar>
          </w:tcPr>
          <w:p w14:paraId="4090FD14"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D15" w14:textId="77777777" w:rsidR="00833634" w:rsidRDefault="00E15D51">
            <w:pPr>
              <w:jc w:val="right"/>
              <w:textAlignment w:val="bottom"/>
            </w:pPr>
            <w:r>
              <w:rPr>
                <w:rFonts w:ascii="Arial" w:eastAsia="宋体" w:hAnsi="Arial" w:cs="Arial"/>
                <w:color w:val="000000"/>
                <w:sz w:val="20"/>
                <w:szCs w:val="20"/>
              </w:rPr>
              <w:t>Approximate Dollar</w:t>
            </w:r>
          </w:p>
          <w:p w14:paraId="4090FD16" w14:textId="77777777" w:rsidR="00833634" w:rsidRDefault="00E15D51">
            <w:pPr>
              <w:jc w:val="right"/>
              <w:textAlignment w:val="bottom"/>
            </w:pPr>
            <w:r>
              <w:rPr>
                <w:rFonts w:ascii="Arial" w:eastAsia="宋体" w:hAnsi="Arial" w:cs="Arial"/>
                <w:color w:val="000000"/>
                <w:sz w:val="20"/>
                <w:szCs w:val="20"/>
              </w:rPr>
              <w:t>Value of Shares That</w:t>
            </w:r>
          </w:p>
          <w:p w14:paraId="4090FD17" w14:textId="77777777" w:rsidR="00833634" w:rsidRDefault="00E15D51">
            <w:pPr>
              <w:jc w:val="right"/>
              <w:textAlignment w:val="bottom"/>
            </w:pPr>
            <w:r>
              <w:rPr>
                <w:rFonts w:ascii="Arial" w:eastAsia="宋体" w:hAnsi="Arial" w:cs="Arial"/>
                <w:color w:val="000000"/>
                <w:sz w:val="20"/>
                <w:szCs w:val="20"/>
              </w:rPr>
              <w:t>May Yet be Purchased</w:t>
            </w:r>
          </w:p>
          <w:p w14:paraId="4090FD18" w14:textId="77777777" w:rsidR="00833634" w:rsidRDefault="00E15D51">
            <w:pPr>
              <w:jc w:val="right"/>
              <w:textAlignment w:val="bottom"/>
            </w:pPr>
            <w:r>
              <w:rPr>
                <w:rFonts w:ascii="Arial" w:eastAsia="宋体" w:hAnsi="Arial" w:cs="Arial"/>
                <w:color w:val="000000"/>
                <w:sz w:val="20"/>
                <w:szCs w:val="20"/>
              </w:rPr>
              <w:t>Under the Plans or</w:t>
            </w:r>
          </w:p>
          <w:p w14:paraId="4090FD19" w14:textId="77777777" w:rsidR="00833634" w:rsidRDefault="00E15D51">
            <w:pPr>
              <w:jc w:val="right"/>
              <w:textAlignment w:val="bottom"/>
            </w:pPr>
            <w:r>
              <w:rPr>
                <w:rFonts w:ascii="Arial" w:eastAsia="宋体" w:hAnsi="Arial" w:cs="Arial"/>
                <w:color w:val="000000"/>
                <w:sz w:val="20"/>
                <w:szCs w:val="20"/>
              </w:rPr>
              <w:t>Programs</w:t>
            </w:r>
            <w:r>
              <w:rPr>
                <w:rFonts w:ascii="Arial" w:eastAsia="宋体" w:hAnsi="Arial" w:cs="Arial"/>
                <w:color w:val="000000"/>
                <w:sz w:val="13"/>
                <w:szCs w:val="13"/>
              </w:rPr>
              <w:t> (2)</w:t>
            </w:r>
          </w:p>
        </w:tc>
      </w:tr>
      <w:tr w:rsidR="00833634" w14:paraId="4090FD25"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4090FD1B" w14:textId="77777777" w:rsidR="00833634" w:rsidRDefault="00E15D51">
            <w:pPr>
              <w:textAlignment w:val="bottom"/>
            </w:pPr>
            <w:r>
              <w:rPr>
                <w:rFonts w:ascii="Arial" w:eastAsia="宋体" w:hAnsi="Arial" w:cs="Arial"/>
                <w:color w:val="000000"/>
                <w:sz w:val="20"/>
                <w:szCs w:val="20"/>
              </w:rPr>
              <w:t>7/1/2020 thru 7/31/2020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D1C" w14:textId="77777777" w:rsidR="00833634" w:rsidRDefault="00E15D51">
            <w:pPr>
              <w:jc w:val="right"/>
              <w:textAlignment w:val="bottom"/>
            </w:pPr>
            <w:r>
              <w:rPr>
                <w:rFonts w:ascii="Arial" w:eastAsia="宋体" w:hAnsi="Arial" w:cs="Arial"/>
                <w:color w:val="000000"/>
                <w:sz w:val="20"/>
                <w:szCs w:val="20"/>
              </w:rPr>
              <w:t>17,219 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D1D"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D1E" w14:textId="77777777" w:rsidR="00833634" w:rsidRDefault="00833634">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4090FD1F" w14:textId="77777777" w:rsidR="00833634" w:rsidRDefault="00E15D51">
            <w:pPr>
              <w:jc w:val="right"/>
              <w:textAlignment w:val="bottom"/>
            </w:pPr>
            <w:r>
              <w:rPr>
                <w:rFonts w:ascii="Arial" w:eastAsia="宋体" w:hAnsi="Arial" w:cs="Arial"/>
                <w:color w:val="000000"/>
                <w:sz w:val="20"/>
                <w:szCs w:val="20"/>
              </w:rPr>
              <w:t>$186.37 </w:t>
            </w:r>
          </w:p>
        </w:tc>
        <w:tc>
          <w:tcPr>
            <w:tcW w:w="0" w:type="auto"/>
            <w:tcBorders>
              <w:top w:val="single" w:sz="8" w:space="0" w:color="000000"/>
            </w:tcBorders>
            <w:shd w:val="clear" w:color="auto" w:fill="CCEEFF"/>
            <w:tcMar>
              <w:top w:w="40" w:type="dxa"/>
              <w:left w:w="0" w:type="dxa"/>
              <w:bottom w:w="40" w:type="dxa"/>
              <w:right w:w="20" w:type="dxa"/>
            </w:tcMar>
            <w:vAlign w:val="bottom"/>
          </w:tcPr>
          <w:p w14:paraId="4090FD20" w14:textId="77777777" w:rsidR="00833634" w:rsidRDefault="00833634">
            <w:pPr>
              <w:jc w:val="right"/>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D21"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D22"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D23" w14:textId="77777777" w:rsidR="00833634" w:rsidRDefault="00833634">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tcPr>
          <w:p w14:paraId="4090FD24" w14:textId="77777777" w:rsidR="00833634" w:rsidRDefault="00833634">
            <w:pPr>
              <w:rPr>
                <w:rFonts w:ascii="宋体"/>
              </w:rPr>
            </w:pPr>
          </w:p>
        </w:tc>
      </w:tr>
      <w:tr w:rsidR="00833634" w14:paraId="4090FD30" w14:textId="77777777">
        <w:tc>
          <w:tcPr>
            <w:tcW w:w="0" w:type="auto"/>
            <w:gridSpan w:val="3"/>
            <w:shd w:val="clear" w:color="auto" w:fill="FFFFFF"/>
            <w:tcMar>
              <w:top w:w="40" w:type="dxa"/>
              <w:left w:w="20" w:type="dxa"/>
              <w:bottom w:w="40" w:type="dxa"/>
              <w:right w:w="20" w:type="dxa"/>
            </w:tcMar>
            <w:vAlign w:val="bottom"/>
          </w:tcPr>
          <w:p w14:paraId="4090FD26" w14:textId="77777777" w:rsidR="00833634" w:rsidRDefault="00E15D51">
            <w:pPr>
              <w:textAlignment w:val="bottom"/>
            </w:pPr>
            <w:r>
              <w:rPr>
                <w:rFonts w:ascii="Arial" w:eastAsia="宋体" w:hAnsi="Arial" w:cs="Arial"/>
                <w:color w:val="000000"/>
                <w:sz w:val="20"/>
                <w:szCs w:val="20"/>
              </w:rPr>
              <w:t>8/1/2020 thru 8/31/2020</w:t>
            </w:r>
          </w:p>
        </w:tc>
        <w:tc>
          <w:tcPr>
            <w:tcW w:w="0" w:type="auto"/>
            <w:gridSpan w:val="2"/>
            <w:shd w:val="clear" w:color="auto" w:fill="FFFFFF"/>
            <w:tcMar>
              <w:top w:w="40" w:type="dxa"/>
              <w:left w:w="20" w:type="dxa"/>
              <w:bottom w:w="40" w:type="dxa"/>
              <w:right w:w="0" w:type="dxa"/>
            </w:tcMar>
            <w:vAlign w:val="bottom"/>
          </w:tcPr>
          <w:p w14:paraId="4090FD27" w14:textId="77777777" w:rsidR="00833634" w:rsidRDefault="00E15D51">
            <w:pPr>
              <w:jc w:val="right"/>
              <w:textAlignment w:val="bottom"/>
            </w:pPr>
            <w:r>
              <w:rPr>
                <w:rFonts w:ascii="Arial" w:eastAsia="宋体" w:hAnsi="Arial" w:cs="Arial"/>
                <w:color w:val="000000"/>
                <w:sz w:val="20"/>
                <w:szCs w:val="20"/>
              </w:rPr>
              <w:t>5,581 </w:t>
            </w:r>
          </w:p>
        </w:tc>
        <w:tc>
          <w:tcPr>
            <w:tcW w:w="0" w:type="auto"/>
            <w:shd w:val="clear" w:color="auto" w:fill="FFFFFF"/>
            <w:tcMar>
              <w:top w:w="40" w:type="dxa"/>
              <w:left w:w="0" w:type="dxa"/>
              <w:bottom w:w="40" w:type="dxa"/>
              <w:right w:w="20" w:type="dxa"/>
            </w:tcMar>
            <w:vAlign w:val="bottom"/>
          </w:tcPr>
          <w:p w14:paraId="4090FD28"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D29" w14:textId="77777777" w:rsidR="00833634" w:rsidRDefault="00833634">
            <w:pPr>
              <w:rPr>
                <w:rFonts w:ascii="宋体"/>
              </w:rPr>
            </w:pPr>
          </w:p>
        </w:tc>
        <w:tc>
          <w:tcPr>
            <w:tcW w:w="0" w:type="auto"/>
            <w:gridSpan w:val="2"/>
            <w:shd w:val="clear" w:color="auto" w:fill="FFFFFF"/>
            <w:tcMar>
              <w:top w:w="40" w:type="dxa"/>
              <w:left w:w="20" w:type="dxa"/>
              <w:bottom w:w="40" w:type="dxa"/>
              <w:right w:w="0" w:type="dxa"/>
            </w:tcMar>
            <w:vAlign w:val="bottom"/>
          </w:tcPr>
          <w:p w14:paraId="4090FD2A" w14:textId="77777777" w:rsidR="00833634" w:rsidRDefault="00E15D51">
            <w:pPr>
              <w:jc w:val="right"/>
              <w:textAlignment w:val="bottom"/>
            </w:pPr>
            <w:r>
              <w:rPr>
                <w:rFonts w:ascii="Arial" w:eastAsia="宋体" w:hAnsi="Arial" w:cs="Arial"/>
                <w:color w:val="000000"/>
                <w:sz w:val="20"/>
                <w:szCs w:val="20"/>
              </w:rPr>
              <w:t>167.61 </w:t>
            </w:r>
          </w:p>
        </w:tc>
        <w:tc>
          <w:tcPr>
            <w:tcW w:w="0" w:type="auto"/>
            <w:shd w:val="clear" w:color="auto" w:fill="FFFFFF"/>
            <w:tcMar>
              <w:top w:w="40" w:type="dxa"/>
              <w:left w:w="0" w:type="dxa"/>
              <w:bottom w:w="40" w:type="dxa"/>
              <w:right w:w="20" w:type="dxa"/>
            </w:tcMar>
            <w:vAlign w:val="bottom"/>
          </w:tcPr>
          <w:p w14:paraId="4090FD2B" w14:textId="77777777" w:rsidR="00833634" w:rsidRDefault="00833634">
            <w:pPr>
              <w:jc w:val="right"/>
              <w:rPr>
                <w:rFonts w:ascii="宋体"/>
              </w:rPr>
            </w:pPr>
          </w:p>
        </w:tc>
        <w:tc>
          <w:tcPr>
            <w:tcW w:w="0" w:type="auto"/>
            <w:gridSpan w:val="3"/>
            <w:shd w:val="clear" w:color="auto" w:fill="FFFFFF"/>
            <w:tcMar>
              <w:top w:w="0" w:type="dxa"/>
              <w:left w:w="20" w:type="dxa"/>
              <w:bottom w:w="0" w:type="dxa"/>
              <w:right w:w="20" w:type="dxa"/>
            </w:tcMar>
          </w:tcPr>
          <w:p w14:paraId="4090FD2C"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D2D"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D2E" w14:textId="77777777" w:rsidR="00833634" w:rsidRDefault="00833634">
            <w:pPr>
              <w:rPr>
                <w:rFonts w:ascii="宋体"/>
              </w:rPr>
            </w:pPr>
          </w:p>
        </w:tc>
        <w:tc>
          <w:tcPr>
            <w:tcW w:w="0" w:type="auto"/>
            <w:gridSpan w:val="3"/>
            <w:shd w:val="clear" w:color="auto" w:fill="FFFFFF"/>
            <w:tcMar>
              <w:top w:w="0" w:type="dxa"/>
              <w:left w:w="20" w:type="dxa"/>
              <w:bottom w:w="0" w:type="dxa"/>
              <w:right w:w="20" w:type="dxa"/>
            </w:tcMar>
          </w:tcPr>
          <w:p w14:paraId="4090FD2F" w14:textId="77777777" w:rsidR="00833634" w:rsidRDefault="00833634">
            <w:pPr>
              <w:rPr>
                <w:rFonts w:ascii="宋体"/>
              </w:rPr>
            </w:pPr>
          </w:p>
        </w:tc>
      </w:tr>
      <w:tr w:rsidR="00833634" w14:paraId="4090FD3B" w14:textId="77777777">
        <w:tc>
          <w:tcPr>
            <w:tcW w:w="0" w:type="auto"/>
            <w:gridSpan w:val="3"/>
            <w:shd w:val="clear" w:color="auto" w:fill="CCEEFF"/>
            <w:tcMar>
              <w:top w:w="40" w:type="dxa"/>
              <w:left w:w="20" w:type="dxa"/>
              <w:bottom w:w="40" w:type="dxa"/>
              <w:right w:w="20" w:type="dxa"/>
            </w:tcMar>
            <w:vAlign w:val="bottom"/>
          </w:tcPr>
          <w:p w14:paraId="4090FD31" w14:textId="77777777" w:rsidR="00833634" w:rsidRDefault="00E15D51">
            <w:pPr>
              <w:textAlignment w:val="bottom"/>
            </w:pPr>
            <w:r>
              <w:rPr>
                <w:rFonts w:ascii="Arial" w:eastAsia="宋体" w:hAnsi="Arial" w:cs="Arial"/>
                <w:color w:val="000000"/>
                <w:sz w:val="20"/>
                <w:szCs w:val="20"/>
              </w:rPr>
              <w:t>9/1/2020 thru 9/30/2020</w:t>
            </w:r>
          </w:p>
        </w:tc>
        <w:tc>
          <w:tcPr>
            <w:tcW w:w="0" w:type="auto"/>
            <w:gridSpan w:val="2"/>
            <w:shd w:val="clear" w:color="auto" w:fill="CCEEFF"/>
            <w:tcMar>
              <w:top w:w="40" w:type="dxa"/>
              <w:left w:w="20" w:type="dxa"/>
              <w:bottom w:w="40" w:type="dxa"/>
              <w:right w:w="0" w:type="dxa"/>
            </w:tcMar>
            <w:vAlign w:val="bottom"/>
          </w:tcPr>
          <w:p w14:paraId="4090FD32" w14:textId="77777777" w:rsidR="00833634" w:rsidRDefault="00E15D51">
            <w:pPr>
              <w:jc w:val="right"/>
              <w:textAlignment w:val="bottom"/>
            </w:pPr>
            <w:r>
              <w:rPr>
                <w:rFonts w:ascii="Arial" w:eastAsia="宋体" w:hAnsi="Arial" w:cs="Arial"/>
                <w:color w:val="000000"/>
                <w:sz w:val="20"/>
                <w:szCs w:val="20"/>
              </w:rPr>
              <w:t>4,569 </w:t>
            </w:r>
          </w:p>
        </w:tc>
        <w:tc>
          <w:tcPr>
            <w:tcW w:w="0" w:type="auto"/>
            <w:shd w:val="clear" w:color="auto" w:fill="CCEEFF"/>
            <w:tcMar>
              <w:top w:w="40" w:type="dxa"/>
              <w:left w:w="0" w:type="dxa"/>
              <w:bottom w:w="40" w:type="dxa"/>
              <w:right w:w="20" w:type="dxa"/>
            </w:tcMar>
            <w:vAlign w:val="bottom"/>
          </w:tcPr>
          <w:p w14:paraId="4090FD33"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D34" w14:textId="77777777" w:rsidR="00833634" w:rsidRDefault="00833634">
            <w:pPr>
              <w:rPr>
                <w:rFonts w:ascii="宋体"/>
              </w:rPr>
            </w:pPr>
          </w:p>
        </w:tc>
        <w:tc>
          <w:tcPr>
            <w:tcW w:w="0" w:type="auto"/>
            <w:gridSpan w:val="2"/>
            <w:shd w:val="clear" w:color="auto" w:fill="CCEEFF"/>
            <w:tcMar>
              <w:top w:w="40" w:type="dxa"/>
              <w:left w:w="20" w:type="dxa"/>
              <w:bottom w:w="40" w:type="dxa"/>
              <w:right w:w="0" w:type="dxa"/>
            </w:tcMar>
            <w:vAlign w:val="bottom"/>
          </w:tcPr>
          <w:p w14:paraId="4090FD35" w14:textId="77777777" w:rsidR="00833634" w:rsidRDefault="00E15D51">
            <w:pPr>
              <w:jc w:val="right"/>
              <w:textAlignment w:val="bottom"/>
            </w:pPr>
            <w:r>
              <w:rPr>
                <w:rFonts w:ascii="Arial" w:eastAsia="宋体" w:hAnsi="Arial" w:cs="Arial"/>
                <w:color w:val="000000"/>
                <w:sz w:val="20"/>
                <w:szCs w:val="20"/>
              </w:rPr>
              <w:t>168.91 </w:t>
            </w:r>
          </w:p>
        </w:tc>
        <w:tc>
          <w:tcPr>
            <w:tcW w:w="0" w:type="auto"/>
            <w:shd w:val="clear" w:color="auto" w:fill="CCEEFF"/>
            <w:tcMar>
              <w:top w:w="40" w:type="dxa"/>
              <w:left w:w="0" w:type="dxa"/>
              <w:bottom w:w="40" w:type="dxa"/>
              <w:right w:w="20" w:type="dxa"/>
            </w:tcMar>
            <w:vAlign w:val="bottom"/>
          </w:tcPr>
          <w:p w14:paraId="4090FD36" w14:textId="77777777" w:rsidR="00833634" w:rsidRDefault="00833634">
            <w:pPr>
              <w:jc w:val="right"/>
              <w:rPr>
                <w:rFonts w:ascii="宋体"/>
              </w:rPr>
            </w:pPr>
          </w:p>
        </w:tc>
        <w:tc>
          <w:tcPr>
            <w:tcW w:w="0" w:type="auto"/>
            <w:gridSpan w:val="3"/>
            <w:shd w:val="clear" w:color="auto" w:fill="CCEEFF"/>
            <w:tcMar>
              <w:top w:w="0" w:type="dxa"/>
              <w:left w:w="20" w:type="dxa"/>
              <w:bottom w:w="0" w:type="dxa"/>
              <w:right w:w="20" w:type="dxa"/>
            </w:tcMar>
          </w:tcPr>
          <w:p w14:paraId="4090FD37"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D38"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D39" w14:textId="77777777" w:rsidR="00833634" w:rsidRDefault="00833634">
            <w:pPr>
              <w:rPr>
                <w:rFonts w:ascii="宋体"/>
              </w:rPr>
            </w:pPr>
          </w:p>
        </w:tc>
        <w:tc>
          <w:tcPr>
            <w:tcW w:w="0" w:type="auto"/>
            <w:gridSpan w:val="3"/>
            <w:shd w:val="clear" w:color="auto" w:fill="CCEEFF"/>
            <w:tcMar>
              <w:top w:w="0" w:type="dxa"/>
              <w:left w:w="20" w:type="dxa"/>
              <w:bottom w:w="0" w:type="dxa"/>
              <w:right w:w="20" w:type="dxa"/>
            </w:tcMar>
          </w:tcPr>
          <w:p w14:paraId="4090FD3A" w14:textId="77777777" w:rsidR="00833634" w:rsidRDefault="00833634">
            <w:pPr>
              <w:rPr>
                <w:rFonts w:ascii="宋体"/>
              </w:rPr>
            </w:pPr>
          </w:p>
        </w:tc>
      </w:tr>
      <w:tr w:rsidR="00833634" w14:paraId="4090FD46" w14:textId="77777777">
        <w:tc>
          <w:tcPr>
            <w:tcW w:w="0" w:type="auto"/>
            <w:gridSpan w:val="3"/>
            <w:tcBorders>
              <w:top w:val="single" w:sz="8" w:space="0" w:color="000000"/>
              <w:bottom w:val="double" w:sz="6" w:space="0" w:color="000000"/>
            </w:tcBorders>
            <w:shd w:val="clear" w:color="auto" w:fill="FFFFFF"/>
            <w:tcMar>
              <w:top w:w="40" w:type="dxa"/>
              <w:left w:w="20" w:type="dxa"/>
              <w:bottom w:w="40" w:type="dxa"/>
              <w:right w:w="20" w:type="dxa"/>
            </w:tcMar>
            <w:vAlign w:val="bottom"/>
          </w:tcPr>
          <w:p w14:paraId="4090FD3C" w14:textId="77777777" w:rsidR="00833634" w:rsidRDefault="00E15D51">
            <w:pPr>
              <w:textAlignment w:val="bottom"/>
            </w:pPr>
            <w:r>
              <w:rPr>
                <w:rFonts w:ascii="Arial" w:eastAsia="宋体" w:hAnsi="Arial" w:cs="Arial"/>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D3D" w14:textId="77777777" w:rsidR="00833634" w:rsidRDefault="00E15D51">
            <w:pPr>
              <w:jc w:val="right"/>
              <w:textAlignment w:val="bottom"/>
            </w:pPr>
            <w:r>
              <w:rPr>
                <w:rFonts w:ascii="Arial" w:eastAsia="宋体" w:hAnsi="Arial" w:cs="Arial"/>
                <w:color w:val="000000"/>
                <w:sz w:val="20"/>
                <w:szCs w:val="20"/>
              </w:rPr>
              <w:t>27,369 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D3E"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D3F" w14:textId="77777777" w:rsidR="00833634" w:rsidRDefault="00833634">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4090FD40" w14:textId="77777777" w:rsidR="00833634" w:rsidRDefault="00E15D51">
            <w:pPr>
              <w:jc w:val="right"/>
              <w:textAlignment w:val="bottom"/>
            </w:pPr>
            <w:r>
              <w:rPr>
                <w:rFonts w:ascii="Arial" w:eastAsia="宋体" w:hAnsi="Arial" w:cs="Arial"/>
                <w:color w:val="000000"/>
                <w:sz w:val="20"/>
                <w:szCs w:val="20"/>
              </w:rPr>
              <w:t>$179.63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4090FD41" w14:textId="77777777" w:rsidR="00833634" w:rsidRDefault="00833634">
            <w:pPr>
              <w:jc w:val="right"/>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D42"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auto"/>
            <w:tcMar>
              <w:top w:w="0" w:type="dxa"/>
              <w:left w:w="20" w:type="dxa"/>
              <w:bottom w:w="0" w:type="dxa"/>
              <w:right w:w="20" w:type="dxa"/>
            </w:tcMar>
          </w:tcPr>
          <w:p w14:paraId="4090FD43"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D44" w14:textId="77777777" w:rsidR="00833634" w:rsidRDefault="00833634">
            <w:pPr>
              <w:rPr>
                <w:rFonts w:ascii="宋体"/>
              </w:rPr>
            </w:pPr>
          </w:p>
        </w:tc>
        <w:tc>
          <w:tcPr>
            <w:tcW w:w="0" w:type="auto"/>
            <w:gridSpan w:val="3"/>
            <w:tcBorders>
              <w:top w:val="single" w:sz="8" w:space="0" w:color="000000"/>
              <w:bottom w:val="double" w:sz="6" w:space="0" w:color="000000"/>
            </w:tcBorders>
            <w:shd w:val="clear" w:color="auto" w:fill="FFFFFF"/>
            <w:tcMar>
              <w:top w:w="0" w:type="dxa"/>
              <w:left w:w="20" w:type="dxa"/>
              <w:bottom w:w="0" w:type="dxa"/>
              <w:right w:w="20" w:type="dxa"/>
            </w:tcMar>
          </w:tcPr>
          <w:p w14:paraId="4090FD45" w14:textId="77777777" w:rsidR="00833634" w:rsidRDefault="00833634">
            <w:pPr>
              <w:rPr>
                <w:rFonts w:ascii="宋体"/>
              </w:rPr>
            </w:pPr>
          </w:p>
        </w:tc>
      </w:tr>
    </w:tbl>
    <w:p w14:paraId="4090FD47" w14:textId="77777777" w:rsidR="00833634" w:rsidRDefault="00E15D51">
      <w:pPr>
        <w:spacing w:after="60"/>
        <w:ind w:hanging="360"/>
        <w:jc w:val="both"/>
      </w:pPr>
      <w:r>
        <w:rPr>
          <w:rFonts w:ascii="Arial" w:eastAsia="宋体" w:hAnsi="Arial" w:cs="Arial"/>
          <w:color w:val="000000"/>
          <w:sz w:val="13"/>
          <w:szCs w:val="13"/>
        </w:rPr>
        <w:t>(1)</w:t>
      </w:r>
      <w:r>
        <w:rPr>
          <w:rFonts w:ascii="Arial" w:eastAsia="宋体" w:hAnsi="Arial" w:cs="Arial"/>
          <w:color w:val="000000"/>
          <w:sz w:val="20"/>
          <w:szCs w:val="20"/>
        </w:rPr>
        <w:t xml:space="preserve">A total of 27,369 shares were transferred to us from employees in satisfaction of minimum tax withholding obligations associated with the vesting of restricted stock units during the period. We did not purchase any shares of </w:t>
      </w:r>
      <w:r>
        <w:rPr>
          <w:rFonts w:ascii="Arial" w:eastAsia="宋体" w:hAnsi="Arial" w:cs="Arial"/>
          <w:color w:val="000000"/>
          <w:sz w:val="20"/>
          <w:szCs w:val="20"/>
        </w:rPr>
        <w:t>our common stock in the open market pursuant to our repurchase program or in swap transactions.</w:t>
      </w:r>
    </w:p>
    <w:p w14:paraId="4090FD48" w14:textId="77777777" w:rsidR="00833634" w:rsidRDefault="00E15D51">
      <w:pPr>
        <w:spacing w:after="300"/>
        <w:ind w:hanging="360"/>
        <w:jc w:val="both"/>
      </w:pPr>
      <w:r>
        <w:rPr>
          <w:rFonts w:ascii="Arial" w:eastAsia="宋体" w:hAnsi="Arial" w:cs="Arial"/>
          <w:color w:val="000000"/>
          <w:sz w:val="13"/>
          <w:szCs w:val="13"/>
        </w:rPr>
        <w:t>(2)</w:t>
      </w:r>
      <w:r>
        <w:rPr>
          <w:rFonts w:ascii="Arial" w:eastAsia="宋体" w:hAnsi="Arial" w:cs="Arial"/>
          <w:color w:val="000000"/>
          <w:sz w:val="20"/>
          <w:szCs w:val="20"/>
        </w:rPr>
        <w:t xml:space="preserve">On March 21, 2020, the Board of Directors terminated its prior authorization to repurchase shares of the Company's outstanding common stock. Share repurchases under this plan had been suspended since April 2019. </w:t>
      </w:r>
    </w:p>
    <w:p w14:paraId="4090FD49" w14:textId="77777777" w:rsidR="00833634" w:rsidRDefault="00E15D51">
      <w:pPr>
        <w:spacing w:before="300" w:after="180"/>
        <w:jc w:val="both"/>
      </w:pPr>
      <w:r>
        <w:rPr>
          <w:rFonts w:ascii="Arial" w:eastAsia="宋体" w:hAnsi="Arial" w:cs="Arial"/>
          <w:b/>
          <w:bCs/>
          <w:color w:val="000000"/>
          <w:sz w:val="20"/>
          <w:szCs w:val="20"/>
        </w:rPr>
        <w:t>Item 3. Defaults Upon Senior Securities</w:t>
      </w:r>
    </w:p>
    <w:p w14:paraId="4090FD4A" w14:textId="77777777" w:rsidR="00833634" w:rsidRDefault="00E15D51">
      <w:pPr>
        <w:spacing w:after="300"/>
        <w:jc w:val="both"/>
      </w:pPr>
      <w:r>
        <w:rPr>
          <w:rFonts w:ascii="Arial" w:eastAsia="宋体" w:hAnsi="Arial" w:cs="Arial"/>
          <w:color w:val="000000"/>
          <w:sz w:val="20"/>
          <w:szCs w:val="20"/>
        </w:rPr>
        <w:t>Not applicable.</w:t>
      </w:r>
    </w:p>
    <w:p w14:paraId="4090FD4B" w14:textId="77777777" w:rsidR="00833634" w:rsidRDefault="00E15D51">
      <w:pPr>
        <w:spacing w:before="300" w:after="180"/>
        <w:jc w:val="both"/>
      </w:pPr>
      <w:r>
        <w:rPr>
          <w:rFonts w:ascii="Arial" w:eastAsia="宋体" w:hAnsi="Arial" w:cs="Arial"/>
          <w:b/>
          <w:bCs/>
          <w:color w:val="000000"/>
          <w:sz w:val="20"/>
          <w:szCs w:val="20"/>
        </w:rPr>
        <w:t>Item 4. Mine Safety Disclosures</w:t>
      </w:r>
    </w:p>
    <w:p w14:paraId="4090FD4C" w14:textId="77777777" w:rsidR="00833634" w:rsidRDefault="00E15D51">
      <w:pPr>
        <w:spacing w:after="300"/>
        <w:jc w:val="both"/>
      </w:pPr>
      <w:r>
        <w:rPr>
          <w:rFonts w:ascii="Arial" w:eastAsia="宋体" w:hAnsi="Arial" w:cs="Arial"/>
          <w:color w:val="000000"/>
          <w:sz w:val="20"/>
          <w:szCs w:val="20"/>
        </w:rPr>
        <w:t>Not applicable.</w:t>
      </w:r>
    </w:p>
    <w:p w14:paraId="4090FD4D" w14:textId="77777777" w:rsidR="00833634" w:rsidRDefault="00E15D51">
      <w:pPr>
        <w:spacing w:before="300" w:after="180"/>
        <w:jc w:val="both"/>
      </w:pPr>
      <w:r>
        <w:rPr>
          <w:rFonts w:ascii="Arial" w:eastAsia="宋体" w:hAnsi="Arial" w:cs="Arial"/>
          <w:b/>
          <w:bCs/>
          <w:color w:val="000000"/>
          <w:sz w:val="20"/>
          <w:szCs w:val="20"/>
        </w:rPr>
        <w:t>Item 5. Other Information</w:t>
      </w:r>
    </w:p>
    <w:p w14:paraId="4090FD4E" w14:textId="77777777" w:rsidR="00833634" w:rsidRDefault="00E15D51">
      <w:pPr>
        <w:spacing w:after="300"/>
        <w:jc w:val="both"/>
      </w:pPr>
      <w:r>
        <w:rPr>
          <w:rFonts w:ascii="Arial" w:eastAsia="宋体" w:hAnsi="Arial" w:cs="Arial"/>
          <w:color w:val="000000"/>
          <w:sz w:val="20"/>
          <w:szCs w:val="20"/>
        </w:rPr>
        <w:t>Not applicable.</w:t>
      </w:r>
    </w:p>
    <w:p w14:paraId="4090FD4F" w14:textId="77777777" w:rsidR="00833634" w:rsidRDefault="00E15D51">
      <w:pPr>
        <w:spacing w:after="180"/>
        <w:jc w:val="center"/>
      </w:pPr>
      <w:r>
        <w:rPr>
          <w:rFonts w:ascii="Arial" w:eastAsia="宋体" w:hAnsi="Arial" w:cs="Arial"/>
          <w:color w:val="000000"/>
          <w:sz w:val="18"/>
          <w:szCs w:val="18"/>
        </w:rPr>
        <w:t>63</w:t>
      </w:r>
    </w:p>
    <w:p w14:paraId="4090FD50" w14:textId="77777777" w:rsidR="00833634" w:rsidRDefault="00E15D51">
      <w:r>
        <w:pict w14:anchorId="4090FE5F">
          <v:rect id="_x0000_i1089" style="width:415.3pt;height:1.5pt" o:hralign="center" o:hrstd="t" o:hr="t" fillcolor="#a0a0a0" stroked="f"/>
        </w:pict>
      </w:r>
    </w:p>
    <w:p w14:paraId="4090FD51" w14:textId="77777777" w:rsidR="00833634" w:rsidRDefault="00E15D51">
      <w:pPr>
        <w:spacing w:after="180"/>
        <w:jc w:val="both"/>
      </w:pPr>
      <w:hyperlink r:id="rId166" w:anchor="i8d805bfb1e1c4815a1dcd5b6d1e0b117_10" w:history="1">
        <w:r>
          <w:rPr>
            <w:rStyle w:val="a5"/>
            <w:rFonts w:ascii="Arial" w:eastAsia="宋体" w:hAnsi="Arial" w:cs="Arial"/>
            <w:sz w:val="18"/>
            <w:szCs w:val="18"/>
          </w:rPr>
          <w:t>Table of Contents</w:t>
        </w:r>
      </w:hyperlink>
    </w:p>
    <w:p w14:paraId="4090FD52" w14:textId="77777777" w:rsidR="00833634" w:rsidRDefault="00E15D51">
      <w:pPr>
        <w:spacing w:after="180"/>
        <w:jc w:val="both"/>
      </w:pPr>
      <w:r>
        <w:rPr>
          <w:rFonts w:ascii="Arial" w:eastAsia="宋体" w:hAnsi="Arial" w:cs="Arial"/>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80"/>
        <w:gridCol w:w="777"/>
        <w:gridCol w:w="36"/>
        <w:gridCol w:w="69"/>
        <w:gridCol w:w="7337"/>
        <w:gridCol w:w="37"/>
      </w:tblGrid>
      <w:tr w:rsidR="00833634" w14:paraId="4090FD59" w14:textId="77777777">
        <w:tc>
          <w:tcPr>
            <w:tcW w:w="50" w:type="pct"/>
            <w:shd w:val="clear" w:color="auto" w:fill="auto"/>
          </w:tcPr>
          <w:p w14:paraId="4090FD53" w14:textId="77777777" w:rsidR="00833634" w:rsidRDefault="00833634">
            <w:pPr>
              <w:rPr>
                <w:rFonts w:ascii="宋体"/>
              </w:rPr>
            </w:pPr>
          </w:p>
        </w:tc>
        <w:tc>
          <w:tcPr>
            <w:tcW w:w="481" w:type="pct"/>
            <w:shd w:val="clear" w:color="auto" w:fill="auto"/>
          </w:tcPr>
          <w:p w14:paraId="4090FD54" w14:textId="77777777" w:rsidR="00833634" w:rsidRDefault="00833634">
            <w:pPr>
              <w:rPr>
                <w:rFonts w:ascii="宋体"/>
              </w:rPr>
            </w:pPr>
          </w:p>
        </w:tc>
        <w:tc>
          <w:tcPr>
            <w:tcW w:w="5" w:type="pct"/>
            <w:shd w:val="clear" w:color="auto" w:fill="auto"/>
          </w:tcPr>
          <w:p w14:paraId="4090FD55" w14:textId="77777777" w:rsidR="00833634" w:rsidRDefault="00833634">
            <w:pPr>
              <w:rPr>
                <w:rFonts w:ascii="宋体"/>
              </w:rPr>
            </w:pPr>
          </w:p>
        </w:tc>
        <w:tc>
          <w:tcPr>
            <w:tcW w:w="50" w:type="pct"/>
            <w:shd w:val="clear" w:color="auto" w:fill="auto"/>
          </w:tcPr>
          <w:p w14:paraId="4090FD56" w14:textId="77777777" w:rsidR="00833634" w:rsidRDefault="00833634">
            <w:pPr>
              <w:rPr>
                <w:rFonts w:ascii="宋体"/>
              </w:rPr>
            </w:pPr>
          </w:p>
        </w:tc>
        <w:tc>
          <w:tcPr>
            <w:tcW w:w="4408" w:type="pct"/>
            <w:shd w:val="clear" w:color="auto" w:fill="auto"/>
          </w:tcPr>
          <w:p w14:paraId="4090FD57" w14:textId="77777777" w:rsidR="00833634" w:rsidRDefault="00833634">
            <w:pPr>
              <w:rPr>
                <w:rFonts w:ascii="宋体"/>
              </w:rPr>
            </w:pPr>
          </w:p>
        </w:tc>
        <w:tc>
          <w:tcPr>
            <w:tcW w:w="5" w:type="pct"/>
            <w:shd w:val="clear" w:color="auto" w:fill="auto"/>
          </w:tcPr>
          <w:p w14:paraId="4090FD58" w14:textId="77777777" w:rsidR="00833634" w:rsidRDefault="00833634">
            <w:pPr>
              <w:rPr>
                <w:rFonts w:ascii="宋体"/>
              </w:rPr>
            </w:pPr>
          </w:p>
        </w:tc>
      </w:tr>
      <w:tr w:rsidR="00833634" w14:paraId="4090FD5C" w14:textId="77777777">
        <w:tc>
          <w:tcPr>
            <w:tcW w:w="0" w:type="auto"/>
            <w:gridSpan w:val="3"/>
            <w:shd w:val="clear" w:color="auto" w:fill="auto"/>
            <w:tcMar>
              <w:top w:w="40" w:type="dxa"/>
              <w:left w:w="20" w:type="dxa"/>
              <w:bottom w:w="40" w:type="dxa"/>
              <w:right w:w="20" w:type="dxa"/>
            </w:tcMar>
          </w:tcPr>
          <w:p w14:paraId="4090FD5A" w14:textId="77777777" w:rsidR="00833634" w:rsidRDefault="00E15D51">
            <w:pPr>
              <w:textAlignment w:val="top"/>
            </w:pPr>
            <w:r>
              <w:rPr>
                <w:rFonts w:ascii="Arial" w:eastAsia="宋体" w:hAnsi="Arial" w:cs="Arial"/>
                <w:color w:val="000000"/>
                <w:sz w:val="20"/>
                <w:szCs w:val="20"/>
              </w:rPr>
              <w:t>10.1</w:t>
            </w:r>
          </w:p>
        </w:tc>
        <w:tc>
          <w:tcPr>
            <w:tcW w:w="0" w:type="auto"/>
            <w:gridSpan w:val="3"/>
            <w:shd w:val="clear" w:color="auto" w:fill="auto"/>
            <w:tcMar>
              <w:top w:w="40" w:type="dxa"/>
              <w:left w:w="20" w:type="dxa"/>
              <w:bottom w:w="40" w:type="dxa"/>
              <w:right w:w="20" w:type="dxa"/>
            </w:tcMar>
          </w:tcPr>
          <w:p w14:paraId="4090FD5B" w14:textId="77777777" w:rsidR="00833634" w:rsidRDefault="00E15D51">
            <w:pPr>
              <w:jc w:val="both"/>
              <w:textAlignment w:val="top"/>
            </w:pPr>
            <w:hyperlink r:id="rId167" w:history="1">
              <w:r>
                <w:rPr>
                  <w:rStyle w:val="a5"/>
                  <w:rFonts w:ascii="Arial" w:eastAsia="宋体" w:hAnsi="Arial" w:cs="Arial"/>
                  <w:sz w:val="20"/>
                  <w:szCs w:val="20"/>
                </w:rPr>
                <w:t xml:space="preserve">364-Day Credit Agreement, dated as of October 26, 2020, among The Boeing Company, for itself and on </w:t>
              </w:r>
              <w:r>
                <w:rPr>
                  <w:rStyle w:val="a5"/>
                  <w:rFonts w:ascii="Arial" w:eastAsia="宋体" w:hAnsi="Arial" w:cs="Arial"/>
                  <w:sz w:val="20"/>
                  <w:szCs w:val="20"/>
                </w:rPr>
                <w:t>behalf of its Subsidiaries, as a Borrower, the Lenders party hereto, Citibank, N.A., as administrative agent, JPMorgan Chase Bank, N.A. as syndication agent and Citibank, N.A. and JPMorgan Chase Bank N.A., as Joint Lead Arrangers and Joint Book Managers (E</w:t>
              </w:r>
              <w:r>
                <w:rPr>
                  <w:rStyle w:val="a5"/>
                  <w:rFonts w:ascii="Arial" w:eastAsia="宋体" w:hAnsi="Arial" w:cs="Arial"/>
                  <w:sz w:val="20"/>
                  <w:szCs w:val="20"/>
                </w:rPr>
                <w:t>xhibit 10.1 to the Company’s Current Report on Form 8-K dated October 26, 2020)</w:t>
              </w:r>
            </w:hyperlink>
          </w:p>
        </w:tc>
      </w:tr>
      <w:tr w:rsidR="00833634" w14:paraId="4090FD5F" w14:textId="77777777">
        <w:trPr>
          <w:trHeight w:val="60"/>
        </w:trPr>
        <w:tc>
          <w:tcPr>
            <w:tcW w:w="0" w:type="auto"/>
            <w:gridSpan w:val="3"/>
            <w:shd w:val="clear" w:color="auto" w:fill="auto"/>
            <w:tcMar>
              <w:top w:w="0" w:type="dxa"/>
              <w:left w:w="20" w:type="dxa"/>
              <w:bottom w:w="0" w:type="dxa"/>
              <w:right w:w="20" w:type="dxa"/>
            </w:tcMar>
          </w:tcPr>
          <w:p w14:paraId="4090FD5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5E" w14:textId="77777777" w:rsidR="00833634" w:rsidRDefault="00833634">
            <w:pPr>
              <w:rPr>
                <w:rFonts w:ascii="宋体"/>
              </w:rPr>
            </w:pPr>
          </w:p>
        </w:tc>
      </w:tr>
      <w:tr w:rsidR="00833634" w14:paraId="4090FD62" w14:textId="77777777">
        <w:tc>
          <w:tcPr>
            <w:tcW w:w="0" w:type="auto"/>
            <w:gridSpan w:val="3"/>
            <w:shd w:val="clear" w:color="auto" w:fill="auto"/>
            <w:tcMar>
              <w:top w:w="40" w:type="dxa"/>
              <w:left w:w="20" w:type="dxa"/>
              <w:bottom w:w="40" w:type="dxa"/>
              <w:right w:w="20" w:type="dxa"/>
            </w:tcMar>
          </w:tcPr>
          <w:p w14:paraId="4090FD60" w14:textId="77777777" w:rsidR="00833634" w:rsidRDefault="00E15D51">
            <w:pPr>
              <w:textAlignment w:val="top"/>
            </w:pPr>
            <w:r>
              <w:rPr>
                <w:rFonts w:ascii="Arial" w:eastAsia="宋体" w:hAnsi="Arial" w:cs="Arial"/>
                <w:color w:val="000000"/>
                <w:sz w:val="20"/>
                <w:szCs w:val="20"/>
              </w:rPr>
              <w:t>15</w:t>
            </w:r>
          </w:p>
        </w:tc>
        <w:tc>
          <w:tcPr>
            <w:tcW w:w="0" w:type="auto"/>
            <w:gridSpan w:val="3"/>
            <w:shd w:val="clear" w:color="auto" w:fill="auto"/>
            <w:tcMar>
              <w:top w:w="40" w:type="dxa"/>
              <w:left w:w="20" w:type="dxa"/>
              <w:bottom w:w="40" w:type="dxa"/>
              <w:right w:w="20" w:type="dxa"/>
            </w:tcMar>
          </w:tcPr>
          <w:p w14:paraId="4090FD61" w14:textId="77777777" w:rsidR="00833634" w:rsidRDefault="00E15D51">
            <w:pPr>
              <w:jc w:val="both"/>
              <w:textAlignment w:val="top"/>
            </w:pPr>
            <w:hyperlink r:id="rId168" w:history="1">
              <w:r>
                <w:rPr>
                  <w:rStyle w:val="a5"/>
                  <w:rFonts w:ascii="Arial" w:eastAsia="宋体" w:hAnsi="Arial" w:cs="Arial"/>
                  <w:sz w:val="20"/>
                  <w:szCs w:val="20"/>
                </w:rPr>
                <w:t>Letter from Independent Registered Public Accounting Firm regarding unaudited interim financial information</w:t>
              </w:r>
            </w:hyperlink>
          </w:p>
        </w:tc>
      </w:tr>
      <w:tr w:rsidR="00833634" w14:paraId="4090FD65" w14:textId="77777777">
        <w:trPr>
          <w:trHeight w:val="60"/>
        </w:trPr>
        <w:tc>
          <w:tcPr>
            <w:tcW w:w="0" w:type="auto"/>
            <w:gridSpan w:val="3"/>
            <w:shd w:val="clear" w:color="auto" w:fill="auto"/>
            <w:tcMar>
              <w:top w:w="0" w:type="dxa"/>
              <w:left w:w="20" w:type="dxa"/>
              <w:bottom w:w="0" w:type="dxa"/>
              <w:right w:w="20" w:type="dxa"/>
            </w:tcMar>
          </w:tcPr>
          <w:p w14:paraId="4090FD63"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64" w14:textId="77777777" w:rsidR="00833634" w:rsidRDefault="00833634">
            <w:pPr>
              <w:rPr>
                <w:rFonts w:ascii="宋体"/>
              </w:rPr>
            </w:pPr>
          </w:p>
        </w:tc>
      </w:tr>
      <w:tr w:rsidR="00833634" w14:paraId="4090FD68" w14:textId="77777777">
        <w:tc>
          <w:tcPr>
            <w:tcW w:w="0" w:type="auto"/>
            <w:gridSpan w:val="3"/>
            <w:shd w:val="clear" w:color="auto" w:fill="auto"/>
            <w:tcMar>
              <w:top w:w="40" w:type="dxa"/>
              <w:left w:w="20" w:type="dxa"/>
              <w:bottom w:w="40" w:type="dxa"/>
              <w:right w:w="20" w:type="dxa"/>
            </w:tcMar>
          </w:tcPr>
          <w:p w14:paraId="4090FD66" w14:textId="77777777" w:rsidR="00833634" w:rsidRDefault="00E15D51">
            <w:pPr>
              <w:textAlignment w:val="top"/>
            </w:pPr>
            <w:r>
              <w:rPr>
                <w:rFonts w:ascii="Arial" w:eastAsia="宋体" w:hAnsi="Arial" w:cs="Arial"/>
                <w:color w:val="000000"/>
                <w:sz w:val="20"/>
                <w:szCs w:val="20"/>
              </w:rPr>
              <w:t>31.1</w:t>
            </w:r>
          </w:p>
        </w:tc>
        <w:tc>
          <w:tcPr>
            <w:tcW w:w="0" w:type="auto"/>
            <w:gridSpan w:val="3"/>
            <w:shd w:val="clear" w:color="auto" w:fill="auto"/>
            <w:tcMar>
              <w:top w:w="40" w:type="dxa"/>
              <w:left w:w="20" w:type="dxa"/>
              <w:bottom w:w="40" w:type="dxa"/>
              <w:right w:w="20" w:type="dxa"/>
            </w:tcMar>
          </w:tcPr>
          <w:p w14:paraId="4090FD67" w14:textId="77777777" w:rsidR="00833634" w:rsidRDefault="00E15D51">
            <w:pPr>
              <w:jc w:val="both"/>
              <w:textAlignment w:val="top"/>
            </w:pPr>
            <w:hyperlink r:id="rId169" w:history="1">
              <w:r>
                <w:rPr>
                  <w:rStyle w:val="a5"/>
                  <w:rFonts w:ascii="Arial" w:eastAsia="宋体" w:hAnsi="Arial" w:cs="Arial"/>
                  <w:sz w:val="20"/>
                  <w:szCs w:val="20"/>
                </w:rPr>
                <w:t>Certification of Chief Executive Officer pursuant to Section 302 of the Sarbanes-Oxley Act of 2002</w:t>
              </w:r>
            </w:hyperlink>
          </w:p>
        </w:tc>
      </w:tr>
      <w:tr w:rsidR="00833634" w14:paraId="4090FD6B" w14:textId="77777777">
        <w:trPr>
          <w:trHeight w:val="60"/>
        </w:trPr>
        <w:tc>
          <w:tcPr>
            <w:tcW w:w="0" w:type="auto"/>
            <w:gridSpan w:val="3"/>
            <w:shd w:val="clear" w:color="auto" w:fill="auto"/>
            <w:tcMar>
              <w:top w:w="0" w:type="dxa"/>
              <w:left w:w="20" w:type="dxa"/>
              <w:bottom w:w="0" w:type="dxa"/>
              <w:right w:w="20" w:type="dxa"/>
            </w:tcMar>
          </w:tcPr>
          <w:p w14:paraId="4090FD69"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6A" w14:textId="77777777" w:rsidR="00833634" w:rsidRDefault="00833634">
            <w:pPr>
              <w:rPr>
                <w:rFonts w:ascii="宋体"/>
              </w:rPr>
            </w:pPr>
          </w:p>
        </w:tc>
      </w:tr>
      <w:tr w:rsidR="00833634" w14:paraId="4090FD6E" w14:textId="77777777">
        <w:tc>
          <w:tcPr>
            <w:tcW w:w="0" w:type="auto"/>
            <w:gridSpan w:val="3"/>
            <w:shd w:val="clear" w:color="auto" w:fill="auto"/>
            <w:tcMar>
              <w:top w:w="40" w:type="dxa"/>
              <w:left w:w="20" w:type="dxa"/>
              <w:bottom w:w="40" w:type="dxa"/>
              <w:right w:w="20" w:type="dxa"/>
            </w:tcMar>
          </w:tcPr>
          <w:p w14:paraId="4090FD6C" w14:textId="77777777" w:rsidR="00833634" w:rsidRDefault="00E15D51">
            <w:pPr>
              <w:textAlignment w:val="top"/>
            </w:pPr>
            <w:r>
              <w:rPr>
                <w:rFonts w:ascii="Arial" w:eastAsia="宋体" w:hAnsi="Arial" w:cs="Arial"/>
                <w:color w:val="000000"/>
                <w:sz w:val="20"/>
                <w:szCs w:val="20"/>
              </w:rPr>
              <w:t>31.2</w:t>
            </w:r>
          </w:p>
        </w:tc>
        <w:tc>
          <w:tcPr>
            <w:tcW w:w="0" w:type="auto"/>
            <w:gridSpan w:val="3"/>
            <w:shd w:val="clear" w:color="auto" w:fill="auto"/>
            <w:tcMar>
              <w:top w:w="40" w:type="dxa"/>
              <w:left w:w="20" w:type="dxa"/>
              <w:bottom w:w="40" w:type="dxa"/>
              <w:right w:w="20" w:type="dxa"/>
            </w:tcMar>
          </w:tcPr>
          <w:p w14:paraId="4090FD6D" w14:textId="77777777" w:rsidR="00833634" w:rsidRDefault="00E15D51">
            <w:pPr>
              <w:jc w:val="both"/>
              <w:textAlignment w:val="top"/>
            </w:pPr>
            <w:hyperlink r:id="rId170" w:history="1">
              <w:r>
                <w:rPr>
                  <w:rStyle w:val="a5"/>
                  <w:rFonts w:ascii="Arial" w:eastAsia="宋体" w:hAnsi="Arial" w:cs="Arial"/>
                  <w:sz w:val="20"/>
                  <w:szCs w:val="20"/>
                </w:rPr>
                <w:t>Certification of Chief Financial Officer pursuant to Section 302 of the Sarbanes-Oxley Act of 2002</w:t>
              </w:r>
            </w:hyperlink>
          </w:p>
        </w:tc>
      </w:tr>
      <w:tr w:rsidR="00833634" w14:paraId="4090FD71" w14:textId="77777777">
        <w:trPr>
          <w:trHeight w:val="60"/>
        </w:trPr>
        <w:tc>
          <w:tcPr>
            <w:tcW w:w="0" w:type="auto"/>
            <w:gridSpan w:val="3"/>
            <w:shd w:val="clear" w:color="auto" w:fill="auto"/>
            <w:tcMar>
              <w:top w:w="0" w:type="dxa"/>
              <w:left w:w="20" w:type="dxa"/>
              <w:bottom w:w="0" w:type="dxa"/>
              <w:right w:w="20" w:type="dxa"/>
            </w:tcMar>
          </w:tcPr>
          <w:p w14:paraId="4090FD6F"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70" w14:textId="77777777" w:rsidR="00833634" w:rsidRDefault="00833634">
            <w:pPr>
              <w:rPr>
                <w:rFonts w:ascii="宋体"/>
              </w:rPr>
            </w:pPr>
          </w:p>
        </w:tc>
      </w:tr>
      <w:tr w:rsidR="00833634" w14:paraId="4090FD74" w14:textId="77777777">
        <w:tc>
          <w:tcPr>
            <w:tcW w:w="0" w:type="auto"/>
            <w:gridSpan w:val="3"/>
            <w:shd w:val="clear" w:color="auto" w:fill="auto"/>
            <w:tcMar>
              <w:top w:w="40" w:type="dxa"/>
              <w:left w:w="20" w:type="dxa"/>
              <w:bottom w:w="40" w:type="dxa"/>
              <w:right w:w="20" w:type="dxa"/>
            </w:tcMar>
          </w:tcPr>
          <w:p w14:paraId="4090FD72" w14:textId="77777777" w:rsidR="00833634" w:rsidRDefault="00E15D51">
            <w:pPr>
              <w:textAlignment w:val="top"/>
            </w:pPr>
            <w:r>
              <w:rPr>
                <w:rFonts w:ascii="Arial" w:eastAsia="宋体" w:hAnsi="Arial" w:cs="Arial"/>
                <w:color w:val="000000"/>
                <w:sz w:val="20"/>
                <w:szCs w:val="20"/>
              </w:rPr>
              <w:t>32.1</w:t>
            </w:r>
          </w:p>
        </w:tc>
        <w:tc>
          <w:tcPr>
            <w:tcW w:w="0" w:type="auto"/>
            <w:gridSpan w:val="3"/>
            <w:shd w:val="clear" w:color="auto" w:fill="auto"/>
            <w:tcMar>
              <w:top w:w="40" w:type="dxa"/>
              <w:left w:w="20" w:type="dxa"/>
              <w:bottom w:w="40" w:type="dxa"/>
              <w:right w:w="20" w:type="dxa"/>
            </w:tcMar>
          </w:tcPr>
          <w:p w14:paraId="4090FD73" w14:textId="77777777" w:rsidR="00833634" w:rsidRDefault="00E15D51">
            <w:pPr>
              <w:jc w:val="both"/>
              <w:textAlignment w:val="top"/>
            </w:pPr>
            <w:hyperlink r:id="rId171" w:history="1">
              <w:r>
                <w:rPr>
                  <w:rStyle w:val="a5"/>
                  <w:rFonts w:ascii="Arial" w:eastAsia="宋体" w:hAnsi="Arial" w:cs="Arial"/>
                  <w:sz w:val="20"/>
                  <w:szCs w:val="20"/>
                </w:rPr>
                <w:t>Certification of Chief Executive Officer pursuant to Section 906 of the Sarbanes-Oxley Act of 2002</w:t>
              </w:r>
            </w:hyperlink>
          </w:p>
        </w:tc>
      </w:tr>
      <w:tr w:rsidR="00833634" w14:paraId="4090FD77" w14:textId="77777777">
        <w:trPr>
          <w:trHeight w:val="60"/>
        </w:trPr>
        <w:tc>
          <w:tcPr>
            <w:tcW w:w="0" w:type="auto"/>
            <w:gridSpan w:val="3"/>
            <w:shd w:val="clear" w:color="auto" w:fill="auto"/>
            <w:tcMar>
              <w:top w:w="0" w:type="dxa"/>
              <w:left w:w="20" w:type="dxa"/>
              <w:bottom w:w="0" w:type="dxa"/>
              <w:right w:w="20" w:type="dxa"/>
            </w:tcMar>
          </w:tcPr>
          <w:p w14:paraId="4090FD75"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76" w14:textId="77777777" w:rsidR="00833634" w:rsidRDefault="00833634">
            <w:pPr>
              <w:rPr>
                <w:rFonts w:ascii="宋体"/>
              </w:rPr>
            </w:pPr>
          </w:p>
        </w:tc>
      </w:tr>
      <w:tr w:rsidR="00833634" w14:paraId="4090FD7A" w14:textId="77777777">
        <w:tc>
          <w:tcPr>
            <w:tcW w:w="0" w:type="auto"/>
            <w:gridSpan w:val="3"/>
            <w:shd w:val="clear" w:color="auto" w:fill="auto"/>
            <w:tcMar>
              <w:top w:w="40" w:type="dxa"/>
              <w:left w:w="20" w:type="dxa"/>
              <w:bottom w:w="40" w:type="dxa"/>
              <w:right w:w="20" w:type="dxa"/>
            </w:tcMar>
          </w:tcPr>
          <w:p w14:paraId="4090FD78" w14:textId="77777777" w:rsidR="00833634" w:rsidRDefault="00E15D51">
            <w:pPr>
              <w:textAlignment w:val="top"/>
            </w:pPr>
            <w:r>
              <w:rPr>
                <w:rFonts w:ascii="Arial" w:eastAsia="宋体" w:hAnsi="Arial" w:cs="Arial"/>
                <w:color w:val="000000"/>
                <w:sz w:val="20"/>
                <w:szCs w:val="20"/>
              </w:rPr>
              <w:t>32.2</w:t>
            </w:r>
          </w:p>
        </w:tc>
        <w:tc>
          <w:tcPr>
            <w:tcW w:w="0" w:type="auto"/>
            <w:gridSpan w:val="3"/>
            <w:shd w:val="clear" w:color="auto" w:fill="auto"/>
            <w:tcMar>
              <w:top w:w="40" w:type="dxa"/>
              <w:left w:w="20" w:type="dxa"/>
              <w:bottom w:w="40" w:type="dxa"/>
              <w:right w:w="20" w:type="dxa"/>
            </w:tcMar>
          </w:tcPr>
          <w:p w14:paraId="4090FD79" w14:textId="77777777" w:rsidR="00833634" w:rsidRDefault="00E15D51">
            <w:pPr>
              <w:jc w:val="both"/>
              <w:textAlignment w:val="top"/>
            </w:pPr>
            <w:hyperlink r:id="rId172" w:history="1">
              <w:r>
                <w:rPr>
                  <w:rStyle w:val="a5"/>
                  <w:rFonts w:ascii="Arial" w:eastAsia="宋体" w:hAnsi="Arial" w:cs="Arial"/>
                  <w:sz w:val="20"/>
                  <w:szCs w:val="20"/>
                </w:rPr>
                <w:t>Certification of Chief Financial Officer pursuant to Section 906 of the Sarbanes-Oxley Act of 2002</w:t>
              </w:r>
            </w:hyperlink>
          </w:p>
        </w:tc>
      </w:tr>
      <w:tr w:rsidR="00833634" w14:paraId="4090FD7D" w14:textId="77777777">
        <w:trPr>
          <w:trHeight w:val="60"/>
        </w:trPr>
        <w:tc>
          <w:tcPr>
            <w:tcW w:w="0" w:type="auto"/>
            <w:gridSpan w:val="3"/>
            <w:shd w:val="clear" w:color="auto" w:fill="auto"/>
            <w:tcMar>
              <w:top w:w="0" w:type="dxa"/>
              <w:left w:w="20" w:type="dxa"/>
              <w:bottom w:w="0" w:type="dxa"/>
              <w:right w:w="20" w:type="dxa"/>
            </w:tcMar>
          </w:tcPr>
          <w:p w14:paraId="4090FD7B"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7C" w14:textId="77777777" w:rsidR="00833634" w:rsidRDefault="00833634">
            <w:pPr>
              <w:rPr>
                <w:rFonts w:ascii="宋体"/>
              </w:rPr>
            </w:pPr>
          </w:p>
        </w:tc>
      </w:tr>
      <w:tr w:rsidR="00833634" w14:paraId="4090FD80" w14:textId="77777777">
        <w:tc>
          <w:tcPr>
            <w:tcW w:w="0" w:type="auto"/>
            <w:gridSpan w:val="3"/>
            <w:shd w:val="clear" w:color="auto" w:fill="auto"/>
            <w:tcMar>
              <w:top w:w="40" w:type="dxa"/>
              <w:left w:w="20" w:type="dxa"/>
              <w:bottom w:w="40" w:type="dxa"/>
              <w:right w:w="20" w:type="dxa"/>
            </w:tcMar>
          </w:tcPr>
          <w:p w14:paraId="4090FD7E" w14:textId="77777777" w:rsidR="00833634" w:rsidRDefault="00E15D51">
            <w:pPr>
              <w:textAlignment w:val="top"/>
            </w:pPr>
            <w:r>
              <w:rPr>
                <w:rFonts w:ascii="Arial" w:eastAsia="宋体" w:hAnsi="Arial" w:cs="Arial"/>
                <w:color w:val="000000"/>
                <w:sz w:val="20"/>
                <w:szCs w:val="20"/>
              </w:rPr>
              <w:t>101.INS</w:t>
            </w:r>
          </w:p>
        </w:tc>
        <w:tc>
          <w:tcPr>
            <w:tcW w:w="0" w:type="auto"/>
            <w:gridSpan w:val="3"/>
            <w:shd w:val="clear" w:color="auto" w:fill="auto"/>
            <w:tcMar>
              <w:top w:w="40" w:type="dxa"/>
              <w:left w:w="20" w:type="dxa"/>
              <w:bottom w:w="40" w:type="dxa"/>
              <w:right w:w="20" w:type="dxa"/>
            </w:tcMar>
            <w:vAlign w:val="bottom"/>
          </w:tcPr>
          <w:p w14:paraId="4090FD7F" w14:textId="77777777" w:rsidR="00833634" w:rsidRDefault="00E15D51">
            <w:pPr>
              <w:textAlignment w:val="bottom"/>
            </w:pPr>
            <w:r>
              <w:rPr>
                <w:rFonts w:ascii="Arial" w:eastAsia="宋体" w:hAnsi="Arial" w:cs="Arial"/>
                <w:color w:val="000000"/>
                <w:sz w:val="20"/>
                <w:szCs w:val="20"/>
              </w:rPr>
              <w:t xml:space="preserve">Inline XBRL Instance Document - the instance document does not </w:t>
            </w:r>
            <w:r>
              <w:rPr>
                <w:rFonts w:ascii="Arial" w:eastAsia="宋体" w:hAnsi="Arial" w:cs="Arial"/>
                <w:color w:val="000000"/>
                <w:sz w:val="20"/>
                <w:szCs w:val="20"/>
              </w:rPr>
              <w:t>appear in the Interactive Data File because its XBRL tags are embedded within the Inline XBRL document.</w:t>
            </w:r>
          </w:p>
        </w:tc>
      </w:tr>
      <w:tr w:rsidR="00833634" w14:paraId="4090FD83" w14:textId="77777777">
        <w:trPr>
          <w:trHeight w:val="60"/>
        </w:trPr>
        <w:tc>
          <w:tcPr>
            <w:tcW w:w="0" w:type="auto"/>
            <w:gridSpan w:val="3"/>
            <w:shd w:val="clear" w:color="auto" w:fill="auto"/>
            <w:tcMar>
              <w:top w:w="0" w:type="dxa"/>
              <w:left w:w="20" w:type="dxa"/>
              <w:bottom w:w="0" w:type="dxa"/>
              <w:right w:w="20" w:type="dxa"/>
            </w:tcMar>
          </w:tcPr>
          <w:p w14:paraId="4090FD81"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82" w14:textId="77777777" w:rsidR="00833634" w:rsidRDefault="00833634">
            <w:pPr>
              <w:rPr>
                <w:rFonts w:ascii="宋体"/>
              </w:rPr>
            </w:pPr>
          </w:p>
        </w:tc>
      </w:tr>
      <w:tr w:rsidR="00833634" w14:paraId="4090FD86" w14:textId="77777777">
        <w:tc>
          <w:tcPr>
            <w:tcW w:w="0" w:type="auto"/>
            <w:gridSpan w:val="3"/>
            <w:shd w:val="clear" w:color="auto" w:fill="auto"/>
            <w:tcMar>
              <w:top w:w="40" w:type="dxa"/>
              <w:left w:w="20" w:type="dxa"/>
              <w:bottom w:w="40" w:type="dxa"/>
              <w:right w:w="20" w:type="dxa"/>
            </w:tcMar>
          </w:tcPr>
          <w:p w14:paraId="4090FD84" w14:textId="77777777" w:rsidR="00833634" w:rsidRDefault="00E15D51">
            <w:pPr>
              <w:textAlignment w:val="top"/>
            </w:pPr>
            <w:r>
              <w:rPr>
                <w:rFonts w:ascii="Arial" w:eastAsia="宋体" w:hAnsi="Arial" w:cs="Arial"/>
                <w:color w:val="000000"/>
                <w:sz w:val="20"/>
                <w:szCs w:val="20"/>
              </w:rPr>
              <w:t>101.SCH</w:t>
            </w:r>
          </w:p>
        </w:tc>
        <w:tc>
          <w:tcPr>
            <w:tcW w:w="0" w:type="auto"/>
            <w:gridSpan w:val="3"/>
            <w:shd w:val="clear" w:color="auto" w:fill="auto"/>
            <w:tcMar>
              <w:top w:w="40" w:type="dxa"/>
              <w:left w:w="20" w:type="dxa"/>
              <w:bottom w:w="40" w:type="dxa"/>
              <w:right w:w="20" w:type="dxa"/>
            </w:tcMar>
          </w:tcPr>
          <w:p w14:paraId="4090FD85" w14:textId="77777777" w:rsidR="00833634" w:rsidRDefault="00E15D51">
            <w:pPr>
              <w:textAlignment w:val="top"/>
            </w:pPr>
            <w:r>
              <w:rPr>
                <w:rFonts w:ascii="Arial" w:eastAsia="宋体" w:hAnsi="Arial" w:cs="Arial"/>
                <w:color w:val="000000"/>
                <w:sz w:val="20"/>
                <w:szCs w:val="20"/>
              </w:rPr>
              <w:t>Inline XBRL Taxonomy Extension Schema Document</w:t>
            </w:r>
          </w:p>
        </w:tc>
      </w:tr>
      <w:tr w:rsidR="00833634" w14:paraId="4090FD89" w14:textId="77777777">
        <w:trPr>
          <w:trHeight w:val="60"/>
        </w:trPr>
        <w:tc>
          <w:tcPr>
            <w:tcW w:w="0" w:type="auto"/>
            <w:gridSpan w:val="3"/>
            <w:shd w:val="clear" w:color="auto" w:fill="auto"/>
            <w:tcMar>
              <w:top w:w="0" w:type="dxa"/>
              <w:left w:w="20" w:type="dxa"/>
              <w:bottom w:w="0" w:type="dxa"/>
              <w:right w:w="20" w:type="dxa"/>
            </w:tcMar>
          </w:tcPr>
          <w:p w14:paraId="4090FD87"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88" w14:textId="77777777" w:rsidR="00833634" w:rsidRDefault="00833634">
            <w:pPr>
              <w:rPr>
                <w:rFonts w:ascii="宋体"/>
              </w:rPr>
            </w:pPr>
          </w:p>
        </w:tc>
      </w:tr>
      <w:tr w:rsidR="00833634" w14:paraId="4090FD8C" w14:textId="77777777">
        <w:tc>
          <w:tcPr>
            <w:tcW w:w="0" w:type="auto"/>
            <w:gridSpan w:val="3"/>
            <w:shd w:val="clear" w:color="auto" w:fill="auto"/>
            <w:tcMar>
              <w:top w:w="40" w:type="dxa"/>
              <w:left w:w="20" w:type="dxa"/>
              <w:bottom w:w="40" w:type="dxa"/>
              <w:right w:w="20" w:type="dxa"/>
            </w:tcMar>
          </w:tcPr>
          <w:p w14:paraId="4090FD8A" w14:textId="77777777" w:rsidR="00833634" w:rsidRDefault="00E15D51">
            <w:pPr>
              <w:textAlignment w:val="top"/>
            </w:pPr>
            <w:r>
              <w:rPr>
                <w:rFonts w:ascii="Arial" w:eastAsia="宋体" w:hAnsi="Arial" w:cs="Arial"/>
                <w:color w:val="000000"/>
                <w:sz w:val="20"/>
                <w:szCs w:val="20"/>
              </w:rPr>
              <w:t>101.CAL</w:t>
            </w:r>
          </w:p>
        </w:tc>
        <w:tc>
          <w:tcPr>
            <w:tcW w:w="0" w:type="auto"/>
            <w:gridSpan w:val="3"/>
            <w:shd w:val="clear" w:color="auto" w:fill="auto"/>
            <w:tcMar>
              <w:top w:w="40" w:type="dxa"/>
              <w:left w:w="20" w:type="dxa"/>
              <w:bottom w:w="40" w:type="dxa"/>
              <w:right w:w="20" w:type="dxa"/>
            </w:tcMar>
          </w:tcPr>
          <w:p w14:paraId="4090FD8B" w14:textId="77777777" w:rsidR="00833634" w:rsidRDefault="00E15D51">
            <w:pPr>
              <w:textAlignment w:val="top"/>
            </w:pPr>
            <w:r>
              <w:rPr>
                <w:rFonts w:ascii="Arial" w:eastAsia="宋体" w:hAnsi="Arial" w:cs="Arial"/>
                <w:color w:val="000000"/>
                <w:sz w:val="20"/>
                <w:szCs w:val="20"/>
              </w:rPr>
              <w:t>Inline XBRL Taxonomy Extension Calculation Linkbase Document</w:t>
            </w:r>
          </w:p>
        </w:tc>
      </w:tr>
      <w:tr w:rsidR="00833634" w14:paraId="4090FD8F" w14:textId="77777777">
        <w:trPr>
          <w:trHeight w:val="60"/>
        </w:trPr>
        <w:tc>
          <w:tcPr>
            <w:tcW w:w="0" w:type="auto"/>
            <w:gridSpan w:val="3"/>
            <w:shd w:val="clear" w:color="auto" w:fill="auto"/>
            <w:tcMar>
              <w:top w:w="0" w:type="dxa"/>
              <w:left w:w="20" w:type="dxa"/>
              <w:bottom w:w="0" w:type="dxa"/>
              <w:right w:w="20" w:type="dxa"/>
            </w:tcMar>
          </w:tcPr>
          <w:p w14:paraId="4090FD8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8E" w14:textId="77777777" w:rsidR="00833634" w:rsidRDefault="00833634">
            <w:pPr>
              <w:rPr>
                <w:rFonts w:ascii="宋体"/>
              </w:rPr>
            </w:pPr>
          </w:p>
        </w:tc>
      </w:tr>
      <w:tr w:rsidR="00833634" w14:paraId="4090FD92" w14:textId="77777777">
        <w:tc>
          <w:tcPr>
            <w:tcW w:w="0" w:type="auto"/>
            <w:gridSpan w:val="3"/>
            <w:shd w:val="clear" w:color="auto" w:fill="auto"/>
            <w:tcMar>
              <w:top w:w="40" w:type="dxa"/>
              <w:left w:w="20" w:type="dxa"/>
              <w:bottom w:w="40" w:type="dxa"/>
              <w:right w:w="20" w:type="dxa"/>
            </w:tcMar>
          </w:tcPr>
          <w:p w14:paraId="4090FD90" w14:textId="77777777" w:rsidR="00833634" w:rsidRDefault="00E15D51">
            <w:pPr>
              <w:textAlignment w:val="top"/>
            </w:pPr>
            <w:r>
              <w:rPr>
                <w:rFonts w:ascii="Arial" w:eastAsia="宋体" w:hAnsi="Arial" w:cs="Arial"/>
                <w:color w:val="000000"/>
                <w:sz w:val="20"/>
                <w:szCs w:val="20"/>
              </w:rPr>
              <w:t>101.DEF</w:t>
            </w:r>
          </w:p>
        </w:tc>
        <w:tc>
          <w:tcPr>
            <w:tcW w:w="0" w:type="auto"/>
            <w:gridSpan w:val="3"/>
            <w:shd w:val="clear" w:color="auto" w:fill="auto"/>
            <w:tcMar>
              <w:top w:w="40" w:type="dxa"/>
              <w:left w:w="20" w:type="dxa"/>
              <w:bottom w:w="40" w:type="dxa"/>
              <w:right w:w="20" w:type="dxa"/>
            </w:tcMar>
            <w:vAlign w:val="bottom"/>
          </w:tcPr>
          <w:p w14:paraId="4090FD91" w14:textId="77777777" w:rsidR="00833634" w:rsidRDefault="00E15D51">
            <w:pPr>
              <w:textAlignment w:val="bottom"/>
            </w:pPr>
            <w:r>
              <w:rPr>
                <w:rFonts w:ascii="Arial" w:eastAsia="宋体" w:hAnsi="Arial" w:cs="Arial"/>
                <w:color w:val="000000"/>
                <w:sz w:val="20"/>
                <w:szCs w:val="20"/>
              </w:rPr>
              <w:t>Inline XBRL Taxonomy Extension Definition Linkbase Document</w:t>
            </w:r>
          </w:p>
        </w:tc>
      </w:tr>
      <w:tr w:rsidR="00833634" w14:paraId="4090FD95" w14:textId="77777777">
        <w:trPr>
          <w:trHeight w:val="60"/>
        </w:trPr>
        <w:tc>
          <w:tcPr>
            <w:tcW w:w="0" w:type="auto"/>
            <w:gridSpan w:val="3"/>
            <w:shd w:val="clear" w:color="auto" w:fill="auto"/>
            <w:tcMar>
              <w:top w:w="0" w:type="dxa"/>
              <w:left w:w="20" w:type="dxa"/>
              <w:bottom w:w="0" w:type="dxa"/>
              <w:right w:w="20" w:type="dxa"/>
            </w:tcMar>
          </w:tcPr>
          <w:p w14:paraId="4090FD93"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94" w14:textId="77777777" w:rsidR="00833634" w:rsidRDefault="00833634">
            <w:pPr>
              <w:rPr>
                <w:rFonts w:ascii="宋体"/>
              </w:rPr>
            </w:pPr>
          </w:p>
        </w:tc>
      </w:tr>
      <w:tr w:rsidR="00833634" w14:paraId="4090FD98" w14:textId="77777777">
        <w:tc>
          <w:tcPr>
            <w:tcW w:w="0" w:type="auto"/>
            <w:gridSpan w:val="3"/>
            <w:shd w:val="clear" w:color="auto" w:fill="auto"/>
            <w:tcMar>
              <w:top w:w="40" w:type="dxa"/>
              <w:left w:w="20" w:type="dxa"/>
              <w:bottom w:w="40" w:type="dxa"/>
              <w:right w:w="20" w:type="dxa"/>
            </w:tcMar>
          </w:tcPr>
          <w:p w14:paraId="4090FD96" w14:textId="77777777" w:rsidR="00833634" w:rsidRDefault="00E15D51">
            <w:pPr>
              <w:textAlignment w:val="top"/>
            </w:pPr>
            <w:r>
              <w:rPr>
                <w:rFonts w:ascii="Arial" w:eastAsia="宋体" w:hAnsi="Arial" w:cs="Arial"/>
                <w:color w:val="000000"/>
                <w:sz w:val="20"/>
                <w:szCs w:val="20"/>
              </w:rPr>
              <w:t>101.LAB</w:t>
            </w:r>
          </w:p>
        </w:tc>
        <w:tc>
          <w:tcPr>
            <w:tcW w:w="0" w:type="auto"/>
            <w:gridSpan w:val="3"/>
            <w:shd w:val="clear" w:color="auto" w:fill="auto"/>
            <w:tcMar>
              <w:top w:w="40" w:type="dxa"/>
              <w:left w:w="20" w:type="dxa"/>
              <w:bottom w:w="40" w:type="dxa"/>
              <w:right w:w="20" w:type="dxa"/>
            </w:tcMar>
            <w:vAlign w:val="bottom"/>
          </w:tcPr>
          <w:p w14:paraId="4090FD97" w14:textId="77777777" w:rsidR="00833634" w:rsidRDefault="00E15D51">
            <w:pPr>
              <w:textAlignment w:val="bottom"/>
            </w:pPr>
            <w:r>
              <w:rPr>
                <w:rFonts w:ascii="Arial" w:eastAsia="宋体" w:hAnsi="Arial" w:cs="Arial"/>
                <w:color w:val="000000"/>
                <w:sz w:val="20"/>
                <w:szCs w:val="20"/>
              </w:rPr>
              <w:t>Inline XBRL Taxonomy Extension Label Linkbase Document</w:t>
            </w:r>
          </w:p>
        </w:tc>
      </w:tr>
      <w:tr w:rsidR="00833634" w14:paraId="4090FD9B" w14:textId="77777777">
        <w:trPr>
          <w:trHeight w:val="60"/>
        </w:trPr>
        <w:tc>
          <w:tcPr>
            <w:tcW w:w="0" w:type="auto"/>
            <w:gridSpan w:val="3"/>
            <w:shd w:val="clear" w:color="auto" w:fill="auto"/>
            <w:tcMar>
              <w:top w:w="0" w:type="dxa"/>
              <w:left w:w="20" w:type="dxa"/>
              <w:bottom w:w="0" w:type="dxa"/>
              <w:right w:w="20" w:type="dxa"/>
            </w:tcMar>
          </w:tcPr>
          <w:p w14:paraId="4090FD99"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9A" w14:textId="77777777" w:rsidR="00833634" w:rsidRDefault="00833634">
            <w:pPr>
              <w:rPr>
                <w:rFonts w:ascii="宋体"/>
              </w:rPr>
            </w:pPr>
          </w:p>
        </w:tc>
      </w:tr>
      <w:tr w:rsidR="00833634" w14:paraId="4090FD9E" w14:textId="77777777">
        <w:tc>
          <w:tcPr>
            <w:tcW w:w="0" w:type="auto"/>
            <w:gridSpan w:val="3"/>
            <w:shd w:val="clear" w:color="auto" w:fill="auto"/>
            <w:tcMar>
              <w:top w:w="40" w:type="dxa"/>
              <w:left w:w="20" w:type="dxa"/>
              <w:bottom w:w="40" w:type="dxa"/>
              <w:right w:w="20" w:type="dxa"/>
            </w:tcMar>
          </w:tcPr>
          <w:p w14:paraId="4090FD9C" w14:textId="77777777" w:rsidR="00833634" w:rsidRDefault="00E15D51">
            <w:pPr>
              <w:textAlignment w:val="top"/>
            </w:pPr>
            <w:r>
              <w:rPr>
                <w:rFonts w:ascii="Arial" w:eastAsia="宋体" w:hAnsi="Arial" w:cs="Arial"/>
                <w:color w:val="000000"/>
                <w:sz w:val="20"/>
                <w:szCs w:val="20"/>
              </w:rPr>
              <w:t>101.PRE</w:t>
            </w:r>
          </w:p>
        </w:tc>
        <w:tc>
          <w:tcPr>
            <w:tcW w:w="0" w:type="auto"/>
            <w:gridSpan w:val="3"/>
            <w:shd w:val="clear" w:color="auto" w:fill="auto"/>
            <w:tcMar>
              <w:top w:w="40" w:type="dxa"/>
              <w:left w:w="20" w:type="dxa"/>
              <w:bottom w:w="40" w:type="dxa"/>
              <w:right w:w="20" w:type="dxa"/>
            </w:tcMar>
            <w:vAlign w:val="bottom"/>
          </w:tcPr>
          <w:p w14:paraId="4090FD9D" w14:textId="77777777" w:rsidR="00833634" w:rsidRDefault="00E15D51">
            <w:pPr>
              <w:textAlignment w:val="bottom"/>
            </w:pPr>
            <w:r>
              <w:rPr>
                <w:rFonts w:ascii="Arial" w:eastAsia="宋体" w:hAnsi="Arial" w:cs="Arial"/>
                <w:color w:val="000000"/>
                <w:sz w:val="20"/>
                <w:szCs w:val="20"/>
              </w:rPr>
              <w:t>Inline XBRL Taxonomy Extension Presentation Linkbase Document</w:t>
            </w:r>
          </w:p>
        </w:tc>
      </w:tr>
      <w:tr w:rsidR="00833634" w14:paraId="4090FDA1" w14:textId="77777777">
        <w:trPr>
          <w:trHeight w:val="60"/>
        </w:trPr>
        <w:tc>
          <w:tcPr>
            <w:tcW w:w="0" w:type="auto"/>
            <w:gridSpan w:val="3"/>
            <w:shd w:val="clear" w:color="auto" w:fill="auto"/>
            <w:tcMar>
              <w:top w:w="0" w:type="dxa"/>
              <w:left w:w="20" w:type="dxa"/>
              <w:bottom w:w="0" w:type="dxa"/>
              <w:right w:w="20" w:type="dxa"/>
            </w:tcMar>
          </w:tcPr>
          <w:p w14:paraId="4090FD9F"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A0" w14:textId="77777777" w:rsidR="00833634" w:rsidRDefault="00833634">
            <w:pPr>
              <w:rPr>
                <w:rFonts w:ascii="宋体"/>
              </w:rPr>
            </w:pPr>
          </w:p>
        </w:tc>
      </w:tr>
      <w:tr w:rsidR="00833634" w14:paraId="4090FDA4" w14:textId="77777777">
        <w:tc>
          <w:tcPr>
            <w:tcW w:w="0" w:type="auto"/>
            <w:gridSpan w:val="3"/>
            <w:shd w:val="clear" w:color="auto" w:fill="auto"/>
            <w:tcMar>
              <w:top w:w="40" w:type="dxa"/>
              <w:left w:w="20" w:type="dxa"/>
              <w:bottom w:w="40" w:type="dxa"/>
              <w:right w:w="20" w:type="dxa"/>
            </w:tcMar>
          </w:tcPr>
          <w:p w14:paraId="4090FDA2" w14:textId="77777777" w:rsidR="00833634" w:rsidRDefault="00E15D51">
            <w:pPr>
              <w:textAlignment w:val="top"/>
            </w:pPr>
            <w:r>
              <w:rPr>
                <w:rFonts w:ascii="Arial" w:eastAsia="宋体" w:hAnsi="Arial" w:cs="Arial"/>
                <w:color w:val="000000"/>
                <w:sz w:val="20"/>
                <w:szCs w:val="20"/>
              </w:rPr>
              <w:t>104</w:t>
            </w:r>
          </w:p>
        </w:tc>
        <w:tc>
          <w:tcPr>
            <w:tcW w:w="0" w:type="auto"/>
            <w:gridSpan w:val="3"/>
            <w:shd w:val="clear" w:color="auto" w:fill="auto"/>
            <w:tcMar>
              <w:top w:w="40" w:type="dxa"/>
              <w:left w:w="20" w:type="dxa"/>
              <w:bottom w:w="40" w:type="dxa"/>
              <w:right w:w="20" w:type="dxa"/>
            </w:tcMar>
            <w:vAlign w:val="bottom"/>
          </w:tcPr>
          <w:p w14:paraId="4090FDA3" w14:textId="77777777" w:rsidR="00833634" w:rsidRDefault="00E15D51">
            <w:pPr>
              <w:textAlignment w:val="bottom"/>
            </w:pPr>
            <w:r>
              <w:rPr>
                <w:rFonts w:ascii="Arial" w:eastAsia="宋体" w:hAnsi="Arial" w:cs="Arial"/>
                <w:color w:val="000000"/>
                <w:sz w:val="20"/>
                <w:szCs w:val="20"/>
              </w:rPr>
              <w:t xml:space="preserve">The cover page for the Company’s </w:t>
            </w:r>
            <w:r>
              <w:rPr>
                <w:rFonts w:ascii="Arial" w:eastAsia="宋体" w:hAnsi="Arial" w:cs="Arial"/>
                <w:color w:val="000000"/>
                <w:sz w:val="20"/>
                <w:szCs w:val="20"/>
              </w:rPr>
              <w:t>Quarterly Report on Form 10-Q for the quarter ended September 30, 2020, has been formatted in Inline XBRL.</w:t>
            </w:r>
          </w:p>
        </w:tc>
      </w:tr>
    </w:tbl>
    <w:p w14:paraId="4090FDA5" w14:textId="77777777" w:rsidR="00833634" w:rsidRDefault="00E15D51">
      <w:pPr>
        <w:spacing w:after="180"/>
        <w:jc w:val="both"/>
      </w:pPr>
      <w:r>
        <w:rPr>
          <w:rFonts w:ascii="Arial" w:eastAsia="宋体" w:hAnsi="Arial" w:cs="Arial"/>
          <w:color w:val="000000"/>
          <w:sz w:val="16"/>
          <w:szCs w:val="16"/>
        </w:rPr>
        <w:t>* Management contract or compensatory plan</w:t>
      </w:r>
    </w:p>
    <w:p w14:paraId="4090FDA6" w14:textId="77777777" w:rsidR="00833634" w:rsidRDefault="00E15D51">
      <w:pPr>
        <w:spacing w:after="180"/>
        <w:jc w:val="center"/>
      </w:pPr>
      <w:r>
        <w:rPr>
          <w:rFonts w:ascii="Arial" w:eastAsia="宋体" w:hAnsi="Arial" w:cs="Arial"/>
          <w:color w:val="000000"/>
          <w:sz w:val="18"/>
          <w:szCs w:val="18"/>
        </w:rPr>
        <w:t>64</w:t>
      </w:r>
    </w:p>
    <w:p w14:paraId="4090FDA7" w14:textId="77777777" w:rsidR="00833634" w:rsidRDefault="00E15D51">
      <w:r>
        <w:pict w14:anchorId="4090FE60">
          <v:rect id="_x0000_i1090" style="width:415.3pt;height:1.5pt" o:hralign="center" o:hrstd="t" o:hr="t" fillcolor="#a0a0a0" stroked="f"/>
        </w:pict>
      </w:r>
    </w:p>
    <w:p w14:paraId="4090FDA8" w14:textId="77777777" w:rsidR="00833634" w:rsidRDefault="00E15D51">
      <w:pPr>
        <w:spacing w:after="180"/>
        <w:jc w:val="both"/>
      </w:pPr>
      <w:hyperlink r:id="rId173" w:anchor="i8d805bfb1e1c4815a1dcd5b6d1e0b117_10" w:history="1">
        <w:r>
          <w:rPr>
            <w:rStyle w:val="a5"/>
            <w:rFonts w:ascii="Arial" w:eastAsia="宋体" w:hAnsi="Arial" w:cs="Arial"/>
            <w:sz w:val="18"/>
            <w:szCs w:val="18"/>
          </w:rPr>
          <w:t>Table of Contents</w:t>
        </w:r>
      </w:hyperlink>
    </w:p>
    <w:p w14:paraId="4090FDA9" w14:textId="77777777" w:rsidR="00833634" w:rsidRDefault="00E15D51">
      <w:pPr>
        <w:spacing w:after="180"/>
        <w:jc w:val="center"/>
      </w:pPr>
      <w:r>
        <w:rPr>
          <w:rFonts w:ascii="Arial" w:eastAsia="宋体" w:hAnsi="Arial" w:cs="Arial"/>
          <w:b/>
          <w:bCs/>
          <w:color w:val="000000"/>
          <w:sz w:val="20"/>
          <w:szCs w:val="20"/>
        </w:rPr>
        <w:t>Signature</w:t>
      </w:r>
    </w:p>
    <w:p w14:paraId="4090FDAA" w14:textId="77777777" w:rsidR="00833634" w:rsidRDefault="00E15D51">
      <w:pPr>
        <w:spacing w:after="360"/>
        <w:jc w:val="both"/>
      </w:pPr>
      <w:r>
        <w:rPr>
          <w:rFonts w:ascii="Arial" w:eastAsia="宋体" w:hAnsi="Arial" w:cs="Arial"/>
          <w:color w:val="000000"/>
          <w:sz w:val="20"/>
          <w:szCs w:val="20"/>
        </w:rPr>
        <w:t>Pursuant to the requirements of the Securities Exchange Act of 1934, the reg</w:t>
      </w:r>
      <w:r>
        <w:rPr>
          <w:rFonts w:ascii="Arial" w:eastAsia="宋体" w:hAnsi="Arial" w:cs="Arial"/>
          <w:color w:val="000000"/>
          <w:sz w:val="20"/>
          <w:szCs w:val="20"/>
        </w:rPr>
        <w:t>istrant has duly caused this report to be signed on its behalf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9"/>
        <w:gridCol w:w="3515"/>
        <w:gridCol w:w="36"/>
        <w:gridCol w:w="69"/>
        <w:gridCol w:w="602"/>
        <w:gridCol w:w="36"/>
        <w:gridCol w:w="70"/>
        <w:gridCol w:w="3903"/>
        <w:gridCol w:w="36"/>
      </w:tblGrid>
      <w:tr w:rsidR="00833634" w14:paraId="4090FDB4" w14:textId="77777777">
        <w:tc>
          <w:tcPr>
            <w:tcW w:w="50" w:type="pct"/>
            <w:shd w:val="clear" w:color="auto" w:fill="auto"/>
          </w:tcPr>
          <w:p w14:paraId="4090FDAB" w14:textId="77777777" w:rsidR="00833634" w:rsidRDefault="00833634">
            <w:pPr>
              <w:rPr>
                <w:rFonts w:ascii="宋体"/>
              </w:rPr>
            </w:pPr>
          </w:p>
        </w:tc>
        <w:tc>
          <w:tcPr>
            <w:tcW w:w="2116" w:type="pct"/>
            <w:shd w:val="clear" w:color="auto" w:fill="auto"/>
          </w:tcPr>
          <w:p w14:paraId="4090FDAC" w14:textId="77777777" w:rsidR="00833634" w:rsidRDefault="00833634">
            <w:pPr>
              <w:rPr>
                <w:rFonts w:ascii="宋体"/>
              </w:rPr>
            </w:pPr>
          </w:p>
        </w:tc>
        <w:tc>
          <w:tcPr>
            <w:tcW w:w="5" w:type="pct"/>
            <w:shd w:val="clear" w:color="auto" w:fill="auto"/>
          </w:tcPr>
          <w:p w14:paraId="4090FDAD" w14:textId="77777777" w:rsidR="00833634" w:rsidRDefault="00833634">
            <w:pPr>
              <w:rPr>
                <w:rFonts w:ascii="宋体"/>
              </w:rPr>
            </w:pPr>
          </w:p>
        </w:tc>
        <w:tc>
          <w:tcPr>
            <w:tcW w:w="50" w:type="pct"/>
            <w:shd w:val="clear" w:color="auto" w:fill="auto"/>
          </w:tcPr>
          <w:p w14:paraId="4090FDAE" w14:textId="77777777" w:rsidR="00833634" w:rsidRDefault="00833634">
            <w:pPr>
              <w:rPr>
                <w:rFonts w:ascii="宋体"/>
              </w:rPr>
            </w:pPr>
          </w:p>
        </w:tc>
        <w:tc>
          <w:tcPr>
            <w:tcW w:w="369" w:type="pct"/>
            <w:shd w:val="clear" w:color="auto" w:fill="auto"/>
          </w:tcPr>
          <w:p w14:paraId="4090FDAF" w14:textId="77777777" w:rsidR="00833634" w:rsidRDefault="00833634">
            <w:pPr>
              <w:rPr>
                <w:rFonts w:ascii="宋体"/>
              </w:rPr>
            </w:pPr>
          </w:p>
        </w:tc>
        <w:tc>
          <w:tcPr>
            <w:tcW w:w="5" w:type="pct"/>
            <w:shd w:val="clear" w:color="auto" w:fill="auto"/>
          </w:tcPr>
          <w:p w14:paraId="4090FDB0" w14:textId="77777777" w:rsidR="00833634" w:rsidRDefault="00833634">
            <w:pPr>
              <w:rPr>
                <w:rFonts w:ascii="宋体"/>
              </w:rPr>
            </w:pPr>
          </w:p>
        </w:tc>
        <w:tc>
          <w:tcPr>
            <w:tcW w:w="50" w:type="pct"/>
            <w:shd w:val="clear" w:color="auto" w:fill="auto"/>
          </w:tcPr>
          <w:p w14:paraId="4090FDB1" w14:textId="77777777" w:rsidR="00833634" w:rsidRDefault="00833634">
            <w:pPr>
              <w:rPr>
                <w:rFonts w:ascii="宋体"/>
              </w:rPr>
            </w:pPr>
          </w:p>
        </w:tc>
        <w:tc>
          <w:tcPr>
            <w:tcW w:w="2348" w:type="pct"/>
            <w:shd w:val="clear" w:color="auto" w:fill="auto"/>
          </w:tcPr>
          <w:p w14:paraId="4090FDB2" w14:textId="77777777" w:rsidR="00833634" w:rsidRDefault="00833634">
            <w:pPr>
              <w:rPr>
                <w:rFonts w:ascii="宋体"/>
              </w:rPr>
            </w:pPr>
          </w:p>
        </w:tc>
        <w:tc>
          <w:tcPr>
            <w:tcW w:w="5" w:type="pct"/>
            <w:shd w:val="clear" w:color="auto" w:fill="auto"/>
          </w:tcPr>
          <w:p w14:paraId="4090FDB3" w14:textId="77777777" w:rsidR="00833634" w:rsidRDefault="00833634">
            <w:pPr>
              <w:rPr>
                <w:rFonts w:ascii="宋体"/>
              </w:rPr>
            </w:pPr>
          </w:p>
        </w:tc>
      </w:tr>
      <w:tr w:rsidR="00833634" w14:paraId="4090FDB8" w14:textId="77777777">
        <w:tc>
          <w:tcPr>
            <w:tcW w:w="0" w:type="auto"/>
            <w:gridSpan w:val="3"/>
            <w:shd w:val="clear" w:color="auto" w:fill="auto"/>
            <w:tcMar>
              <w:top w:w="0" w:type="dxa"/>
              <w:left w:w="20" w:type="dxa"/>
              <w:bottom w:w="0" w:type="dxa"/>
              <w:right w:w="20" w:type="dxa"/>
            </w:tcMar>
          </w:tcPr>
          <w:p w14:paraId="4090FDB5"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B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DB7" w14:textId="77777777" w:rsidR="00833634" w:rsidRDefault="00E15D51">
            <w:pPr>
              <w:jc w:val="center"/>
              <w:textAlignment w:val="bottom"/>
            </w:pPr>
            <w:r>
              <w:rPr>
                <w:rFonts w:ascii="Arial" w:eastAsia="宋体" w:hAnsi="Arial" w:cs="Arial"/>
                <w:color w:val="000000"/>
                <w:sz w:val="20"/>
                <w:szCs w:val="20"/>
              </w:rPr>
              <w:t>THE BOEING COMPANY</w:t>
            </w:r>
          </w:p>
        </w:tc>
      </w:tr>
      <w:tr w:rsidR="00833634" w14:paraId="4090FDBC" w14:textId="77777777">
        <w:tc>
          <w:tcPr>
            <w:tcW w:w="0" w:type="auto"/>
            <w:gridSpan w:val="3"/>
            <w:shd w:val="clear" w:color="auto" w:fill="auto"/>
            <w:tcMar>
              <w:top w:w="0" w:type="dxa"/>
              <w:left w:w="20" w:type="dxa"/>
              <w:bottom w:w="0" w:type="dxa"/>
              <w:right w:w="20" w:type="dxa"/>
            </w:tcMar>
          </w:tcPr>
          <w:p w14:paraId="4090FDB9"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BA"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DBB" w14:textId="77777777" w:rsidR="00833634" w:rsidRDefault="00E15D51">
            <w:pPr>
              <w:jc w:val="center"/>
              <w:textAlignment w:val="bottom"/>
            </w:pPr>
            <w:r>
              <w:rPr>
                <w:rFonts w:ascii="Arial" w:eastAsia="宋体" w:hAnsi="Arial" w:cs="Arial"/>
                <w:color w:val="000000"/>
                <w:sz w:val="20"/>
                <w:szCs w:val="20"/>
              </w:rPr>
              <w:t>(Registrant)</w:t>
            </w:r>
          </w:p>
        </w:tc>
      </w:tr>
      <w:tr w:rsidR="00833634" w14:paraId="4090FDC0" w14:textId="77777777">
        <w:trPr>
          <w:trHeight w:val="300"/>
        </w:trPr>
        <w:tc>
          <w:tcPr>
            <w:tcW w:w="0" w:type="auto"/>
            <w:gridSpan w:val="3"/>
            <w:shd w:val="clear" w:color="auto" w:fill="auto"/>
            <w:tcMar>
              <w:top w:w="0" w:type="dxa"/>
              <w:left w:w="20" w:type="dxa"/>
              <w:bottom w:w="0" w:type="dxa"/>
              <w:right w:w="20" w:type="dxa"/>
            </w:tcMar>
          </w:tcPr>
          <w:p w14:paraId="4090FDBD"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BE"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BF" w14:textId="77777777" w:rsidR="00833634" w:rsidRDefault="00833634">
            <w:pPr>
              <w:rPr>
                <w:rFonts w:ascii="宋体"/>
              </w:rPr>
            </w:pPr>
          </w:p>
        </w:tc>
      </w:tr>
      <w:tr w:rsidR="00833634" w14:paraId="4090FDC4" w14:textId="77777777">
        <w:trPr>
          <w:trHeight w:val="300"/>
        </w:trPr>
        <w:tc>
          <w:tcPr>
            <w:tcW w:w="0" w:type="auto"/>
            <w:gridSpan w:val="3"/>
            <w:shd w:val="clear" w:color="auto" w:fill="auto"/>
            <w:tcMar>
              <w:top w:w="0" w:type="dxa"/>
              <w:left w:w="20" w:type="dxa"/>
              <w:bottom w:w="0" w:type="dxa"/>
              <w:right w:w="20" w:type="dxa"/>
            </w:tcMar>
          </w:tcPr>
          <w:p w14:paraId="4090FDC1"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C2"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C3" w14:textId="77777777" w:rsidR="00833634" w:rsidRDefault="00833634">
            <w:pPr>
              <w:rPr>
                <w:rFonts w:ascii="宋体"/>
              </w:rPr>
            </w:pPr>
          </w:p>
        </w:tc>
      </w:tr>
      <w:tr w:rsidR="00833634" w14:paraId="4090FDC8" w14:textId="77777777">
        <w:trPr>
          <w:trHeight w:val="300"/>
        </w:trPr>
        <w:tc>
          <w:tcPr>
            <w:tcW w:w="0" w:type="auto"/>
            <w:gridSpan w:val="3"/>
            <w:shd w:val="clear" w:color="auto" w:fill="auto"/>
            <w:tcMar>
              <w:top w:w="0" w:type="dxa"/>
              <w:left w:w="20" w:type="dxa"/>
              <w:bottom w:w="0" w:type="dxa"/>
              <w:right w:w="20" w:type="dxa"/>
            </w:tcMar>
          </w:tcPr>
          <w:p w14:paraId="4090FDC5"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C6"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C7" w14:textId="77777777" w:rsidR="00833634" w:rsidRDefault="00833634">
            <w:pPr>
              <w:rPr>
                <w:rFonts w:ascii="宋体"/>
              </w:rPr>
            </w:pPr>
          </w:p>
        </w:tc>
      </w:tr>
      <w:tr w:rsidR="00833634" w14:paraId="4090FDCC" w14:textId="77777777">
        <w:trPr>
          <w:trHeight w:val="300"/>
        </w:trPr>
        <w:tc>
          <w:tcPr>
            <w:tcW w:w="0" w:type="auto"/>
            <w:gridSpan w:val="3"/>
            <w:shd w:val="clear" w:color="auto" w:fill="auto"/>
            <w:tcMar>
              <w:top w:w="0" w:type="dxa"/>
              <w:left w:w="20" w:type="dxa"/>
              <w:bottom w:w="0" w:type="dxa"/>
              <w:right w:w="20" w:type="dxa"/>
            </w:tcMar>
          </w:tcPr>
          <w:p w14:paraId="4090FDC9"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CA"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CB" w14:textId="77777777" w:rsidR="00833634" w:rsidRDefault="00833634">
            <w:pPr>
              <w:rPr>
                <w:rFonts w:ascii="宋体"/>
              </w:rPr>
            </w:pPr>
          </w:p>
        </w:tc>
      </w:tr>
      <w:tr w:rsidR="00833634" w14:paraId="4090FDD0" w14:textId="77777777">
        <w:tc>
          <w:tcPr>
            <w:tcW w:w="0" w:type="auto"/>
            <w:gridSpan w:val="3"/>
            <w:shd w:val="clear" w:color="auto" w:fill="auto"/>
            <w:tcMar>
              <w:top w:w="40" w:type="dxa"/>
              <w:left w:w="20" w:type="dxa"/>
              <w:bottom w:w="40" w:type="dxa"/>
              <w:right w:w="20" w:type="dxa"/>
            </w:tcMar>
          </w:tcPr>
          <w:p w14:paraId="4090FDCD" w14:textId="77777777" w:rsidR="00833634" w:rsidRDefault="00E15D51">
            <w:pPr>
              <w:jc w:val="center"/>
              <w:textAlignment w:val="top"/>
            </w:pPr>
            <w:r>
              <w:rPr>
                <w:rFonts w:ascii="Arial" w:eastAsia="宋体" w:hAnsi="Arial" w:cs="Arial"/>
                <w:color w:val="000000"/>
                <w:sz w:val="20"/>
                <w:szCs w:val="20"/>
              </w:rPr>
              <w:t>October 28, 2020</w:t>
            </w:r>
          </w:p>
        </w:tc>
        <w:tc>
          <w:tcPr>
            <w:tcW w:w="0" w:type="auto"/>
            <w:gridSpan w:val="3"/>
            <w:shd w:val="clear" w:color="auto" w:fill="auto"/>
            <w:tcMar>
              <w:top w:w="0" w:type="dxa"/>
              <w:left w:w="20" w:type="dxa"/>
              <w:bottom w:w="0" w:type="dxa"/>
              <w:right w:w="20" w:type="dxa"/>
            </w:tcMar>
          </w:tcPr>
          <w:p w14:paraId="4090FDCE"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DCF" w14:textId="77777777" w:rsidR="00833634" w:rsidRDefault="00E15D51">
            <w:pPr>
              <w:jc w:val="center"/>
              <w:textAlignment w:val="bottom"/>
            </w:pPr>
            <w:r>
              <w:rPr>
                <w:rFonts w:ascii="Arial" w:eastAsia="宋体" w:hAnsi="Arial" w:cs="Arial"/>
                <w:color w:val="000000"/>
                <w:sz w:val="20"/>
                <w:szCs w:val="20"/>
              </w:rPr>
              <w:t>/s/ Robert E. Verbeck</w:t>
            </w:r>
          </w:p>
        </w:tc>
      </w:tr>
      <w:tr w:rsidR="00833634" w14:paraId="4090FDD4" w14:textId="77777777">
        <w:tc>
          <w:tcPr>
            <w:tcW w:w="0" w:type="auto"/>
            <w:gridSpan w:val="3"/>
            <w:tcBorders>
              <w:top w:val="single" w:sz="8" w:space="0" w:color="000000"/>
            </w:tcBorders>
            <w:shd w:val="clear" w:color="auto" w:fill="auto"/>
            <w:tcMar>
              <w:top w:w="40" w:type="dxa"/>
              <w:left w:w="20" w:type="dxa"/>
              <w:bottom w:w="40" w:type="dxa"/>
              <w:right w:w="20" w:type="dxa"/>
            </w:tcMar>
          </w:tcPr>
          <w:p w14:paraId="4090FDD1" w14:textId="77777777" w:rsidR="00833634" w:rsidRDefault="00E15D51">
            <w:pPr>
              <w:jc w:val="center"/>
              <w:textAlignment w:val="top"/>
            </w:pPr>
            <w:r>
              <w:rPr>
                <w:rFonts w:ascii="Arial" w:eastAsia="宋体" w:hAnsi="Arial" w:cs="Arial"/>
                <w:color w:val="000000"/>
                <w:sz w:val="20"/>
                <w:szCs w:val="20"/>
              </w:rPr>
              <w:t>(Date)</w:t>
            </w:r>
          </w:p>
        </w:tc>
        <w:tc>
          <w:tcPr>
            <w:tcW w:w="0" w:type="auto"/>
            <w:gridSpan w:val="3"/>
            <w:shd w:val="clear" w:color="auto" w:fill="auto"/>
            <w:tcMar>
              <w:top w:w="0" w:type="dxa"/>
              <w:left w:w="20" w:type="dxa"/>
              <w:bottom w:w="0" w:type="dxa"/>
              <w:right w:w="20" w:type="dxa"/>
            </w:tcMar>
          </w:tcPr>
          <w:p w14:paraId="4090FDD2" w14:textId="77777777" w:rsidR="00833634" w:rsidRDefault="00833634">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4090FDD3" w14:textId="77777777" w:rsidR="00833634" w:rsidRDefault="00E15D51">
            <w:pPr>
              <w:spacing w:after="180"/>
              <w:jc w:val="center"/>
              <w:textAlignment w:val="bottom"/>
            </w:pPr>
            <w:r>
              <w:rPr>
                <w:rFonts w:ascii="Arial" w:eastAsia="宋体" w:hAnsi="Arial" w:cs="Arial"/>
                <w:color w:val="000000"/>
                <w:sz w:val="20"/>
                <w:szCs w:val="20"/>
              </w:rPr>
              <w:t>Robert E. Verbeck</w:t>
            </w:r>
          </w:p>
        </w:tc>
      </w:tr>
      <w:tr w:rsidR="00833634" w14:paraId="4090FDD8" w14:textId="77777777">
        <w:tc>
          <w:tcPr>
            <w:tcW w:w="0" w:type="auto"/>
            <w:gridSpan w:val="3"/>
            <w:shd w:val="clear" w:color="auto" w:fill="auto"/>
            <w:tcMar>
              <w:top w:w="0" w:type="dxa"/>
              <w:left w:w="20" w:type="dxa"/>
              <w:bottom w:w="0" w:type="dxa"/>
              <w:right w:w="20" w:type="dxa"/>
            </w:tcMar>
          </w:tcPr>
          <w:p w14:paraId="4090FDD5" w14:textId="77777777" w:rsidR="00833634" w:rsidRDefault="00833634">
            <w:pPr>
              <w:rPr>
                <w:rFonts w:ascii="宋体"/>
              </w:rPr>
            </w:pPr>
          </w:p>
        </w:tc>
        <w:tc>
          <w:tcPr>
            <w:tcW w:w="0" w:type="auto"/>
            <w:gridSpan w:val="3"/>
            <w:shd w:val="clear" w:color="auto" w:fill="auto"/>
            <w:tcMar>
              <w:top w:w="0" w:type="dxa"/>
              <w:left w:w="20" w:type="dxa"/>
              <w:bottom w:w="0" w:type="dxa"/>
              <w:right w:w="20" w:type="dxa"/>
            </w:tcMar>
          </w:tcPr>
          <w:p w14:paraId="4090FDD6" w14:textId="77777777" w:rsidR="00833634" w:rsidRDefault="00833634">
            <w:pPr>
              <w:rPr>
                <w:rFonts w:ascii="宋体"/>
              </w:rPr>
            </w:pPr>
          </w:p>
        </w:tc>
        <w:tc>
          <w:tcPr>
            <w:tcW w:w="0" w:type="auto"/>
            <w:gridSpan w:val="3"/>
            <w:shd w:val="clear" w:color="auto" w:fill="auto"/>
            <w:tcMar>
              <w:top w:w="40" w:type="dxa"/>
              <w:left w:w="20" w:type="dxa"/>
              <w:bottom w:w="40" w:type="dxa"/>
              <w:right w:w="20" w:type="dxa"/>
            </w:tcMar>
            <w:vAlign w:val="bottom"/>
          </w:tcPr>
          <w:p w14:paraId="4090FDD7" w14:textId="77777777" w:rsidR="00833634" w:rsidRDefault="00E15D51">
            <w:pPr>
              <w:jc w:val="center"/>
              <w:textAlignment w:val="bottom"/>
            </w:pPr>
            <w:r>
              <w:rPr>
                <w:rFonts w:ascii="Arial" w:eastAsia="宋体" w:hAnsi="Arial" w:cs="Arial"/>
                <w:color w:val="000000"/>
                <w:sz w:val="20"/>
                <w:szCs w:val="20"/>
              </w:rPr>
              <w:t xml:space="preserve">Senior </w:t>
            </w:r>
            <w:r>
              <w:rPr>
                <w:rFonts w:ascii="Arial" w:eastAsia="宋体" w:hAnsi="Arial" w:cs="Arial"/>
                <w:color w:val="000000"/>
                <w:sz w:val="20"/>
                <w:szCs w:val="20"/>
              </w:rPr>
              <w:t>Vice President and Controller</w:t>
            </w:r>
          </w:p>
        </w:tc>
      </w:tr>
    </w:tbl>
    <w:p w14:paraId="4090FDD9" w14:textId="77777777" w:rsidR="00833634" w:rsidRDefault="00E15D51">
      <w:pPr>
        <w:spacing w:after="180"/>
        <w:jc w:val="center"/>
      </w:pPr>
      <w:r>
        <w:rPr>
          <w:rFonts w:ascii="Arial" w:eastAsia="宋体" w:hAnsi="Arial" w:cs="Arial"/>
          <w:color w:val="000000"/>
          <w:sz w:val="18"/>
          <w:szCs w:val="18"/>
        </w:rPr>
        <w:t>65</w:t>
      </w:r>
    </w:p>
    <w:p w14:paraId="4090FDDA" w14:textId="77777777" w:rsidR="00833634" w:rsidRDefault="00E15D5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090FE61" wp14:editId="4090FE62">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DDC" w14:textId="77777777">
        <w:trPr>
          <w:tblCellSpacing w:w="15" w:type="dxa"/>
        </w:trPr>
        <w:tc>
          <w:tcPr>
            <w:tcW w:w="0" w:type="auto"/>
            <w:shd w:val="clear" w:color="auto" w:fill="auto"/>
            <w:vAlign w:val="center"/>
          </w:tcPr>
          <w:p w14:paraId="4090FDDB" w14:textId="77777777" w:rsidR="00833634" w:rsidRDefault="00833634">
            <w:pPr>
              <w:rPr>
                <w:rFonts w:ascii="宋体"/>
              </w:rPr>
            </w:pPr>
          </w:p>
        </w:tc>
      </w:tr>
    </w:tbl>
    <w:p w14:paraId="4090FDDD" w14:textId="77777777" w:rsidR="00833634" w:rsidRDefault="008336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DDF" w14:textId="77777777">
        <w:trPr>
          <w:tblCellSpacing w:w="15" w:type="dxa"/>
        </w:trPr>
        <w:tc>
          <w:tcPr>
            <w:tcW w:w="0" w:type="auto"/>
            <w:shd w:val="clear" w:color="auto" w:fill="auto"/>
            <w:vAlign w:val="center"/>
          </w:tcPr>
          <w:p w14:paraId="4090FDDE" w14:textId="77777777" w:rsidR="00833634" w:rsidRDefault="00833634">
            <w:pPr>
              <w:rPr>
                <w:rFonts w:ascii="宋体"/>
              </w:rPr>
            </w:pPr>
          </w:p>
        </w:tc>
      </w:tr>
    </w:tbl>
    <w:p w14:paraId="4090FDE0" w14:textId="77777777" w:rsidR="00833634" w:rsidRDefault="008336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DE2" w14:textId="77777777">
        <w:trPr>
          <w:tblCellSpacing w:w="15" w:type="dxa"/>
        </w:trPr>
        <w:tc>
          <w:tcPr>
            <w:tcW w:w="0" w:type="auto"/>
            <w:shd w:val="clear" w:color="auto" w:fill="auto"/>
            <w:vAlign w:val="center"/>
          </w:tcPr>
          <w:p w14:paraId="4090FDE1" w14:textId="77777777" w:rsidR="00833634" w:rsidRDefault="00833634">
            <w:pPr>
              <w:rPr>
                <w:rFonts w:ascii="宋体"/>
              </w:rPr>
            </w:pPr>
          </w:p>
        </w:tc>
      </w:tr>
    </w:tbl>
    <w:p w14:paraId="4090FDE3" w14:textId="77777777" w:rsidR="00833634" w:rsidRDefault="008336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DE5" w14:textId="77777777">
        <w:trPr>
          <w:tblCellSpacing w:w="15" w:type="dxa"/>
        </w:trPr>
        <w:tc>
          <w:tcPr>
            <w:tcW w:w="0" w:type="auto"/>
            <w:shd w:val="clear" w:color="auto" w:fill="auto"/>
            <w:vAlign w:val="center"/>
          </w:tcPr>
          <w:p w14:paraId="4090FDE4" w14:textId="77777777" w:rsidR="00833634" w:rsidRDefault="00833634">
            <w:pPr>
              <w:rPr>
                <w:rFonts w:ascii="宋体"/>
              </w:rPr>
            </w:pPr>
          </w:p>
        </w:tc>
      </w:tr>
    </w:tbl>
    <w:p w14:paraId="4090FDE6" w14:textId="77777777" w:rsidR="00833634" w:rsidRDefault="00E15D51">
      <w:r>
        <w:rPr>
          <w:rFonts w:ascii="宋体" w:eastAsia="宋体" w:hAnsi="宋体" w:cs="宋体"/>
        </w:rPr>
        <w:t xml:space="preserve">Previous Next </w:t>
      </w:r>
    </w:p>
    <w:p w14:paraId="4090FDE7" w14:textId="77777777" w:rsidR="00833634" w:rsidRDefault="00E15D51">
      <w:pPr>
        <w:pStyle w:val="a3"/>
      </w:pPr>
      <w:r>
        <w:t>Settings</w:t>
      </w:r>
    </w:p>
    <w:p w14:paraId="4090FDE8" w14:textId="77777777" w:rsidR="00833634" w:rsidRDefault="00E15D51">
      <w:pPr>
        <w:pStyle w:val="Style4"/>
      </w:pPr>
      <w:r>
        <w:t>窗体顶端</w:t>
      </w:r>
    </w:p>
    <w:p w14:paraId="4090FDE9" w14:textId="77777777" w:rsidR="00833634" w:rsidRDefault="00E15D51">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4090FE63" wp14:editId="4090FE64">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4090FDEA" w14:textId="77777777" w:rsidR="00833634" w:rsidRDefault="00E15D51">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4090FE65" wp14:editId="4090FE66">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4090FDEB" w14:textId="77777777" w:rsidR="00833634" w:rsidRDefault="00E15D51">
      <w:r>
        <w:pict w14:anchorId="4090FE67">
          <v:rect id="_x0000_i1091" style="width:415.3pt;height:1.5pt" o:hralign="center" o:hrstd="t" o:hr="t" fillcolor="#a0a0a0" stroked="f"/>
        </w:pict>
      </w:r>
    </w:p>
    <w:p w14:paraId="4090FDEC" w14:textId="77777777" w:rsidR="00833634" w:rsidRDefault="00E15D51">
      <w:r>
        <w:rPr>
          <w:rFonts w:ascii="宋体" w:eastAsia="宋体" w:hAnsi="宋体" w:cs="宋体"/>
        </w:rPr>
        <w:t xml:space="preserve">Tagged Data </w:t>
      </w:r>
    </w:p>
    <w:p w14:paraId="4090FDED" w14:textId="77777777" w:rsidR="00833634" w:rsidRDefault="00E15D51">
      <w:r>
        <w:rPr>
          <w:rFonts w:ascii="monospace" w:eastAsia="monospace" w:hAnsi="monospace" w:cs="monospace"/>
          <w:noProof/>
        </w:rPr>
        <mc:AlternateContent>
          <mc:Choice Requires="wps">
            <w:drawing>
              <wp:inline distT="0" distB="0" distL="114300" distR="114300" wp14:anchorId="4090FE68" wp14:editId="4090FE69">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p w14:paraId="4090FDEE" w14:textId="77777777" w:rsidR="00833634" w:rsidRDefault="00E15D51">
      <w:r>
        <w:rPr>
          <w:rFonts w:ascii="宋体" w:eastAsia="宋体" w:hAnsi="宋体" w:cs="宋体"/>
        </w:rPr>
        <w:t>Save</w:t>
      </w:r>
    </w:p>
    <w:p w14:paraId="4090FDEF" w14:textId="77777777" w:rsidR="00833634" w:rsidRDefault="00E15D51">
      <w:r>
        <w:rPr>
          <w:rFonts w:ascii="宋体" w:eastAsia="宋体" w:hAnsi="宋体" w:cs="宋体"/>
        </w:rPr>
        <w:t>Reset</w:t>
      </w:r>
    </w:p>
    <w:p w14:paraId="4090FDF0" w14:textId="77777777" w:rsidR="00833634" w:rsidRDefault="00E15D51">
      <w:r>
        <w:pict w14:anchorId="4090FE6A">
          <v:rect id="_x0000_i1092" style="width:415.3pt;height:1.5pt" o:hralign="center" o:hrstd="t" o:hr="t" fillcolor="#a0a0a0" stroked="f"/>
        </w:pict>
      </w:r>
    </w:p>
    <w:p w14:paraId="4090FDF1" w14:textId="77777777" w:rsidR="00833634" w:rsidRDefault="00E15D51">
      <w:r>
        <w:rPr>
          <w:rFonts w:ascii="宋体" w:eastAsia="宋体" w:hAnsi="宋体" w:cs="宋体"/>
        </w:rPr>
        <w:t xml:space="preserve">Search Results </w:t>
      </w:r>
    </w:p>
    <w:p w14:paraId="4090FDF2" w14:textId="77777777" w:rsidR="00833634" w:rsidRDefault="00E15D51">
      <w:r>
        <w:rPr>
          <w:rFonts w:ascii="monospace" w:eastAsia="monospace" w:hAnsi="monospace" w:cs="monospace"/>
          <w:noProof/>
        </w:rPr>
        <mc:AlternateContent>
          <mc:Choice Requires="wps">
            <w:drawing>
              <wp:inline distT="0" distB="0" distL="114300" distR="114300" wp14:anchorId="4090FE6B" wp14:editId="4090FE6C">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p w14:paraId="4090FDF3" w14:textId="77777777" w:rsidR="00833634" w:rsidRDefault="00E15D51">
      <w:r>
        <w:rPr>
          <w:rFonts w:ascii="宋体" w:eastAsia="宋体" w:hAnsi="宋体" w:cs="宋体"/>
        </w:rPr>
        <w:t>Save</w:t>
      </w:r>
    </w:p>
    <w:p w14:paraId="4090FDF4" w14:textId="77777777" w:rsidR="00833634" w:rsidRDefault="00E15D51">
      <w:r>
        <w:rPr>
          <w:rFonts w:ascii="宋体" w:eastAsia="宋体" w:hAnsi="宋体" w:cs="宋体"/>
        </w:rPr>
        <w:t>Reset</w:t>
      </w:r>
    </w:p>
    <w:p w14:paraId="4090FDF5" w14:textId="77777777" w:rsidR="00833634" w:rsidRDefault="00E15D51">
      <w:r>
        <w:pict w14:anchorId="4090FE6D">
          <v:rect id="_x0000_i1093" style="width:415.3pt;height:1.5pt" o:hralign="center" o:hrstd="t" o:hr="t" fillcolor="#a0a0a0" stroked="f"/>
        </w:pict>
      </w:r>
    </w:p>
    <w:p w14:paraId="4090FDF6" w14:textId="77777777" w:rsidR="00833634" w:rsidRDefault="00E15D51">
      <w:r>
        <w:rPr>
          <w:rFonts w:ascii="宋体" w:eastAsia="宋体" w:hAnsi="宋体" w:cs="宋体"/>
        </w:rPr>
        <w:t xml:space="preserve">Selected Fact </w:t>
      </w:r>
    </w:p>
    <w:p w14:paraId="4090FDF7" w14:textId="77777777" w:rsidR="00833634" w:rsidRDefault="00E15D51">
      <w:r>
        <w:rPr>
          <w:rFonts w:ascii="monospace" w:eastAsia="monospace" w:hAnsi="monospace" w:cs="monospace"/>
          <w:noProof/>
        </w:rPr>
        <mc:AlternateContent>
          <mc:Choice Requires="wps">
            <w:drawing>
              <wp:inline distT="0" distB="0" distL="114300" distR="114300" wp14:anchorId="4090FE6E" wp14:editId="4090FE6F">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p>
    <w:p w14:paraId="4090FDF8" w14:textId="77777777" w:rsidR="00833634" w:rsidRDefault="00E15D51">
      <w:r>
        <w:rPr>
          <w:rFonts w:ascii="宋体" w:eastAsia="宋体" w:hAnsi="宋体" w:cs="宋体"/>
        </w:rPr>
        <w:t>Save</w:t>
      </w:r>
    </w:p>
    <w:p w14:paraId="4090FDF9" w14:textId="77777777" w:rsidR="00833634" w:rsidRDefault="00E15D51">
      <w:r>
        <w:rPr>
          <w:rFonts w:ascii="宋体" w:eastAsia="宋体" w:hAnsi="宋体" w:cs="宋体"/>
        </w:rPr>
        <w:t>Reset</w:t>
      </w:r>
    </w:p>
    <w:p w14:paraId="4090FDFA" w14:textId="77777777" w:rsidR="00833634" w:rsidRDefault="00E15D51">
      <w:r>
        <w:pict w14:anchorId="4090FE70">
          <v:rect id="_x0000_i1094" style="width:415.3pt;height:1.5pt" o:hralign="center" o:hrstd="t" o:hr="t" fillcolor="#a0a0a0" stroked="f"/>
        </w:pict>
      </w:r>
    </w:p>
    <w:p w14:paraId="4090FDFB" w14:textId="77777777" w:rsidR="00833634" w:rsidRDefault="00E15D51">
      <w:r>
        <w:rPr>
          <w:rFonts w:ascii="宋体" w:eastAsia="宋体" w:hAnsi="宋体" w:cs="宋体"/>
        </w:rPr>
        <w:t xml:space="preserve">Tag Shading (hover) </w:t>
      </w:r>
    </w:p>
    <w:p w14:paraId="4090FDFC" w14:textId="77777777" w:rsidR="00833634" w:rsidRDefault="00E15D51">
      <w:r>
        <w:rPr>
          <w:rFonts w:ascii="monospace" w:eastAsia="monospace" w:hAnsi="monospace" w:cs="monospace"/>
          <w:noProof/>
        </w:rPr>
        <mc:AlternateContent>
          <mc:Choice Requires="wps">
            <w:drawing>
              <wp:inline distT="0" distB="0" distL="114300" distR="114300" wp14:anchorId="4090FE71" wp14:editId="4090FE72">
                <wp:extent cx="635" cy="0"/>
                <wp:effectExtent l="0" t="0" r="0" b="0"/>
                <wp:docPr id="30" name="矩形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cvfsWwA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wkcWBp4r+//fj18zsjB6kzBKwp6CHcx8wPw50XT8icv+nBdeoaA2lMe5RjqxfB+YD7tG0b&#10;bU4nwmxb1N8d1VfbxAQ5L88vOBMHfwX1ISlETJ+UtywbDY9UsGgNmztMuSzUh5Bcw/lbbUwZrHFs&#10;aPiHi1lGBlrWlpaETBuIMLquwKA3WuaUwi92qxsT2QbywpSvMCPmz8NyvSVgP8aVq3GVrE4qltq9&#10;AvnRSZZ2gTR19JZ4bsYqyZlR9PSyVSITaHNKJPE0bq/yKGyWeOXljka4DlF3/YtJ0MoUcfbrnXfy&#10;+bkg/X3Si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cvfsWwACAAAaBAAADgAAAAAAAAAB&#10;ACAAAAAzAQAAZHJzL2Uyb0RvYy54bWxQSwUGAAAAAAYABgBZAQAApQUAAAAA&#10;">
                <v:path/>
                <v:fill on="f" focussize="0,0"/>
                <v:stroke/>
                <v:imagedata o:title=""/>
                <o:lock v:ext="edit" aspectratio="t"/>
                <w10:wrap type="none"/>
                <w10:anchorlock/>
              </v:rect>
            </w:pict>
          </mc:Fallback>
        </mc:AlternateContent>
      </w:r>
    </w:p>
    <w:p w14:paraId="4090FDFD" w14:textId="77777777" w:rsidR="00833634" w:rsidRDefault="00E15D51">
      <w:r>
        <w:rPr>
          <w:rFonts w:ascii="宋体" w:eastAsia="宋体" w:hAnsi="宋体" w:cs="宋体"/>
        </w:rPr>
        <w:t>Save</w:t>
      </w:r>
    </w:p>
    <w:p w14:paraId="4090FDFE" w14:textId="77777777" w:rsidR="00833634" w:rsidRDefault="00E15D51">
      <w:r>
        <w:rPr>
          <w:rFonts w:ascii="宋体" w:eastAsia="宋体" w:hAnsi="宋体" w:cs="宋体"/>
        </w:rPr>
        <w:t>Reset</w:t>
      </w:r>
    </w:p>
    <w:p w14:paraId="4090FDFF" w14:textId="77777777" w:rsidR="00833634" w:rsidRDefault="00E15D51">
      <w:pPr>
        <w:pStyle w:val="Style5"/>
      </w:pPr>
      <w:r>
        <w:t>窗体底端</w:t>
      </w:r>
    </w:p>
    <w:p w14:paraId="4090FE00" w14:textId="77777777" w:rsidR="00833634" w:rsidRDefault="00E15D5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090FE73" wp14:editId="4090FE74">
                <wp:extent cx="635" cy="0"/>
                <wp:effectExtent l="0" t="0" r="0" b="0"/>
                <wp:docPr id="31" name="矩形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RwCxgECAAAaBAAADgAAAGRycy9l&#10;Mm9Eb2MueG1srVPNbhMxEL4j8Q6W72STVK1glU2FGsqlgkotDzCxvbsW/pPHySZPg8SNh+BxEK/B&#10;2JuEtlxyYA+r8Xjmm/m+GS+ud9awrYqovWv4bDLlTDnhpXZdw7883r55yxkmcBKMd6rhe4X8evn6&#10;1WIItZr73hupIiMQh/UQGt6nFOqqQtErCzjxQTm6bH20kOgYu0pGGAjdmmo+nV5Vg48yRC8UInlX&#10;4yU/IMZzAH3baqFWXmyscmlEjcpAIkrY64B8WbptWyXS57ZFlZhpODFN5U9FyF7nf7VcQN1FCL0W&#10;hxbgnBZecLKgHRU9Qa0gAdtE/Q+U1SJ69G2aCG+rkUhRhFjMpi+0eeghqMKFpMZwEh3/H6z4tL2P&#10;TMuGX8w4c2Bp4r+//fj18zsjB6kzBKwp6CHcx8wPw50XX5E5f9OD69R7DKQx7VGOrZ4F5wMe0nZt&#10;tDmdCLNdUX9/Ul/tEhPkvLq45Ewc/RXUx6QQMX1U3rJsNDxSwaI1bO8w5bJQH0NyDedvtTFlsMax&#10;oeHvLu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LkcAsY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E02" w14:textId="77777777">
        <w:trPr>
          <w:tblCellSpacing w:w="15" w:type="dxa"/>
        </w:trPr>
        <w:tc>
          <w:tcPr>
            <w:tcW w:w="0" w:type="auto"/>
            <w:shd w:val="clear" w:color="auto" w:fill="auto"/>
            <w:vAlign w:val="center"/>
          </w:tcPr>
          <w:p w14:paraId="4090FE01" w14:textId="77777777" w:rsidR="00833634" w:rsidRDefault="00833634">
            <w:pPr>
              <w:rPr>
                <w:rFonts w:ascii="宋体"/>
              </w:rPr>
            </w:pPr>
          </w:p>
        </w:tc>
      </w:tr>
    </w:tbl>
    <w:p w14:paraId="4090FE03" w14:textId="77777777" w:rsidR="00833634" w:rsidRDefault="008336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E05" w14:textId="77777777">
        <w:trPr>
          <w:tblCellSpacing w:w="15" w:type="dxa"/>
        </w:trPr>
        <w:tc>
          <w:tcPr>
            <w:tcW w:w="0" w:type="auto"/>
            <w:shd w:val="clear" w:color="auto" w:fill="auto"/>
            <w:vAlign w:val="center"/>
          </w:tcPr>
          <w:p w14:paraId="4090FE04" w14:textId="77777777" w:rsidR="00833634" w:rsidRDefault="00833634">
            <w:pPr>
              <w:rPr>
                <w:rFonts w:ascii="宋体"/>
              </w:rPr>
            </w:pPr>
          </w:p>
        </w:tc>
      </w:tr>
    </w:tbl>
    <w:p w14:paraId="4090FE06" w14:textId="77777777" w:rsidR="00833634" w:rsidRDefault="008336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E08" w14:textId="77777777">
        <w:trPr>
          <w:tblCellSpacing w:w="15" w:type="dxa"/>
        </w:trPr>
        <w:tc>
          <w:tcPr>
            <w:tcW w:w="0" w:type="auto"/>
            <w:shd w:val="clear" w:color="auto" w:fill="auto"/>
            <w:vAlign w:val="center"/>
          </w:tcPr>
          <w:p w14:paraId="4090FE07" w14:textId="77777777" w:rsidR="00833634" w:rsidRDefault="00833634">
            <w:pPr>
              <w:rPr>
                <w:rFonts w:ascii="宋体"/>
              </w:rPr>
            </w:pPr>
          </w:p>
        </w:tc>
      </w:tr>
    </w:tbl>
    <w:p w14:paraId="4090FE09" w14:textId="77777777" w:rsidR="00833634" w:rsidRDefault="008336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E0B" w14:textId="77777777">
        <w:trPr>
          <w:tblCellSpacing w:w="15" w:type="dxa"/>
        </w:trPr>
        <w:tc>
          <w:tcPr>
            <w:tcW w:w="0" w:type="auto"/>
            <w:shd w:val="clear" w:color="auto" w:fill="auto"/>
            <w:vAlign w:val="center"/>
          </w:tcPr>
          <w:p w14:paraId="4090FE0A" w14:textId="77777777" w:rsidR="00833634" w:rsidRDefault="00833634">
            <w:pPr>
              <w:rPr>
                <w:rFonts w:ascii="宋体"/>
              </w:rPr>
            </w:pPr>
          </w:p>
        </w:tc>
      </w:tr>
    </w:tbl>
    <w:p w14:paraId="4090FE0C" w14:textId="77777777" w:rsidR="00833634" w:rsidRDefault="00E15D51">
      <w:r>
        <w:rPr>
          <w:rFonts w:ascii="宋体" w:eastAsia="宋体" w:hAnsi="宋体" w:cs="宋体"/>
        </w:rPr>
        <w:t xml:space="preserve">Previous Next </w:t>
      </w:r>
    </w:p>
    <w:p w14:paraId="4090FE0D" w14:textId="77777777" w:rsidR="00833634" w:rsidRDefault="00E15D51">
      <w:pPr>
        <w:pStyle w:val="a3"/>
      </w:pPr>
      <w:r>
        <w:t xml:space="preserve">Nested Facts / </w:t>
      </w:r>
    </w:p>
    <w:p w14:paraId="4090FE0E" w14:textId="77777777" w:rsidR="00833634" w:rsidRDefault="00E15D51">
      <w:r>
        <w:rPr>
          <w:rFonts w:ascii="宋体" w:eastAsia="宋体" w:hAnsi="宋体" w:cs="宋体"/>
        </w:rPr>
        <w:t xml:space="preserve">Previous Next </w:t>
      </w:r>
    </w:p>
    <w:p w14:paraId="4090FE0F" w14:textId="77777777" w:rsidR="00833634" w:rsidRDefault="00E15D51">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4090FE75" wp14:editId="4090FE76">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E11" w14:textId="77777777">
        <w:trPr>
          <w:tblCellSpacing w:w="15" w:type="dxa"/>
        </w:trPr>
        <w:tc>
          <w:tcPr>
            <w:tcW w:w="0" w:type="auto"/>
            <w:shd w:val="clear" w:color="auto" w:fill="auto"/>
            <w:vAlign w:val="center"/>
          </w:tcPr>
          <w:p w14:paraId="4090FE10" w14:textId="77777777" w:rsidR="00833634" w:rsidRDefault="00833634">
            <w:pPr>
              <w:rPr>
                <w:rFonts w:ascii="宋体"/>
              </w:rPr>
            </w:pPr>
          </w:p>
        </w:tc>
      </w:tr>
    </w:tbl>
    <w:p w14:paraId="4090FE12" w14:textId="77777777" w:rsidR="00833634" w:rsidRDefault="008336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E14" w14:textId="77777777">
        <w:trPr>
          <w:tblCellSpacing w:w="15" w:type="dxa"/>
        </w:trPr>
        <w:tc>
          <w:tcPr>
            <w:tcW w:w="0" w:type="auto"/>
            <w:shd w:val="clear" w:color="auto" w:fill="auto"/>
            <w:vAlign w:val="center"/>
          </w:tcPr>
          <w:p w14:paraId="4090FE13" w14:textId="77777777" w:rsidR="00833634" w:rsidRDefault="00833634">
            <w:pPr>
              <w:rPr>
                <w:rFonts w:ascii="宋体"/>
              </w:rPr>
            </w:pPr>
          </w:p>
        </w:tc>
      </w:tr>
    </w:tbl>
    <w:p w14:paraId="4090FE15" w14:textId="77777777" w:rsidR="00833634" w:rsidRDefault="008336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E17" w14:textId="77777777">
        <w:trPr>
          <w:tblCellSpacing w:w="15" w:type="dxa"/>
        </w:trPr>
        <w:tc>
          <w:tcPr>
            <w:tcW w:w="0" w:type="auto"/>
            <w:shd w:val="clear" w:color="auto" w:fill="auto"/>
            <w:vAlign w:val="center"/>
          </w:tcPr>
          <w:p w14:paraId="4090FE16" w14:textId="77777777" w:rsidR="00833634" w:rsidRDefault="00833634">
            <w:pPr>
              <w:rPr>
                <w:rFonts w:ascii="宋体"/>
              </w:rPr>
            </w:pPr>
          </w:p>
        </w:tc>
      </w:tr>
    </w:tbl>
    <w:p w14:paraId="4090FE18" w14:textId="77777777" w:rsidR="00833634" w:rsidRDefault="00833634">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33634" w14:paraId="4090FE1A" w14:textId="77777777">
        <w:trPr>
          <w:tblCellSpacing w:w="15" w:type="dxa"/>
        </w:trPr>
        <w:tc>
          <w:tcPr>
            <w:tcW w:w="0" w:type="auto"/>
            <w:shd w:val="clear" w:color="auto" w:fill="auto"/>
            <w:vAlign w:val="center"/>
          </w:tcPr>
          <w:p w14:paraId="4090FE19" w14:textId="77777777" w:rsidR="00833634" w:rsidRDefault="00833634">
            <w:pPr>
              <w:rPr>
                <w:rFonts w:ascii="宋体"/>
              </w:rPr>
            </w:pPr>
          </w:p>
        </w:tc>
      </w:tr>
    </w:tbl>
    <w:p w14:paraId="4090FE1B" w14:textId="77777777" w:rsidR="00833634" w:rsidRDefault="00E15D51">
      <w:r>
        <w:rPr>
          <w:rFonts w:ascii="宋体" w:eastAsia="宋体" w:hAnsi="宋体" w:cs="宋体"/>
        </w:rPr>
        <w:t xml:space="preserve">Previous Next </w:t>
      </w:r>
    </w:p>
    <w:p w14:paraId="4090FE1C" w14:textId="77777777" w:rsidR="00833634" w:rsidRDefault="00833634"/>
    <w:sectPr w:rsidR="00833634">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926AA" w14:textId="77777777" w:rsidR="00E15D51" w:rsidRDefault="00E15D51" w:rsidP="00E15D51">
      <w:r>
        <w:separator/>
      </w:r>
    </w:p>
  </w:endnote>
  <w:endnote w:type="continuationSeparator" w:id="0">
    <w:p w14:paraId="44ABA2BE" w14:textId="77777777" w:rsidR="00E15D51" w:rsidRDefault="00E15D51" w:rsidP="00E15D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4B078" w14:textId="77777777" w:rsidR="00E15D51" w:rsidRDefault="00E15D51" w:rsidP="00E15D51">
      <w:r>
        <w:separator/>
      </w:r>
    </w:p>
  </w:footnote>
  <w:footnote w:type="continuationSeparator" w:id="0">
    <w:p w14:paraId="224DE3D2" w14:textId="77777777" w:rsidR="00E15D51" w:rsidRDefault="00E15D51" w:rsidP="00E15D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AFB67B7"/>
    <w:rsid w:val="00833634"/>
    <w:rsid w:val="00E15D51"/>
    <w:rsid w:val="7AFB67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90D689"/>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15D5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15D51"/>
    <w:rPr>
      <w:rFonts w:asciiTheme="minorEastAsia" w:hAnsiTheme="minorEastAsia" w:cs="Times New Roman"/>
      <w:sz w:val="18"/>
      <w:szCs w:val="18"/>
    </w:rPr>
  </w:style>
  <w:style w:type="paragraph" w:styleId="a8">
    <w:name w:val="footer"/>
    <w:basedOn w:val="a"/>
    <w:link w:val="a9"/>
    <w:rsid w:val="00E15D51"/>
    <w:pPr>
      <w:tabs>
        <w:tab w:val="center" w:pos="4153"/>
        <w:tab w:val="right" w:pos="8306"/>
      </w:tabs>
      <w:snapToGrid w:val="0"/>
    </w:pPr>
    <w:rPr>
      <w:sz w:val="18"/>
      <w:szCs w:val="18"/>
    </w:rPr>
  </w:style>
  <w:style w:type="character" w:customStyle="1" w:styleId="a9">
    <w:name w:val="页脚 字符"/>
    <w:basedOn w:val="a0"/>
    <w:link w:val="a8"/>
    <w:rsid w:val="00E15D51"/>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0012927/000001292720000076/ba-20200930.htm" TargetMode="External"/><Relationship Id="rId21" Type="http://schemas.openxmlformats.org/officeDocument/2006/relationships/hyperlink" Target="https://www.sec.gov/ix?doc=/Archives/edgar/data/0000012927/000001292720000076/ba-20200930.htm" TargetMode="External"/><Relationship Id="rId42" Type="http://schemas.openxmlformats.org/officeDocument/2006/relationships/hyperlink" Target="https://www.sec.gov/ix?doc=/Archives/edgar/data/0000012927/000001292720000076/ba-20200930.htm" TargetMode="External"/><Relationship Id="rId63" Type="http://schemas.openxmlformats.org/officeDocument/2006/relationships/hyperlink" Target="https://www.sec.gov/ix?doc=/Archives/edgar/data/0000012927/000001292720000076/ba-20200930.htm" TargetMode="External"/><Relationship Id="rId84" Type="http://schemas.openxmlformats.org/officeDocument/2006/relationships/hyperlink" Target="https://www.sec.gov/ix?doc=/Archives/edgar/data/0000012927/000001292720000076/ba-20200930.htm" TargetMode="External"/><Relationship Id="rId138" Type="http://schemas.openxmlformats.org/officeDocument/2006/relationships/hyperlink" Target="https://www.sec.gov/ix?doc=/Archives/edgar/data/0000012927/000001292720000076/ba-20200930.htm" TargetMode="External"/><Relationship Id="rId159" Type="http://schemas.openxmlformats.org/officeDocument/2006/relationships/hyperlink" Target="https://www.sec.gov/ix?doc=/Archives/edgar/data/0000012927/000001292720000076/ba-20200930.htm" TargetMode="External"/><Relationship Id="rId170" Type="http://schemas.openxmlformats.org/officeDocument/2006/relationships/hyperlink" Target="https://www.sec.gov/Archives/edgar/data/0000012927/000001292720000076/a202009sep3010qex312.htm" TargetMode="External"/><Relationship Id="rId107" Type="http://schemas.openxmlformats.org/officeDocument/2006/relationships/hyperlink" Target="https://www.sec.gov/ix?doc=/Archives/edgar/data/0000012927/000001292720000076/ba-20200930.htm" TargetMode="External"/><Relationship Id="rId11" Type="http://schemas.openxmlformats.org/officeDocument/2006/relationships/hyperlink" Target="https://www.sec.gov/ix?doc=/Archives/edgar/data/0000012927/000001292720000076/ba-20200930.htm" TargetMode="External"/><Relationship Id="rId32" Type="http://schemas.openxmlformats.org/officeDocument/2006/relationships/hyperlink" Target="https://www.sec.gov/ix?doc=/Archives/edgar/data/0000012927/000001292720000076/ba-20200930.htm" TargetMode="External"/><Relationship Id="rId53" Type="http://schemas.openxmlformats.org/officeDocument/2006/relationships/hyperlink" Target="https://www.sec.gov/ix?doc=/Archives/edgar/data/0000012927/000001292720000076/ba-20200930.htm" TargetMode="External"/><Relationship Id="rId74" Type="http://schemas.openxmlformats.org/officeDocument/2006/relationships/hyperlink" Target="https://www.sec.gov/ix?doc=/Archives/edgar/data/0000012927/000001292720000076/ba-20200930.htm" TargetMode="External"/><Relationship Id="rId128" Type="http://schemas.openxmlformats.org/officeDocument/2006/relationships/hyperlink" Target="https://www.sec.gov/ix?doc=/Archives/edgar/data/0000012927/000001292720000076/ba-20200930.htm" TargetMode="External"/><Relationship Id="rId149" Type="http://schemas.openxmlformats.org/officeDocument/2006/relationships/hyperlink" Target="https://www.sec.gov/ix?doc=/Archives/edgar/data/0000012927/000001292720000076/ba-20200930.htm" TargetMode="External"/><Relationship Id="rId5" Type="http://schemas.openxmlformats.org/officeDocument/2006/relationships/endnotes" Target="endnotes.xml"/><Relationship Id="rId95" Type="http://schemas.openxmlformats.org/officeDocument/2006/relationships/hyperlink" Target="https://www.sec.gov/ix?doc=/Archives/edgar/data/0000012927/000001292720000076/ba-20200930.htm" TargetMode="External"/><Relationship Id="rId160" Type="http://schemas.openxmlformats.org/officeDocument/2006/relationships/hyperlink" Target="https://www.sec.gov/ix?doc=/Archives/edgar/data/0000012927/000001292720000076/ba-20200930.htm" TargetMode="External"/><Relationship Id="rId22" Type="http://schemas.openxmlformats.org/officeDocument/2006/relationships/hyperlink" Target="https://www.sec.gov/ix?doc=/Archives/edgar/data/0000012927/000001292720000076/ba-20200930.htm" TargetMode="External"/><Relationship Id="rId43" Type="http://schemas.openxmlformats.org/officeDocument/2006/relationships/hyperlink" Target="https://www.sec.gov/ix?doc=/Archives/edgar/data/0000012927/000001292720000076/ba-20200930.htm" TargetMode="External"/><Relationship Id="rId64" Type="http://schemas.openxmlformats.org/officeDocument/2006/relationships/hyperlink" Target="https://www.sec.gov/ix?doc=/Archives/edgar/data/0000012927/000001292720000076/ba-20200930.htm" TargetMode="External"/><Relationship Id="rId118" Type="http://schemas.openxmlformats.org/officeDocument/2006/relationships/hyperlink" Target="https://www.sec.gov/ix?doc=/Archives/edgar/data/0000012927/000001292720000076/ba-20200930.htm" TargetMode="External"/><Relationship Id="rId139" Type="http://schemas.openxmlformats.org/officeDocument/2006/relationships/hyperlink" Target="https://www.sec.gov/ix?doc=/Archives/edgar/data/0000012927/000001292720000076/ba-20200930.htm" TargetMode="External"/><Relationship Id="rId85" Type="http://schemas.openxmlformats.org/officeDocument/2006/relationships/hyperlink" Target="https://www.sec.gov/ix?doc=/Archives/edgar/data/0000012927/000001292720000076/ba-20200930.htm" TargetMode="External"/><Relationship Id="rId150" Type="http://schemas.openxmlformats.org/officeDocument/2006/relationships/hyperlink" Target="https://www.sec.gov/ix?doc=/Archives/edgar/data/0000012927/000001292720000076/ba-20200930.htm" TargetMode="External"/><Relationship Id="rId171" Type="http://schemas.openxmlformats.org/officeDocument/2006/relationships/hyperlink" Target="https://www.sec.gov/Archives/edgar/data/0000012927/000001292720000076/a202009sep3010qex321.htm" TargetMode="External"/><Relationship Id="rId12" Type="http://schemas.openxmlformats.org/officeDocument/2006/relationships/hyperlink" Target="https://www.sec.gov/ix?doc=/Archives/edgar/data/0000012927/000001292720000076/ba-20200930.htm" TargetMode="External"/><Relationship Id="rId33" Type="http://schemas.openxmlformats.org/officeDocument/2006/relationships/hyperlink" Target="https://www.sec.gov/ix?doc=/Archives/edgar/data/0000012927/000001292720000076/ba-20200930.htm" TargetMode="External"/><Relationship Id="rId108" Type="http://schemas.openxmlformats.org/officeDocument/2006/relationships/hyperlink" Target="https://www.sec.gov/ix?doc=/Archives/edgar/data/0000012927/000001292720000076/ba-20200930.htm" TargetMode="External"/><Relationship Id="rId129" Type="http://schemas.openxmlformats.org/officeDocument/2006/relationships/hyperlink" Target="https://www.sec.gov/ix?doc=/Archives/edgar/data/0000012927/000001292720000076/ba-20200930.htm" TargetMode="External"/><Relationship Id="rId54" Type="http://schemas.openxmlformats.org/officeDocument/2006/relationships/hyperlink" Target="https://www.sec.gov/ix?doc=/Archives/edgar/data/0000012927/000001292720000076/ba-20200930.htm" TargetMode="External"/><Relationship Id="rId75" Type="http://schemas.openxmlformats.org/officeDocument/2006/relationships/hyperlink" Target="https://www.sec.gov/ix?doc=/Archives/edgar/data/0000012927/000001292720000076/ba-20200930.htm" TargetMode="External"/><Relationship Id="rId96" Type="http://schemas.openxmlformats.org/officeDocument/2006/relationships/hyperlink" Target="https://www.sec.gov/ix?doc=/Archives/edgar/data/0000012927/000001292720000076/ba-20200930.htm" TargetMode="External"/><Relationship Id="rId140" Type="http://schemas.openxmlformats.org/officeDocument/2006/relationships/hyperlink" Target="https://www.sec.gov/ix?doc=/Archives/edgar/data/0000012927/000001292720000076/ba-20200930.htm" TargetMode="External"/><Relationship Id="rId161" Type="http://schemas.openxmlformats.org/officeDocument/2006/relationships/hyperlink" Target="https://www.sec.gov/ix?doc=/Archives/edgar/data/0000012927/000001292720000076/ba-20200930.htm" TargetMode="External"/><Relationship Id="rId1" Type="http://schemas.openxmlformats.org/officeDocument/2006/relationships/styles" Target="styles.xml"/><Relationship Id="rId23" Type="http://schemas.openxmlformats.org/officeDocument/2006/relationships/hyperlink" Target="https://www.sec.gov/ix?doc=/Archives/edgar/data/0000012927/000001292720000076/ba-20200930.htm" TargetMode="External"/><Relationship Id="rId28" Type="http://schemas.openxmlformats.org/officeDocument/2006/relationships/hyperlink" Target="https://www.sec.gov/ix?doc=/Archives/edgar/data/0000012927/000001292720000076/ba-20200930.htm" TargetMode="External"/><Relationship Id="rId49" Type="http://schemas.openxmlformats.org/officeDocument/2006/relationships/hyperlink" Target="https://www.sec.gov/ix?doc=/Archives/edgar/data/0000012927/000001292720000076/ba-20200930.htm" TargetMode="External"/><Relationship Id="rId114" Type="http://schemas.openxmlformats.org/officeDocument/2006/relationships/hyperlink" Target="https://www.sec.gov/ix?doc=/Archives/edgar/data/0000012927/000001292720000076/ba-20200930.htm" TargetMode="External"/><Relationship Id="rId119" Type="http://schemas.openxmlformats.org/officeDocument/2006/relationships/hyperlink" Target="https://www.sec.gov/ix?doc=/Archives/edgar/data/0000012927/000001292720000076/ba-20200930.htm" TargetMode="External"/><Relationship Id="rId44" Type="http://schemas.openxmlformats.org/officeDocument/2006/relationships/hyperlink" Target="https://www.sec.gov/ix?doc=/Archives/edgar/data/0000012927/000001292720000076/ba-20200930.htm" TargetMode="External"/><Relationship Id="rId60" Type="http://schemas.openxmlformats.org/officeDocument/2006/relationships/hyperlink" Target="https://www.sec.gov/ix?doc=/Archives/edgar/data/0000012927/000001292720000076/ba-20200930.htm" TargetMode="External"/><Relationship Id="rId65" Type="http://schemas.openxmlformats.org/officeDocument/2006/relationships/hyperlink" Target="https://www.sec.gov/ix?doc=/Archives/edgar/data/0000012927/000001292720000076/ba-20200930.htm" TargetMode="External"/><Relationship Id="rId81" Type="http://schemas.openxmlformats.org/officeDocument/2006/relationships/hyperlink" Target="https://www.sec.gov/ix?doc=/Archives/edgar/data/0000012927/000001292720000076/ba-20200930.htm" TargetMode="External"/><Relationship Id="rId86" Type="http://schemas.openxmlformats.org/officeDocument/2006/relationships/hyperlink" Target="https://www.sec.gov/ix?doc=/Archives/edgar/data/0000012927/000001292720000076/ba-20200930.htm" TargetMode="External"/><Relationship Id="rId130" Type="http://schemas.openxmlformats.org/officeDocument/2006/relationships/hyperlink" Target="https://www.sec.gov/ix?doc=/Archives/edgar/data/0000012927/000001292720000076/ba-20200930.htm" TargetMode="External"/><Relationship Id="rId135" Type="http://schemas.openxmlformats.org/officeDocument/2006/relationships/hyperlink" Target="https://www.sec.gov/ix?doc=/Archives/edgar/data/0000012927/000001292720000076/ba-20200930.htm" TargetMode="External"/><Relationship Id="rId151" Type="http://schemas.openxmlformats.org/officeDocument/2006/relationships/hyperlink" Target="https://www.sec.gov/ix?doc=/Archives/edgar/data/0000012927/000001292720000076/ba-20200930.htm" TargetMode="External"/><Relationship Id="rId156" Type="http://schemas.openxmlformats.org/officeDocument/2006/relationships/hyperlink" Target="https://www.sec.gov/ix?doc=/Archives/edgar/data/0000012927/000001292720000076/ba-20200930.htm" TargetMode="External"/><Relationship Id="rId172" Type="http://schemas.openxmlformats.org/officeDocument/2006/relationships/hyperlink" Target="https://www.sec.gov/Archives/edgar/data/0000012927/000001292720000076/a202009sep3010qex322.htm" TargetMode="External"/><Relationship Id="rId13" Type="http://schemas.openxmlformats.org/officeDocument/2006/relationships/hyperlink" Target="https://www.sec.gov/ix?doc=/Archives/edgar/data/0000012927/000001292720000076/ba-20200930.htm" TargetMode="External"/><Relationship Id="rId18" Type="http://schemas.openxmlformats.org/officeDocument/2006/relationships/hyperlink" Target="https://www.sec.gov/ix?doc=/Archives/edgar/data/0000012927/000001292720000076/ba-20200930.htm" TargetMode="External"/><Relationship Id="rId39" Type="http://schemas.openxmlformats.org/officeDocument/2006/relationships/hyperlink" Target="https://www.sec.gov/ix?doc=/Archives/edgar/data/0000012927/000001292720000076/ba-20200930.htm" TargetMode="External"/><Relationship Id="rId109" Type="http://schemas.openxmlformats.org/officeDocument/2006/relationships/hyperlink" Target="https://www.sec.gov/ix?doc=/Archives/edgar/data/0000012927/000001292720000076/ba-20200930.htm" TargetMode="External"/><Relationship Id="rId34" Type="http://schemas.openxmlformats.org/officeDocument/2006/relationships/hyperlink" Target="https://www.sec.gov/ix?doc=/Archives/edgar/data/0000012927/000001292720000076/ba-20200930.htm" TargetMode="External"/><Relationship Id="rId50" Type="http://schemas.openxmlformats.org/officeDocument/2006/relationships/hyperlink" Target="https://www.sec.gov/ix?doc=/Archives/edgar/data/0000012927/000001292720000076/ba-20200930.htm" TargetMode="External"/><Relationship Id="rId55" Type="http://schemas.openxmlformats.org/officeDocument/2006/relationships/hyperlink" Target="https://www.sec.gov/ix?doc=/Archives/edgar/data/0000012927/000001292720000076/ba-20200930.htm" TargetMode="External"/><Relationship Id="rId76" Type="http://schemas.openxmlformats.org/officeDocument/2006/relationships/hyperlink" Target="https://www.sec.gov/ix?doc=/Archives/edgar/data/0000012927/000001292720000076/ba-20200930.htm" TargetMode="External"/><Relationship Id="rId97" Type="http://schemas.openxmlformats.org/officeDocument/2006/relationships/hyperlink" Target="https://www.sec.gov/ix?doc=/Archives/edgar/data/0000012927/000001292720000076/ba-20200930.htm" TargetMode="External"/><Relationship Id="rId104" Type="http://schemas.openxmlformats.org/officeDocument/2006/relationships/hyperlink" Target="https://www.sec.gov/ix?doc=/Archives/edgar/data/0000012927/000001292720000076/ba-20200930.htm" TargetMode="External"/><Relationship Id="rId120" Type="http://schemas.openxmlformats.org/officeDocument/2006/relationships/hyperlink" Target="https://www.sec.gov/ix?doc=/Archives/edgar/data/0000012927/000001292720000076/ba-20200930.htm" TargetMode="External"/><Relationship Id="rId125" Type="http://schemas.openxmlformats.org/officeDocument/2006/relationships/hyperlink" Target="https://www.sec.gov/ix?doc=/Archives/edgar/data/0000012927/000001292720000076/ba-20200930.htm" TargetMode="External"/><Relationship Id="rId141" Type="http://schemas.openxmlformats.org/officeDocument/2006/relationships/hyperlink" Target="https://www.sec.gov/ix?doc=/Archives/edgar/data/0000012927/000001292720000076/ba-20200930.htm" TargetMode="External"/><Relationship Id="rId146" Type="http://schemas.openxmlformats.org/officeDocument/2006/relationships/hyperlink" Target="https://www.sec.gov/ix?doc=/Archives/edgar/data/0000012927/000001292720000076/ba-20200930.htm" TargetMode="External"/><Relationship Id="rId167" Type="http://schemas.openxmlformats.org/officeDocument/2006/relationships/hyperlink" Target="http://www.sec.gov/Archives/edgar/data/12927/000001292720000071/a202010oct268kex101.htm" TargetMode="External"/><Relationship Id="rId7" Type="http://schemas.openxmlformats.org/officeDocument/2006/relationships/hyperlink" Target="https://www.sec.gov/ix?doc=/Archives/edgar/data/0000012927/000001292720000076/ba-20200930.htm" TargetMode="External"/><Relationship Id="rId71" Type="http://schemas.openxmlformats.org/officeDocument/2006/relationships/hyperlink" Target="https://www.sec.gov/ix?doc=/Archives/edgar/data/0000012927/000001292720000076/ba-20200930.htm" TargetMode="External"/><Relationship Id="rId92" Type="http://schemas.openxmlformats.org/officeDocument/2006/relationships/hyperlink" Target="https://www.sec.gov/ix?doc=/Archives/edgar/data/0000012927/000001292720000076/ba-20200930.htm" TargetMode="External"/><Relationship Id="rId162" Type="http://schemas.openxmlformats.org/officeDocument/2006/relationships/hyperlink" Target="https://www.sec.gov/ix?doc=/Archives/edgar/data/0000012927/000001292720000076/ba-20200930.htm" TargetMode="External"/><Relationship Id="rId2" Type="http://schemas.openxmlformats.org/officeDocument/2006/relationships/settings" Target="settings.xml"/><Relationship Id="rId29" Type="http://schemas.openxmlformats.org/officeDocument/2006/relationships/hyperlink" Target="https://www.sec.gov/ix?doc=/Archives/edgar/data/0000012927/000001292720000076/ba-20200930.htm" TargetMode="External"/><Relationship Id="rId24" Type="http://schemas.openxmlformats.org/officeDocument/2006/relationships/hyperlink" Target="https://www.sec.gov/ix?doc=/Archives/edgar/data/0000012927/000001292720000076/ba-20200930.htm" TargetMode="External"/><Relationship Id="rId40" Type="http://schemas.openxmlformats.org/officeDocument/2006/relationships/hyperlink" Target="https://www.sec.gov/ix?doc=/Archives/edgar/data/0000012927/000001292720000076/ba-20200930.htm" TargetMode="External"/><Relationship Id="rId45" Type="http://schemas.openxmlformats.org/officeDocument/2006/relationships/hyperlink" Target="https://www.sec.gov/ix?doc=/Archives/edgar/data/0000012927/000001292720000076/ba-20200930.htm" TargetMode="External"/><Relationship Id="rId66" Type="http://schemas.openxmlformats.org/officeDocument/2006/relationships/hyperlink" Target="https://www.sec.gov/ix?doc=/Archives/edgar/data/0000012927/000001292720000076/ba-20200930.htm" TargetMode="External"/><Relationship Id="rId87" Type="http://schemas.openxmlformats.org/officeDocument/2006/relationships/hyperlink" Target="https://www.sec.gov/ix?doc=/Archives/edgar/data/0000012927/000001292720000076/ba-20200930.htm" TargetMode="External"/><Relationship Id="rId110" Type="http://schemas.openxmlformats.org/officeDocument/2006/relationships/hyperlink" Target="https://www.sec.gov/ix?doc=/Archives/edgar/data/0000012927/000001292720000076/ba-20200930.htm" TargetMode="External"/><Relationship Id="rId115" Type="http://schemas.openxmlformats.org/officeDocument/2006/relationships/hyperlink" Target="https://www.sec.gov/ix?doc=/Archives/edgar/data/0000012927/000001292720000076/ba-20200930.htm" TargetMode="External"/><Relationship Id="rId131" Type="http://schemas.openxmlformats.org/officeDocument/2006/relationships/hyperlink" Target="https://www.sec.gov/ix?doc=/Archives/edgar/data/0000012927/000001292720000076/ba-20200930.htm" TargetMode="External"/><Relationship Id="rId136" Type="http://schemas.openxmlformats.org/officeDocument/2006/relationships/hyperlink" Target="https://www.sec.gov/ix?doc=/Archives/edgar/data/0000012927/000001292720000076/ba-20200930.htm" TargetMode="External"/><Relationship Id="rId157" Type="http://schemas.openxmlformats.org/officeDocument/2006/relationships/hyperlink" Target="https://www.sec.gov/ix?doc=/Archives/edgar/data/0000012927/000001292720000076/ba-20200930.htm" TargetMode="External"/><Relationship Id="rId61" Type="http://schemas.openxmlformats.org/officeDocument/2006/relationships/hyperlink" Target="https://www.sec.gov/ix?doc=/Archives/edgar/data/0000012927/000001292720000076/ba-20200930.htm" TargetMode="External"/><Relationship Id="rId82" Type="http://schemas.openxmlformats.org/officeDocument/2006/relationships/hyperlink" Target="https://www.sec.gov/ix?doc=/Archives/edgar/data/0000012927/000001292720000076/ba-20200930.htm" TargetMode="External"/><Relationship Id="rId152" Type="http://schemas.openxmlformats.org/officeDocument/2006/relationships/hyperlink" Target="https://www.sec.gov/ix?doc=/Archives/edgar/data/0000012927/000001292720000076/ba-20200930.htm" TargetMode="External"/><Relationship Id="rId173" Type="http://schemas.openxmlformats.org/officeDocument/2006/relationships/hyperlink" Target="https://www.sec.gov/ix?doc=/Archives/edgar/data/0000012927/000001292720000076/ba-20200930.htm" TargetMode="External"/><Relationship Id="rId19" Type="http://schemas.openxmlformats.org/officeDocument/2006/relationships/hyperlink" Target="https://www.sec.gov/ix?doc=/Archives/edgar/data/0000012927/000001292720000076/ba-20200930.htm" TargetMode="External"/><Relationship Id="rId14" Type="http://schemas.openxmlformats.org/officeDocument/2006/relationships/hyperlink" Target="https://www.sec.gov/ix?doc=/Archives/edgar/data/0000012927/000001292720000076/ba-20200930.htm" TargetMode="External"/><Relationship Id="rId30" Type="http://schemas.openxmlformats.org/officeDocument/2006/relationships/hyperlink" Target="https://www.sec.gov/ix?doc=/Archives/edgar/data/0000012927/000001292720000076/ba-20200930.htm" TargetMode="External"/><Relationship Id="rId35" Type="http://schemas.openxmlformats.org/officeDocument/2006/relationships/hyperlink" Target="https://www.sec.gov/ix?doc=/Archives/edgar/data/0000012927/000001292720000076/ba-20200930.htm" TargetMode="External"/><Relationship Id="rId56" Type="http://schemas.openxmlformats.org/officeDocument/2006/relationships/hyperlink" Target="https://www.sec.gov/ix?doc=/Archives/edgar/data/0000012927/000001292720000076/ba-20200930.htm" TargetMode="External"/><Relationship Id="rId77" Type="http://schemas.openxmlformats.org/officeDocument/2006/relationships/hyperlink" Target="https://www.sec.gov/ix?doc=/Archives/edgar/data/0000012927/000001292720000076/ba-20200930.htm" TargetMode="External"/><Relationship Id="rId100" Type="http://schemas.openxmlformats.org/officeDocument/2006/relationships/hyperlink" Target="https://www.sec.gov/ix?doc=/Archives/edgar/data/0000012927/000001292720000076/ba-20200930.htm" TargetMode="External"/><Relationship Id="rId105" Type="http://schemas.openxmlformats.org/officeDocument/2006/relationships/hyperlink" Target="https://www.sec.gov/ix?doc=/Archives/edgar/data/0000012927/000001292720000076/ba-20200930.htm" TargetMode="External"/><Relationship Id="rId126" Type="http://schemas.openxmlformats.org/officeDocument/2006/relationships/hyperlink" Target="https://www.sec.gov/ix?doc=/Archives/edgar/data/0000012927/000001292720000076/ba-20200930.htm" TargetMode="External"/><Relationship Id="rId147" Type="http://schemas.openxmlformats.org/officeDocument/2006/relationships/hyperlink" Target="https://www.sec.gov/ix?doc=/Archives/edgar/data/0000012927/000001292720000076/ba-20200930.htm" TargetMode="External"/><Relationship Id="rId168" Type="http://schemas.openxmlformats.org/officeDocument/2006/relationships/hyperlink" Target="https://www.sec.gov/Archives/edgar/data/0000012927/000001292720000076/a202009sep3010qex15.htm" TargetMode="External"/><Relationship Id="rId8" Type="http://schemas.openxmlformats.org/officeDocument/2006/relationships/hyperlink" Target="https://www.sec.gov/ix?doc=/Archives/edgar/data/0000012927/000001292720000076/ba-20200930.htm" TargetMode="External"/><Relationship Id="rId51" Type="http://schemas.openxmlformats.org/officeDocument/2006/relationships/hyperlink" Target="https://www.sec.gov/ix?doc=/Archives/edgar/data/0000012927/000001292720000076/ba-20200930.htm" TargetMode="External"/><Relationship Id="rId72" Type="http://schemas.openxmlformats.org/officeDocument/2006/relationships/hyperlink" Target="https://www.sec.gov/ix?doc=/Archives/edgar/data/0000012927/000001292720000076/ba-20200930.htm" TargetMode="External"/><Relationship Id="rId93" Type="http://schemas.openxmlformats.org/officeDocument/2006/relationships/hyperlink" Target="https://www.sec.gov/ix?doc=/Archives/edgar/data/0000012927/000001292720000076/ba-20200930.htm" TargetMode="External"/><Relationship Id="rId98" Type="http://schemas.openxmlformats.org/officeDocument/2006/relationships/hyperlink" Target="https://www.sec.gov/ix?doc=/Archives/edgar/data/0000012927/000001292720000076/ba-20200930.htm" TargetMode="External"/><Relationship Id="rId121" Type="http://schemas.openxmlformats.org/officeDocument/2006/relationships/hyperlink" Target="https://www.sec.gov/ix?doc=/Archives/edgar/data/0000012927/000001292720000076/ba-20200930.htm" TargetMode="External"/><Relationship Id="rId142" Type="http://schemas.openxmlformats.org/officeDocument/2006/relationships/hyperlink" Target="https://www.sec.gov/ix?doc=/Archives/edgar/data/0000012927/000001292720000076/ba-20200930.htm" TargetMode="External"/><Relationship Id="rId163" Type="http://schemas.openxmlformats.org/officeDocument/2006/relationships/hyperlink" Target="https://www.sec.gov/ix?doc=/Archives/edgar/data/0000012927/000001292720000076/ba-20200930.htm" TargetMode="External"/><Relationship Id="rId3" Type="http://schemas.openxmlformats.org/officeDocument/2006/relationships/webSettings" Target="webSettings.xml"/><Relationship Id="rId25" Type="http://schemas.openxmlformats.org/officeDocument/2006/relationships/hyperlink" Target="https://www.sec.gov/ix?doc=/Archives/edgar/data/0000012927/000001292720000076/ba-20200930.htm" TargetMode="External"/><Relationship Id="rId46" Type="http://schemas.openxmlformats.org/officeDocument/2006/relationships/hyperlink" Target="https://www.sec.gov/ix?doc=/Archives/edgar/data/0000012927/000001292720000076/ba-20200930.htm" TargetMode="External"/><Relationship Id="rId67" Type="http://schemas.openxmlformats.org/officeDocument/2006/relationships/hyperlink" Target="https://www.sec.gov/ix?doc=/Archives/edgar/data/0000012927/000001292720000076/ba-20200930.htm" TargetMode="External"/><Relationship Id="rId116" Type="http://schemas.openxmlformats.org/officeDocument/2006/relationships/hyperlink" Target="https://www.sec.gov/ix?doc=/Archives/edgar/data/0000012927/000001292720000076/ba-20200930.htm" TargetMode="External"/><Relationship Id="rId137" Type="http://schemas.openxmlformats.org/officeDocument/2006/relationships/hyperlink" Target="https://www.sec.gov/ix?doc=/Archives/edgar/data/0000012927/000001292720000076/ba-20200930.htm" TargetMode="External"/><Relationship Id="rId158" Type="http://schemas.openxmlformats.org/officeDocument/2006/relationships/hyperlink" Target="https://www.sec.gov/ix?doc=/Archives/edgar/data/0000012927/000001292720000076/ba-20200930.htm" TargetMode="External"/><Relationship Id="rId20" Type="http://schemas.openxmlformats.org/officeDocument/2006/relationships/hyperlink" Target="https://www.sec.gov/ix?doc=/Archives/edgar/data/0000012927/000001292720000076/ba-20200930.htm" TargetMode="External"/><Relationship Id="rId41" Type="http://schemas.openxmlformats.org/officeDocument/2006/relationships/hyperlink" Target="https://www.sec.gov/ix?doc=/Archives/edgar/data/0000012927/000001292720000076/ba-20200930.htm" TargetMode="External"/><Relationship Id="rId62" Type="http://schemas.openxmlformats.org/officeDocument/2006/relationships/hyperlink" Target="https://www.sec.gov/ix?doc=/Archives/edgar/data/0000012927/000001292720000076/ba-20200930.htm" TargetMode="External"/><Relationship Id="rId83" Type="http://schemas.openxmlformats.org/officeDocument/2006/relationships/hyperlink" Target="https://www.sec.gov/ix?doc=/Archives/edgar/data/0000012927/000001292720000076/ba-20200930.htm" TargetMode="External"/><Relationship Id="rId88" Type="http://schemas.openxmlformats.org/officeDocument/2006/relationships/hyperlink" Target="https://www.sec.gov/ix?doc=/Archives/edgar/data/0000012927/000001292720000076/ba-20200930.htm" TargetMode="External"/><Relationship Id="rId111" Type="http://schemas.openxmlformats.org/officeDocument/2006/relationships/hyperlink" Target="https://www.sec.gov/ix?doc=/Archives/edgar/data/0000012927/000001292720000076/ba-20200930.htm" TargetMode="External"/><Relationship Id="rId132" Type="http://schemas.openxmlformats.org/officeDocument/2006/relationships/hyperlink" Target="https://www.sec.gov/ix?doc=/Archives/edgar/data/0000012927/000001292720000076/ba-20200930.htm" TargetMode="External"/><Relationship Id="rId153" Type="http://schemas.openxmlformats.org/officeDocument/2006/relationships/hyperlink" Target="https://www.sec.gov/ix?doc=/Archives/edgar/data/0000012927/000001292720000076/ba-20200930.htm" TargetMode="External"/><Relationship Id="rId174" Type="http://schemas.openxmlformats.org/officeDocument/2006/relationships/fontTable" Target="fontTable.xml"/><Relationship Id="rId15" Type="http://schemas.openxmlformats.org/officeDocument/2006/relationships/hyperlink" Target="https://www.sec.gov/ix?doc=/Archives/edgar/data/0000012927/000001292720000076/ba-20200930.htm" TargetMode="External"/><Relationship Id="rId36" Type="http://schemas.openxmlformats.org/officeDocument/2006/relationships/hyperlink" Target="https://www.sec.gov/ix?doc=/Archives/edgar/data/0000012927/000001292720000076/ba-20200930.htm" TargetMode="External"/><Relationship Id="rId57" Type="http://schemas.openxmlformats.org/officeDocument/2006/relationships/hyperlink" Target="https://www.sec.gov/ix?doc=/Archives/edgar/data/0000012927/000001292720000076/ba-20200930.htm" TargetMode="External"/><Relationship Id="rId106" Type="http://schemas.openxmlformats.org/officeDocument/2006/relationships/hyperlink" Target="https://www.sec.gov/ix?doc=/Archives/edgar/data/0000012927/000001292720000076/ba-20200930.htm" TargetMode="External"/><Relationship Id="rId127" Type="http://schemas.openxmlformats.org/officeDocument/2006/relationships/hyperlink" Target="https://www.sec.gov/ix?doc=/Archives/edgar/data/0000012927/000001292720000076/ba-20200930.htm" TargetMode="External"/><Relationship Id="rId10" Type="http://schemas.openxmlformats.org/officeDocument/2006/relationships/hyperlink" Target="https://www.sec.gov/ix?doc=/Archives/edgar/data/0000012927/000001292720000076/ba-20200930.htm" TargetMode="External"/><Relationship Id="rId31" Type="http://schemas.openxmlformats.org/officeDocument/2006/relationships/hyperlink" Target="https://www.sec.gov/ix?doc=/Archives/edgar/data/0000012927/000001292720000076/ba-20200930.htm" TargetMode="External"/><Relationship Id="rId52" Type="http://schemas.openxmlformats.org/officeDocument/2006/relationships/hyperlink" Target="https://www.sec.gov/ix?doc=/Archives/edgar/data/0000012927/000001292720000076/ba-20200930.htm" TargetMode="External"/><Relationship Id="rId73" Type="http://schemas.openxmlformats.org/officeDocument/2006/relationships/hyperlink" Target="https://www.sec.gov/ix?doc=/Archives/edgar/data/0000012927/000001292720000076/ba-20200930.htm" TargetMode="External"/><Relationship Id="rId78" Type="http://schemas.openxmlformats.org/officeDocument/2006/relationships/hyperlink" Target="https://www.sec.gov/ix?doc=/Archives/edgar/data/0000012927/000001292720000076/ba-20200930.htm" TargetMode="External"/><Relationship Id="rId94" Type="http://schemas.openxmlformats.org/officeDocument/2006/relationships/hyperlink" Target="https://www.sec.gov/ix?doc=/Archives/edgar/data/0000012927/000001292720000076/ba-20200930.htm" TargetMode="External"/><Relationship Id="rId99" Type="http://schemas.openxmlformats.org/officeDocument/2006/relationships/hyperlink" Target="https://www.sec.gov/ix?doc=/Archives/edgar/data/0000012927/000001292720000076/ba-20200930.htm" TargetMode="External"/><Relationship Id="rId101" Type="http://schemas.openxmlformats.org/officeDocument/2006/relationships/hyperlink" Target="https://www.sec.gov/ix?doc=/Archives/edgar/data/0000012927/000001292720000076/ba-20200930.htm" TargetMode="External"/><Relationship Id="rId122" Type="http://schemas.openxmlformats.org/officeDocument/2006/relationships/hyperlink" Target="https://www.sec.gov/ix?doc=/Archives/edgar/data/0000012927/000001292720000076/ba-20200930.htm" TargetMode="External"/><Relationship Id="rId143" Type="http://schemas.openxmlformats.org/officeDocument/2006/relationships/hyperlink" Target="https://www.sec.gov/ix?doc=/Archives/edgar/data/0000012927/000001292720000076/ba-20200930.htm" TargetMode="External"/><Relationship Id="rId148" Type="http://schemas.openxmlformats.org/officeDocument/2006/relationships/hyperlink" Target="https://www.sec.gov/ix?doc=/Archives/edgar/data/0000012927/000001292720000076/ba-20200930.htm" TargetMode="External"/><Relationship Id="rId164" Type="http://schemas.openxmlformats.org/officeDocument/2006/relationships/hyperlink" Target="https://www.sec.gov/ix?doc=/Archives/edgar/data/0000012927/000001292720000076/ba-20200930.htm" TargetMode="External"/><Relationship Id="rId169" Type="http://schemas.openxmlformats.org/officeDocument/2006/relationships/hyperlink" Target="https://www.sec.gov/Archives/edgar/data/0000012927/000001292720000076/a202009sep3010qex311.htm" TargetMode="External"/><Relationship Id="rId4" Type="http://schemas.openxmlformats.org/officeDocument/2006/relationships/footnotes" Target="footnotes.xml"/><Relationship Id="rId9" Type="http://schemas.openxmlformats.org/officeDocument/2006/relationships/hyperlink" Target="https://www.sec.gov/ix?doc=/Archives/edgar/data/0000012927/000001292720000076/ba-20200930.htm" TargetMode="External"/><Relationship Id="rId26" Type="http://schemas.openxmlformats.org/officeDocument/2006/relationships/hyperlink" Target="https://www.sec.gov/ix?doc=/Archives/edgar/data/0000012927/000001292720000076/ba-20200930.htm" TargetMode="External"/><Relationship Id="rId47" Type="http://schemas.openxmlformats.org/officeDocument/2006/relationships/hyperlink" Target="https://www.sec.gov/ix?doc=/Archives/edgar/data/0000012927/000001292720000076/ba-20200930.htm" TargetMode="External"/><Relationship Id="rId68" Type="http://schemas.openxmlformats.org/officeDocument/2006/relationships/hyperlink" Target="https://www.sec.gov/ix?doc=/Archives/edgar/data/0000012927/000001292720000076/ba-20200930.htm" TargetMode="External"/><Relationship Id="rId89" Type="http://schemas.openxmlformats.org/officeDocument/2006/relationships/hyperlink" Target="https://www.sec.gov/ix?doc=/Archives/edgar/data/0000012927/000001292720000076/ba-20200930.htm" TargetMode="External"/><Relationship Id="rId112" Type="http://schemas.openxmlformats.org/officeDocument/2006/relationships/hyperlink" Target="https://www.sec.gov/ix?doc=/Archives/edgar/data/0000012927/000001292720000076/ba-20200930.htm" TargetMode="External"/><Relationship Id="rId133" Type="http://schemas.openxmlformats.org/officeDocument/2006/relationships/hyperlink" Target="https://www.sec.gov/ix?doc=/Archives/edgar/data/0000012927/000001292720000076/ba-20200930.htm" TargetMode="External"/><Relationship Id="rId154" Type="http://schemas.openxmlformats.org/officeDocument/2006/relationships/hyperlink" Target="https://www.sec.gov/ix?doc=/Archives/edgar/data/0000012927/000001292720000076/ba-20200930.htm" TargetMode="External"/><Relationship Id="rId175" Type="http://schemas.openxmlformats.org/officeDocument/2006/relationships/theme" Target="theme/theme1.xml"/><Relationship Id="rId16" Type="http://schemas.openxmlformats.org/officeDocument/2006/relationships/hyperlink" Target="https://www.sec.gov/ix?doc=/Archives/edgar/data/0000012927/000001292720000076/ba-20200930.htm" TargetMode="External"/><Relationship Id="rId37" Type="http://schemas.openxmlformats.org/officeDocument/2006/relationships/hyperlink" Target="https://www.sec.gov/ix?doc=/Archives/edgar/data/0000012927/000001292720000076/ba-20200930.htm" TargetMode="External"/><Relationship Id="rId58" Type="http://schemas.openxmlformats.org/officeDocument/2006/relationships/hyperlink" Target="https://www.sec.gov/ix?doc=/Archives/edgar/data/0000012927/000001292720000076/ba-20200930.htm" TargetMode="External"/><Relationship Id="rId79" Type="http://schemas.openxmlformats.org/officeDocument/2006/relationships/hyperlink" Target="https://www.sec.gov/ix?doc=/Archives/edgar/data/0000012927/000001292720000076/ba-20200930.htm" TargetMode="External"/><Relationship Id="rId102" Type="http://schemas.openxmlformats.org/officeDocument/2006/relationships/hyperlink" Target="https://www.sec.gov/ix?doc=/Archives/edgar/data/0000012927/000001292720000076/ba-20200930.htm" TargetMode="External"/><Relationship Id="rId123" Type="http://schemas.openxmlformats.org/officeDocument/2006/relationships/hyperlink" Target="https://www.sec.gov/ix?doc=/Archives/edgar/data/0000012927/000001292720000076/ba-20200930.htm" TargetMode="External"/><Relationship Id="rId144" Type="http://schemas.openxmlformats.org/officeDocument/2006/relationships/hyperlink" Target="https://www.sec.gov/ix?doc=/Archives/edgar/data/0000012927/000001292720000076/ba-20200930.htm" TargetMode="External"/><Relationship Id="rId90" Type="http://schemas.openxmlformats.org/officeDocument/2006/relationships/hyperlink" Target="https://www.sec.gov/ix?doc=/Archives/edgar/data/0000012927/000001292720000076/ba-20200930.htm" TargetMode="External"/><Relationship Id="rId165" Type="http://schemas.openxmlformats.org/officeDocument/2006/relationships/hyperlink" Target="https://www.sec.gov/ix?doc=/Archives/edgar/data/0000012927/000001292720000076/ba-20200930.htm" TargetMode="External"/><Relationship Id="rId27" Type="http://schemas.openxmlformats.org/officeDocument/2006/relationships/hyperlink" Target="https://www.sec.gov/ix?doc=/Archives/edgar/data/0000012927/000001292720000076/ba-20200930.htm" TargetMode="External"/><Relationship Id="rId48" Type="http://schemas.openxmlformats.org/officeDocument/2006/relationships/hyperlink" Target="https://www.sec.gov/ix?doc=/Archives/edgar/data/0000012927/000001292720000076/ba-20200930.htm" TargetMode="External"/><Relationship Id="rId69" Type="http://schemas.openxmlformats.org/officeDocument/2006/relationships/hyperlink" Target="https://www.sec.gov/ix?doc=/Archives/edgar/data/0000012927/000001292720000076/ba-20200930.htm" TargetMode="External"/><Relationship Id="rId113" Type="http://schemas.openxmlformats.org/officeDocument/2006/relationships/hyperlink" Target="https://www.sec.gov/ix?doc=/Archives/edgar/data/0000012927/000001292720000076/ba-20200930.htm" TargetMode="External"/><Relationship Id="rId134" Type="http://schemas.openxmlformats.org/officeDocument/2006/relationships/hyperlink" Target="https://www.sec.gov/ix?doc=/Archives/edgar/data/0000012927/000001292720000076/ba-20200930.htm" TargetMode="External"/><Relationship Id="rId80" Type="http://schemas.openxmlformats.org/officeDocument/2006/relationships/hyperlink" Target="https://www.sec.gov/ix?doc=/Archives/edgar/data/0000012927/000001292720000076/ba-20200930.htm" TargetMode="External"/><Relationship Id="rId155" Type="http://schemas.openxmlformats.org/officeDocument/2006/relationships/hyperlink" Target="https://www.sec.gov/ix?doc=/Archives/edgar/data/0000012927/000001292720000076/ba-20200930.htm" TargetMode="External"/><Relationship Id="rId17" Type="http://schemas.openxmlformats.org/officeDocument/2006/relationships/hyperlink" Target="https://www.sec.gov/ix?doc=/Archives/edgar/data/0000012927/000001292720000076/ba-20200930.htm" TargetMode="External"/><Relationship Id="rId38" Type="http://schemas.openxmlformats.org/officeDocument/2006/relationships/hyperlink" Target="https://www.sec.gov/ix?doc=/Archives/edgar/data/0000012927/000001292720000076/ba-20200930.htm" TargetMode="External"/><Relationship Id="rId59" Type="http://schemas.openxmlformats.org/officeDocument/2006/relationships/hyperlink" Target="https://www.sec.gov/ix?doc=/Archives/edgar/data/0000012927/000001292720000076/ba-20200930.htm" TargetMode="External"/><Relationship Id="rId103" Type="http://schemas.openxmlformats.org/officeDocument/2006/relationships/hyperlink" Target="https://www.sec.gov/ix?doc=/Archives/edgar/data/0000012927/000001292720000076/ba-20200930.htm" TargetMode="External"/><Relationship Id="rId124" Type="http://schemas.openxmlformats.org/officeDocument/2006/relationships/hyperlink" Target="https://www.sec.gov/ix?doc=/Archives/edgar/data/0000012927/000001292720000076/ba-20200930.htm" TargetMode="External"/><Relationship Id="rId70" Type="http://schemas.openxmlformats.org/officeDocument/2006/relationships/hyperlink" Target="https://www.sec.gov/ix?doc=/Archives/edgar/data/0000012927/000001292720000076/ba-20200930.htm" TargetMode="External"/><Relationship Id="rId91" Type="http://schemas.openxmlformats.org/officeDocument/2006/relationships/hyperlink" Target="https://www.sec.gov/ix?doc=/Archives/edgar/data/0000012927/000001292720000076/ba-20200930.htm" TargetMode="External"/><Relationship Id="rId145" Type="http://schemas.openxmlformats.org/officeDocument/2006/relationships/hyperlink" Target="https://www.sec.gov/ix?doc=/Archives/edgar/data/0000012927/000001292720000076/ba-20200930.htm" TargetMode="External"/><Relationship Id="rId166" Type="http://schemas.openxmlformats.org/officeDocument/2006/relationships/hyperlink" Target="https://www.sec.gov/ix?doc=/Archives/edgar/data/0000012927/000001292720000076/ba-202009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39270</Words>
  <Characters>223840</Characters>
  <Application>Microsoft Office Word</Application>
  <DocSecurity>0</DocSecurity>
  <Lines>1865</Lines>
  <Paragraphs>525</Paragraphs>
  <ScaleCrop>false</ScaleCrop>
  <Company/>
  <LinksUpToDate>false</LinksUpToDate>
  <CharactersWithSpaces>262585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2023-02-11T02:01:00Z</dcterms:created>
  <dcterms:modified xsi:type="dcterms:W3CDTF">2023-02-13T12:59:00Z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0882327EFB26C8BD6386E6634F1BA585</vt:lpwstr>
  </property>
</Properties>
</file>